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Gazit Daniel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KORNIT DIGITAL LTD., 12 HA'AMAL ST.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ROSH-HA'AYIN</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4809246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Kornit Digital Ltd.</w:t>
              </w:r>
            </w:hyperlink>
            <w:r>
              <w:rPr/>
              <w:t xml:space="preserve"> [ </w:t>
            </w:r>
            <w:r>
              <w:rPr>
                <w:rFonts w:ascii="Times;serif" w:hAnsi="Times;serif"/>
                <w:color w:val="0000FF"/>
                <w:sz w:val="24"/>
                <w:shd w:fill="FFFFFF" w:val="clear"/>
              </w:rPr>
              <w:t>KRNT</w:t>
            </w:r>
            <w:r>
              <w:rPr/>
              <w:t xml:space="preserve"> ] </w:t>
              <w:br/>
            </w:r>
            <w:r>
              <w:rPr>
                <w:rFonts w:ascii="arial;helvetica;sans-serif" w:hAnsi="arial;helvetica;sans-serif"/>
                <w:sz w:val="20"/>
              </w:rPr>
              <w:t>Foreign Trading Symbol</w:t>
            </w:r>
            <w:r>
              <w:rPr/>
              <w:br/>
              <w:t xml:space="preserve">[ </w:t>
            </w:r>
            <w:r>
              <w:rPr>
                <w:rFonts w:ascii="Times;serif" w:hAnsi="Times;serif"/>
                <w:color w:val="0000FF"/>
                <w:sz w:val="24"/>
                <w:shd w:fill="FFFFFF" w:val="clear"/>
              </w:rPr>
              <w:t>N/A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Product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7"/>
        <w:gridCol w:w="906"/>
        <w:gridCol w:w="775"/>
        <w:gridCol w:w="602"/>
        <w:gridCol w:w="351"/>
        <w:gridCol w:w="810"/>
        <w:gridCol w:w="459"/>
        <w:gridCol w:w="801"/>
        <w:gridCol w:w="1172"/>
        <w:gridCol w:w="1005"/>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436</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19.01</w:t>
            </w:r>
            <w:r>
              <w:rPr>
                <w:rFonts w:ascii="Times;serif" w:hAnsi="Times;serif"/>
                <w:color w:val="008000"/>
                <w:position w:val="7"/>
                <w:sz w:val="16"/>
                <w:sz w:val="20"/>
                <w:shd w:fill="FFFFFF" w:val="clear"/>
              </w:rPr>
              <w:t>(1)</w:t>
            </w:r>
          </w:p>
        </w:tc>
        <w:tc>
          <w:tcPr>
            <w:tcW w:w="11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549</w:t>
            </w:r>
            <w:r>
              <w:rPr>
                <w:rFonts w:ascii="Times;serif" w:hAnsi="Times;serif"/>
                <w:color w:val="008000"/>
                <w:position w:val="7"/>
                <w:sz w:val="16"/>
                <w:sz w:val="20"/>
                <w:shd w:fill="FFFFFF" w:val="clear"/>
              </w:rPr>
              <w:t>(2)</w:t>
            </w:r>
          </w:p>
        </w:tc>
        <w:tc>
          <w:tcPr>
            <w:tcW w:w="10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19.01</w:t>
            </w:r>
            <w:r>
              <w:rPr>
                <w:rFonts w:ascii="Times;serif" w:hAnsi="Times;serif"/>
                <w:color w:val="008000"/>
                <w:position w:val="7"/>
                <w:sz w:val="16"/>
                <w:sz w:val="20"/>
                <w:shd w:fill="FFFFFF" w:val="clear"/>
              </w:rPr>
              <w:t>(1)</w:t>
            </w:r>
          </w:p>
        </w:tc>
        <w:tc>
          <w:tcPr>
            <w:tcW w:w="11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9,436</w:t>
            </w:r>
            <w:r>
              <w:rPr>
                <w:rFonts w:ascii="Times;serif" w:hAnsi="Times;serif"/>
                <w:color w:val="008000"/>
                <w:position w:val="7"/>
                <w:sz w:val="16"/>
                <w:sz w:val="20"/>
                <w:shd w:fill="FFFFFF" w:val="clear"/>
              </w:rPr>
              <w:t>(3)</w:t>
            </w:r>
          </w:p>
        </w:tc>
        <w:tc>
          <w:tcPr>
            <w:tcW w:w="10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w:t>
            </w:r>
          </w:p>
        </w:tc>
        <w:tc>
          <w:tcPr>
            <w:tcW w:w="10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13,345</w:t>
            </w:r>
            <w:r>
              <w:rPr>
                <w:rFonts w:ascii="Times;serif" w:hAnsi="Times;serif"/>
                <w:color w:val="008000"/>
                <w:position w:val="7"/>
                <w:sz w:val="16"/>
                <w:sz w:val="20"/>
                <w:shd w:fill="FFFFFF" w:val="clear"/>
              </w:rPr>
              <w:t>(5)</w:t>
            </w:r>
          </w:p>
        </w:tc>
        <w:tc>
          <w:tcPr>
            <w:tcW w:w="10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9,342</w:t>
            </w:r>
            <w:r>
              <w:rPr>
                <w:rFonts w:ascii="Times;serif" w:hAnsi="Times;serif"/>
                <w:color w:val="008000"/>
                <w:position w:val="7"/>
                <w:sz w:val="16"/>
                <w:sz w:val="20"/>
                <w:shd w:fill="FFFFFF" w:val="clear"/>
              </w:rPr>
              <w:t>(6)</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69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61"/>
        <w:gridCol w:w="681"/>
        <w:gridCol w:w="801"/>
        <w:gridCol w:w="936"/>
        <w:gridCol w:w="831"/>
        <w:gridCol w:w="846"/>
      </w:tblGrid>
      <w:tr>
        <w:trPr>
          <w:tblHeader w:val="true"/>
        </w:trPr>
        <w:tc>
          <w:tcPr>
            <w:tcW w:w="1169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w:t>
            </w:r>
            <w:r>
              <w:rPr>
                <w:rFonts w:ascii="Times;serif" w:hAnsi="Times;serif"/>
                <w:color w:val="008000"/>
                <w:position w:val="7"/>
                <w:sz w:val="16"/>
                <w:sz w:val="20"/>
                <w:shd w:fill="FFFFFF" w:val="clear"/>
              </w:rPr>
              <w:t>(4)</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105.06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01/31/2026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01/31/2032</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represents a weighted average price. The Reporting Person undertakes to provide to the SEC staff, upon request, full information regarding the number of shares and prices at which the transactions were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ordinary shares reported in this row consist of shares that were issued upon settlement of restricted share units ("RSUs") that had been granted by the Issuer to the Reporting Person on September 19, 2022 and that have fully vested and settled for underlying ordinary shares (which reflect a reduced quantity relative to the originally granted amount of 4,385 RSUs due to sales of underlying shares to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ordinary shares reported in this row consist of shares underlying RSUs that were granted to the Reporting Person on March 9, 2023 and that vest and settle for underlying ordinary shares in accordance with the following schedule: 25% of the original 10,188 RSUs vested and settled for underlying ordinary shares upon the one-year anniversary of the grant date, and an additional 6.25% of the original 10,188 RSUs vest and settle on a quarterly basis over the following three years such that all RSUs reported in this row (which reflects a reduced number relative to the originally granted amount due to sales of underlying shares to date) will be fully vested and settled by the four-year anniversary of that grant date (March 9,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There were no transactions effected in respect of the securities reported in this row, and the holdings in this row are being included for informational purposes only.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ordinary shares reported in this row consist of shares underlying RSUs that were granted to the Reporting Person on March 19, 2024 and that vest and settle for underlying ordinary shares in accordance with the following schedule: 25% of the RSUs vested and settled for underlying ordinary shares upon the one-year anniversary of the grant date, and an additional 6.25% of the RSUs vest and settle on a quarterly basis over the following three years such that all RSUs reported in this row will be fully vested and settled by the four-year anniversary of that grant date (March 19,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ordinary shares reported in this row consist of shares underlying RSUs that were granted to the Reporting Person on March 13, 2025 and that vest and settle for underlying ordinary shares in accordance with the following schedule: 25% of the RSUs vested and settled for underlying ordinary shares upon the one-year anniversary of the grant date, and an additional 6.25% of the RSUs vest and settle on a quarterly basis over the following three years such that all RSUs reported in this row will be fully vested and settled by the four-year anniversary of that grant date (March 13, 2029).</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Assaf Zipori,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843501ex24-1.htm"/>
      <w:bookmarkStart w:id="3" w:name="ksea030843501ex241"/>
      <w:bookmarkEnd w:id="2"/>
      <w:bookmarkEnd w:id="3"/>
      <w:r>
        <w:rPr>
          <w:rFonts w:ascii="Times New Roman;Times;Serif" w:hAnsi="Times New Roman;Times;Serif"/>
          <w:b/>
          <w:i w:val="false"/>
          <w:caps w:val="false"/>
          <w:smallCaps w:val="false"/>
          <w:sz w:val="20"/>
        </w:rPr>
        <w:t>Exhibit 24.1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Assaf Zipori, Chief Financial Officer of Kornit Digital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with full power of substitution, signing individually, the undersigned’s true and lawful attorney-in fact and agent 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Prepare, execute in the undersigned’s name and on the undersigned’s behalf, and submit to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Forms 3, 4 and 5 (including amendments thereto and joint filing agreements in connection therewith) in accordance with Section 16(a) of the Securities Exchange Act of 1934, as amended and the rules and regulations thereunder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in the undersigned’s capacity as an officer, director or beneficial owner of more than 10% of a registered class of securities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Do and perform any and all acts for and on behalf of the undersigned that may be necessary or desirable to execute such Forms 3, 4, or 5, (including any amendments thereto) and timely file such forms with the SEC, and any stock exchange, self-regulatory association or similar authority;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Take any other action of any nature whatsoever in connection with the foregoing that,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attorney-in-fact, and his substitutes, in serving in such capacity at the request of the undersigned, is not assuming (nor is the Company assuming) any of the undersigned’s responsibilities to comply with Section 16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as to any attorney-in-fact individually, until such attorney-in-fact is no longer employed by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18th day of March, 2026.</w:t>
      </w:r>
    </w:p>
    <w:p>
      <w:pPr>
        <w:pStyle w:val="TextBody"/>
        <w:bidi w:val="0"/>
        <w:spacing w:before="0" w:after="0"/>
        <w:ind w:left="0" w:right="0" w:firstLine="720"/>
        <w:jc w:val="left"/>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75"/>
        <w:gridCol w:w="590"/>
        <w:gridCol w:w="129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2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Daniel Gazit</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Daniel Gazit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70618" TargetMode="External"/><Relationship Id="rId5" Type="http://schemas.openxmlformats.org/officeDocument/2006/relationships/hyperlink" Target="http://www.sec.gov/cgi-bin/browse-edgar?action=getcompany&amp;CIK=00016257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1587</Words>
  <Characters>8292</Characters>
  <CharactersWithSpaces>9782</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