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333-232070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4"/>
          <w:szCs w:val="24"/>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Proposed</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Proposed</w:t>
            </w:r>
          </w:p>
        </w:tc>
        <w:tc>
          <w:tcPr>
            <w:tcW w:w="11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Maximum</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6"/>
              </w:rPr>
              <w:t>Amount Of</w:t>
            </w: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 Of Securities To Be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Amount To Be</w:t>
            </w: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Offering Price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Aggregate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Registration</w:t>
            </w:r>
          </w:p>
        </w:tc>
      </w:tr>
      <w:tr>
        <w:trPr>
          <w:trHeight w:val="210"/>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Registered</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Registered</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Per Unit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Offering Price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6"/>
              </w:rPr>
              <w:t>Fee</w:t>
            </w:r>
          </w:p>
        </w:tc>
      </w:tr>
      <w:tr>
        <w:trPr>
          <w:trHeight w:val="47"/>
        </w:trPr>
        <w:tc>
          <w:tcPr>
            <w:tcW w:w="3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64"/>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2"/>
              </w:rPr>
              <w:t>Ordinary Shares, par value NIS 0.01 per share</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4,991,000</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$ 137,252,500</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$ 16,635.00</w:t>
            </w:r>
            <w:r>
              <w:rPr>
                <w:rFonts w:ascii="Arial" w:cs="Arial" w:eastAsia="Arial" w:hAnsi="Arial"/>
                <w:sz w:val="20"/>
                <w:szCs w:val="20"/>
                <w:color w:val="auto"/>
                <w:w w:val="86"/>
                <w:vertAlign w:val="superscript"/>
              </w:rPr>
              <w:t>(2)(3)</w:t>
            </w:r>
          </w:p>
        </w:tc>
      </w:tr>
    </w:tbl>
    <w:p>
      <w:pPr>
        <w:spacing w:after="0" w:line="4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4"/>
          <w:szCs w:val="24"/>
          <w:color w:val="auto"/>
        </w:rPr>
      </w:pPr>
    </w:p>
    <w:p>
      <w:pPr>
        <w:ind w:left="900" w:right="459" w:hanging="438"/>
        <w:spacing w:after="0" w:line="266" w:lineRule="auto"/>
        <w:tabs>
          <w:tab w:leader="none" w:pos="1016"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651,000 shares that may be purchased by the underwriters upon exercise of the underwriters’ option to purchase additional shares.</w:t>
      </w:r>
    </w:p>
    <w:p>
      <w:pPr>
        <w:spacing w:after="0" w:line="1" w:lineRule="exact"/>
        <w:rPr>
          <w:rFonts w:ascii="Arial" w:cs="Arial" w:eastAsia="Arial" w:hAnsi="Arial"/>
          <w:sz w:val="16"/>
          <w:szCs w:val="16"/>
          <w:color w:val="auto"/>
        </w:rPr>
      </w:pPr>
    </w:p>
    <w:p>
      <w:pPr>
        <w:ind w:left="900" w:right="459" w:hanging="438"/>
        <w:spacing w:after="0" w:line="301" w:lineRule="auto"/>
        <w:tabs>
          <w:tab w:leader="none" w:pos="919"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filing fee is calculated and being paid pursuant to Rule 457(r) under the Securities Act of 1933, as amended, and relates to the Registration Statement on Form F-3 (File No. 333-232070) filed by the Registrant on June 11, 2019.</w:t>
      </w:r>
    </w:p>
    <w:p>
      <w:pPr>
        <w:spacing w:after="0" w:line="1" w:lineRule="exact"/>
        <w:rPr>
          <w:rFonts w:ascii="Arial" w:cs="Arial" w:eastAsia="Arial" w:hAnsi="Arial"/>
          <w:sz w:val="14"/>
          <w:szCs w:val="14"/>
          <w:color w:val="auto"/>
        </w:rPr>
      </w:pPr>
    </w:p>
    <w:p>
      <w:pPr>
        <w:jc w:val="both"/>
        <w:ind w:left="900" w:right="459" w:hanging="438"/>
        <w:spacing w:after="0" w:line="290" w:lineRule="auto"/>
        <w:tabs>
          <w:tab w:leader="none" w:pos="981"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457(p) under the Securities Act of 1933, this registration fee is partially offset by $7,919.59 (the “Offsetting Amount”), the remaining amount available from unused registration fees in respect of $62,050,000.00 of unsold debt securities previously registered pursuant to the Registrant’s Registration Statement on Form F-3 (No. 333-215404) (the “Prior Registration Statement”) filed with the Securities and Exchange Commission on January 3, 2017. After offsetting the registration fee by the Offsetting Amount, the remaining balance of the registration fee of $9,443.41 has been paid in connection with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238760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 w:name="page2"/>
    <w:bookmarkEnd w:id="1"/>
    <w:p>
      <w:pPr>
        <w:ind w:left="46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 prospectus dated June 11,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4,340,000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Kornit Digital Ltd.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Ordinary Shares</w:t>
      </w:r>
    </w:p>
    <w:p>
      <w:pPr>
        <w:spacing w:after="0" w:line="21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29" w:lineRule="exact"/>
        <w:rPr>
          <w:sz w:val="20"/>
          <w:szCs w:val="20"/>
          <w:color w:val="auto"/>
        </w:rPr>
      </w:pPr>
    </w:p>
    <w:p>
      <w:pPr>
        <w:jc w:val="both"/>
        <w:ind w:left="460" w:right="459" w:firstLine="432"/>
        <w:spacing w:after="0" w:line="256" w:lineRule="auto"/>
        <w:rPr>
          <w:sz w:val="20"/>
          <w:szCs w:val="20"/>
          <w:color w:val="auto"/>
        </w:rPr>
      </w:pPr>
      <w:r>
        <w:rPr>
          <w:rFonts w:ascii="Arial" w:cs="Arial" w:eastAsia="Arial" w:hAnsi="Arial"/>
          <w:sz w:val="18"/>
          <w:szCs w:val="18"/>
          <w:color w:val="auto"/>
        </w:rPr>
        <w:t>We are offering for sale 4,340,000 ordinary shares, par value NIS 0.01. Our ordinary shares are listed on the Nasdaq Global Select Market under the symbol “KRNT.” On June 13, 2019, the last reported sales price of our ordinary shares was $28.63 per share.</w:t>
      </w: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Per Share</w:t>
            </w:r>
          </w:p>
        </w:tc>
        <w:tc>
          <w:tcPr>
            <w:tcW w:w="32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r>
      <w:tr>
        <w:trPr>
          <w:trHeight w:val="47"/>
        </w:trPr>
        <w:tc>
          <w:tcPr>
            <w:tcW w:w="5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119,350,000</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5,967,500</w:t>
            </w:r>
          </w:p>
        </w:tc>
      </w:tr>
      <w:tr>
        <w:trPr>
          <w:trHeight w:val="41"/>
        </w:trPr>
        <w:tc>
          <w:tcPr>
            <w:tcW w:w="5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113,382,500</w:t>
            </w:r>
          </w:p>
        </w:tc>
      </w:tr>
      <w:tr>
        <w:trPr>
          <w:trHeight w:val="41"/>
        </w:trPr>
        <w:tc>
          <w:tcPr>
            <w:tcW w:w="5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underwriters may also exercise their option to purchase up to an additional 651,000 ordinary shares from us at the public offering price, less underwriting discounts and commissions, for 30 days after the date of this prospectus supplement.</w:t>
      </w:r>
    </w:p>
    <w:p>
      <w:pPr>
        <w:spacing w:after="0" w:line="150"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We are an “emerging growth company” as defined under federal securities laws and, as such, may elect to comply with certain reduced public company reporting requirements.</w:t>
      </w:r>
    </w:p>
    <w:p>
      <w:pPr>
        <w:spacing w:after="0" w:line="121" w:lineRule="exact"/>
        <w:rPr>
          <w:sz w:val="20"/>
          <w:szCs w:val="20"/>
          <w:color w:val="auto"/>
        </w:rPr>
      </w:pPr>
    </w:p>
    <w:p>
      <w:pPr>
        <w:jc w:val="both"/>
        <w:ind w:left="460" w:right="459" w:firstLine="432"/>
        <w:spacing w:after="0" w:line="347" w:lineRule="auto"/>
        <w:rPr>
          <w:sz w:val="20"/>
          <w:szCs w:val="20"/>
          <w:color w:val="auto"/>
        </w:rPr>
      </w:pPr>
      <w:r>
        <w:rPr>
          <w:rFonts w:ascii="Arial" w:cs="Arial" w:eastAsia="Arial" w:hAnsi="Arial"/>
          <w:sz w:val="16"/>
          <w:szCs w:val="16"/>
          <w:b w:val="1"/>
          <w:bCs w:val="1"/>
          <w:color w:val="auto"/>
        </w:rPr>
        <w:t>Investing in our ordinary shares involves risks that are described in the “Risk Factors” section beginning on page S-5 of this prospectus supplement and in the documents incorporated by reference.</w:t>
      </w:r>
    </w:p>
    <w:p>
      <w:pPr>
        <w:spacing w:after="0" w:line="76" w:lineRule="exact"/>
        <w:rPr>
          <w:sz w:val="20"/>
          <w:szCs w:val="20"/>
          <w:color w:val="auto"/>
        </w:rPr>
      </w:pPr>
    </w:p>
    <w:p>
      <w:pPr>
        <w:jc w:val="both"/>
        <w:ind w:left="460" w:right="459" w:firstLine="432"/>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7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underwriters expect to deliver the ordinary shares to purchasers on or about June 18, 2019.</w:t>
      </w:r>
    </w:p>
    <w:p>
      <w:pPr>
        <w:spacing w:after="0" w:line="11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ectPr>
          <w:pgSz w:w="11900" w:h="16838" w:orient="portrait"/>
          <w:cols w:equalWidth="0" w:num="1">
            <w:col w:w="9019"/>
          </w:cols>
          <w:pgMar w:left="1440" w:top="270" w:right="1440" w:bottom="1440" w:gutter="0" w:footer="0" w:header="0"/>
        </w:sectPr>
      </w:pPr>
    </w:p>
    <w:p>
      <w:pPr>
        <w:spacing w:after="0" w:line="310"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Barclays</w:t>
      </w:r>
    </w:p>
    <w:p>
      <w:pPr>
        <w:spacing w:after="0" w:line="222" w:lineRule="exact"/>
        <w:rPr>
          <w:sz w:val="20"/>
          <w:szCs w:val="20"/>
          <w:color w:val="auto"/>
        </w:rPr>
      </w:pPr>
    </w:p>
    <w:p>
      <w:pPr>
        <w:sectPr>
          <w:pgSz w:w="11900" w:h="16838" w:orient="portrait"/>
          <w:cols w:equalWidth="0" w:num="3">
            <w:col w:w="1860" w:space="720"/>
            <w:col w:w="4060" w:space="720"/>
            <w:col w:w="1659"/>
          </w:cols>
          <w:pgMar w:left="1440" w:top="270" w:right="1440" w:bottom="1440" w:gutter="0" w:footer="0" w:header="0"/>
          <w:type w:val="continuous"/>
        </w:sectPr>
      </w:pPr>
    </w:p>
    <w:p>
      <w:pPr>
        <w:spacing w:after="0" w:line="18" w:lineRule="exact"/>
        <w:rPr>
          <w:sz w:val="20"/>
          <w:szCs w:val="20"/>
          <w:color w:val="auto"/>
        </w:rPr>
      </w:pPr>
    </w:p>
    <w:p>
      <w:pPr>
        <w:ind w:left="460"/>
        <w:spacing w:after="0"/>
        <w:rPr>
          <w:sz w:val="20"/>
          <w:szCs w:val="20"/>
          <w:color w:val="auto"/>
        </w:rPr>
      </w:pPr>
      <w:r>
        <w:rPr>
          <w:rFonts w:ascii="Arial" w:cs="Arial" w:eastAsia="Arial" w:hAnsi="Arial"/>
          <w:sz w:val="26"/>
          <w:szCs w:val="26"/>
          <w:b w:val="1"/>
          <w:bCs w:val="1"/>
          <w:color w:val="auto"/>
        </w:rPr>
        <w:t>Needham</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Arial" w:cs="Arial" w:eastAsia="Arial" w:hAnsi="Arial"/>
          <w:sz w:val="26"/>
          <w:szCs w:val="26"/>
          <w:b w:val="1"/>
          <w:b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7"/>
          <w:szCs w:val="27"/>
          <w:b w:val="1"/>
          <w:bCs w:val="1"/>
          <w:color w:val="auto"/>
        </w:rPr>
        <w:t>William Blair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7"/>
          <w:szCs w:val="27"/>
          <w:b w:val="1"/>
          <w:bCs w:val="1"/>
          <w:color w:val="auto"/>
        </w:rPr>
        <w:t>Craig Hallum</w:t>
      </w:r>
    </w:p>
    <w:p>
      <w:pPr>
        <w:spacing w:after="0" w:line="200" w:lineRule="exact"/>
        <w:rPr>
          <w:sz w:val="20"/>
          <w:szCs w:val="20"/>
          <w:color w:val="auto"/>
        </w:rPr>
      </w:pPr>
    </w:p>
    <w:p>
      <w:pPr>
        <w:sectPr>
          <w:pgSz w:w="11900" w:h="16838" w:orient="portrait"/>
          <w:cols w:equalWidth="0" w:num="4">
            <w:col w:w="1940" w:space="720"/>
            <w:col w:w="980" w:space="720"/>
            <w:col w:w="1780" w:space="720"/>
            <w:col w:w="2159"/>
          </w:cols>
          <w:pgMar w:left="1440" w:top="270" w:right="1440" w:bottom="1440" w:gutter="0" w:footer="0" w:header="0"/>
          <w:type w:val="continuous"/>
        </w:sectPr>
      </w:pPr>
    </w:p>
    <w:p>
      <w:pPr>
        <w:spacing w:after="0" w:line="7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date of this Prospectus Supplement is June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278130</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 w:name="page3"/>
    <w:bookmarkEnd w:id="2"/>
    <w:tbl>
      <w:tblPr>
        <w:tblLayout w:type="fixed"/>
        <w:tblInd w:w="4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2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r>
      <w:tr>
        <w:trPr>
          <w:trHeight w:val="413"/>
        </w:trPr>
        <w:tc>
          <w:tcPr>
            <w:tcW w:w="7380" w:type="dxa"/>
            <w:vAlign w:val="bottom"/>
            <w:gridSpan w:val="20"/>
          </w:tcPr>
          <w:p>
            <w:pPr>
              <w:spacing w:after="0"/>
              <w:rPr>
                <w:sz w:val="20"/>
                <w:szCs w:val="20"/>
                <w:color w:val="auto"/>
              </w:rPr>
            </w:pPr>
            <w:r>
              <w:rPr>
                <w:rFonts w:ascii="Arial" w:cs="Arial" w:eastAsia="Arial" w:hAnsi="Arial"/>
                <w:sz w:val="16"/>
                <w:szCs w:val="16"/>
                <w:b w:val="1"/>
                <w:bCs w:val="1"/>
                <w:color w:val="auto"/>
              </w:rPr>
              <w:t>Prospectus supplement</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7"/>
        </w:trPr>
        <w:tc>
          <w:tcPr>
            <w:tcW w:w="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9"/>
            <w:shd w:val="clear" w:color="auto" w:fill="CCEEFF"/>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S-ii</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rPr>
              <w:t>S-iii</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S-1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5"/>
              </w:rPr>
              <w:t>S-5</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S-8</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Capitalization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5"/>
              </w:rPr>
              <w:t>S-9</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U.S. and Israeli Tax Considerations for Our Shareholders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S-10</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Underwriting</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S-18</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S-23</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Enforceability of Civil Liabilities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S-24</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S-25</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Incorporation of Certain Documents by Reference</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S-25</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426"/>
        </w:trPr>
        <w:tc>
          <w:tcPr>
            <w:tcW w:w="7380" w:type="dxa"/>
            <w:vAlign w:val="bottom"/>
            <w:gridSpan w:val="20"/>
          </w:tcPr>
          <w:p>
            <w:pPr>
              <w:spacing w:after="0"/>
              <w:rPr>
                <w:sz w:val="20"/>
                <w:szCs w:val="20"/>
                <w:color w:val="auto"/>
              </w:rPr>
            </w:pPr>
            <w:r>
              <w:rPr>
                <w:rFonts w:ascii="Arial" w:cs="Arial" w:eastAsia="Arial" w:hAnsi="Arial"/>
                <w:sz w:val="16"/>
                <w:szCs w:val="16"/>
                <w:b w:val="1"/>
                <w:bCs w:val="1"/>
                <w:color w:val="auto"/>
              </w:rPr>
              <w:t>Prospectus</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7"/>
        </w:trPr>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60" w:type="dxa"/>
            <w:vAlign w:val="bottom"/>
            <w:gridSpan w:val="2"/>
          </w:tcPr>
          <w:p>
            <w:pPr>
              <w:spacing w:after="0"/>
              <w:rPr>
                <w:sz w:val="4"/>
                <w:szCs w:val="4"/>
                <w:color w:val="auto"/>
              </w:rPr>
            </w:pPr>
          </w:p>
        </w:tc>
        <w:tc>
          <w:tcPr>
            <w:tcW w:w="740" w:type="dxa"/>
            <w:vAlign w:val="bottom"/>
          </w:tcPr>
          <w:p>
            <w:pPr>
              <w:spacing w:after="0"/>
              <w:rPr>
                <w:sz w:val="4"/>
                <w:szCs w:val="4"/>
                <w:color w:val="auto"/>
              </w:rPr>
            </w:pPr>
          </w:p>
        </w:tc>
      </w:tr>
      <w:tr>
        <w:trPr>
          <w:trHeight w:val="183"/>
        </w:trPr>
        <w:tc>
          <w:tcPr>
            <w:tcW w:w="7280" w:type="dxa"/>
            <w:vAlign w:val="bottom"/>
            <w:tcBorders>
              <w:top w:val="single" w:sz="8" w:color="auto"/>
            </w:tcBorders>
            <w:gridSpan w:val="19"/>
            <w:shd w:val="clear" w:color="auto" w:fill="CCEEFF"/>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Kornit Digital Ltd.</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Ordinary Shares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Plan of Distribution</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Legal Matters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Experts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Incorporation of Certain Documents By Reference</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11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Enforceability of Civil Liabilities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our ordinary shares, which we may offer from time to time.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9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or contained in any free writing prospectus prepared by or on our behalf. We have not, and the underwriters have not, authorized anyone to provide you with different information. The distribution of this prospectus supplement and sale of these securities in certain jurisdictions may be restricted by law. We are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0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(the “Securities Act”), and Section 21E of the Securities Exchange Act of 1934, as amended (the “Exchange Act”), and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655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9850" cy="8655050"/>
                    </a:xfrm>
                    <a:prstGeom prst="rect">
                      <a:avLst/>
                    </a:prstGeom>
                    <a:noFill/>
                  </pic:spPr>
                </pic:pic>
              </a:graphicData>
            </a:graphic>
          </wp:anchor>
        </w:drawing>
        <w:t>Prospectus Supplement Summary</w:t>
      </w:r>
    </w:p>
    <w:p>
      <w:pPr>
        <w:spacing w:after="0" w:line="148"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i w:val="1"/>
          <w:iCs w:val="1"/>
          <w:color w:val="auto"/>
        </w:rPr>
        <w:t>This summary highlights selected information concerning our company and the offering, including information contained elsewhere in this prospectus supplement, the accompanying prospectus or in documents incorporated by reference herein or therein.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Company</w:t>
      </w:r>
    </w:p>
    <w:p>
      <w:pPr>
        <w:spacing w:after="0" w:line="148" w:lineRule="exact"/>
        <w:rPr>
          <w:sz w:val="20"/>
          <w:szCs w:val="20"/>
          <w:color w:val="auto"/>
        </w:rPr>
      </w:pPr>
    </w:p>
    <w:p>
      <w:pPr>
        <w:jc w:val="both"/>
        <w:ind w:left="560" w:right="559" w:firstLine="432"/>
        <w:spacing w:after="0" w:line="308"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with a major focus on the fashion, apparel and home décor segments of the industry.</w:t>
      </w:r>
    </w:p>
    <w:p>
      <w:pPr>
        <w:spacing w:after="0" w:line="52" w:lineRule="exact"/>
        <w:rPr>
          <w:sz w:val="20"/>
          <w:szCs w:val="20"/>
          <w:color w:val="auto"/>
        </w:rPr>
      </w:pPr>
    </w:p>
    <w:p>
      <w:pPr>
        <w:jc w:val="both"/>
        <w:ind w:left="560" w:right="559" w:firstLine="432"/>
        <w:spacing w:after="0" w:line="277" w:lineRule="auto"/>
        <w:rPr>
          <w:sz w:val="20"/>
          <w:szCs w:val="20"/>
          <w:color w:val="auto"/>
        </w:rPr>
      </w:pPr>
      <w:r>
        <w:rPr>
          <w:rFonts w:ascii="Arial" w:cs="Arial" w:eastAsia="Arial" w:hAnsi="Arial"/>
          <w:sz w:val="18"/>
          <w:szCs w:val="18"/>
          <w:color w:val="auto"/>
        </w:rPr>
        <w:t>Our vision is to create a world where everybody can bond, design and express their identities, one impression at a time.</w:t>
      </w:r>
    </w:p>
    <w:p>
      <w:pPr>
        <w:spacing w:after="0" w:line="76" w:lineRule="exact"/>
        <w:rPr>
          <w:sz w:val="20"/>
          <w:szCs w:val="20"/>
          <w:color w:val="auto"/>
        </w:rPr>
      </w:pPr>
    </w:p>
    <w:p>
      <w:pPr>
        <w:jc w:val="both"/>
        <w:ind w:left="560" w:right="539" w:firstLine="432"/>
        <w:spacing w:after="0" w:line="276" w:lineRule="auto"/>
        <w:rPr>
          <w:sz w:val="20"/>
          <w:szCs w:val="20"/>
          <w:color w:val="auto"/>
        </w:rPr>
      </w:pPr>
      <w:r>
        <w:rPr>
          <w:rFonts w:ascii="Arial" w:cs="Arial" w:eastAsia="Arial" w:hAnsi="Arial"/>
          <w:sz w:val="17"/>
          <w:szCs w:val="17"/>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91" w:lineRule="exact"/>
        <w:rPr>
          <w:sz w:val="20"/>
          <w:szCs w:val="20"/>
          <w:color w:val="auto"/>
        </w:rPr>
      </w:pPr>
    </w:p>
    <w:p>
      <w:pPr>
        <w:jc w:val="both"/>
        <w:ind w:left="560" w:right="539" w:firstLine="432"/>
        <w:spacing w:after="0" w:line="270" w:lineRule="auto"/>
        <w:rPr>
          <w:sz w:val="20"/>
          <w:szCs w:val="20"/>
          <w:color w:val="auto"/>
        </w:rPr>
      </w:pPr>
      <w:r>
        <w:rPr>
          <w:rFonts w:ascii="Arial" w:cs="Arial" w:eastAsia="Arial" w:hAnsi="Arial"/>
          <w:sz w:val="17"/>
          <w:szCs w:val="17"/>
          <w:color w:val="auto"/>
        </w:rPr>
        <w:t>We focus on the rapidly growing high-throughput, direct-to-garment, or DTG, and direct-to-fabric, or DTF, segments of the printed and decorated textile industry. In the DTG segment, we project the number of annual impressions to grow from approximately 15 billion in 2017 to approximately 25 billion on an annualized run-rate basis by the end of 2023. Brands and private labels comprise the largest portion of the DTG market, with approximately 11.5 billion estimated impressions in 2017, while promotional and customized design represented approximately 2.5 billion and 1 billion impressions, respectively, in the same year. In the DTF segment, based on a World Textile Information Network report, we estimate that the total square meters of fabric printed in 2017 was approximately 38 billion. We project this market to grow to approximately 42 billion by the end of 2023.</w:t>
      </w:r>
    </w:p>
    <w:p>
      <w:pPr>
        <w:spacing w:after="0" w:line="87" w:lineRule="exact"/>
        <w:rPr>
          <w:sz w:val="20"/>
          <w:szCs w:val="20"/>
          <w:color w:val="auto"/>
        </w:rPr>
      </w:pPr>
    </w:p>
    <w:p>
      <w:pPr>
        <w:jc w:val="both"/>
        <w:ind w:left="560" w:right="539" w:firstLine="432"/>
        <w:spacing w:after="0" w:line="289" w:lineRule="auto"/>
        <w:rPr>
          <w:sz w:val="20"/>
          <w:szCs w:val="20"/>
          <w:color w:val="auto"/>
        </w:rPr>
      </w:pPr>
      <w:r>
        <w:rPr>
          <w:rFonts w:ascii="Arial" w:cs="Arial" w:eastAsia="Arial" w:hAnsi="Arial"/>
          <w:sz w:val="16"/>
          <w:szCs w:val="16"/>
          <w:color w:val="auto"/>
        </w:rPr>
        <w:t>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72"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w:t>
      </w:r>
    </w:p>
    <w:p>
      <w:pPr>
        <w:spacing w:after="0" w:line="108" w:lineRule="exact"/>
        <w:rPr>
          <w:sz w:val="20"/>
          <w:szCs w:val="20"/>
          <w:color w:val="auto"/>
        </w:rPr>
      </w:pPr>
    </w:p>
    <w:p>
      <w:pPr>
        <w:jc w:val="both"/>
        <w:ind w:left="560" w:right="539" w:firstLine="432"/>
        <w:spacing w:after="0" w:line="286" w:lineRule="auto"/>
        <w:rPr>
          <w:sz w:val="20"/>
          <w:szCs w:val="20"/>
          <w:color w:val="auto"/>
        </w:rPr>
      </w:pPr>
      <w:r>
        <w:rPr>
          <w:rFonts w:ascii="Arial" w:cs="Arial" w:eastAsia="Arial" w:hAnsi="Arial"/>
          <w:sz w:val="17"/>
          <w:szCs w:val="17"/>
          <w:color w:val="auto"/>
        </w:rPr>
        <w:t>We have a worldwide sales, marketing and support infrastructure that is comprised of independent distributors and value added resellers, and our own personnel resulting in a sales, marketing and support presence in over 77 countries and territories, and 46 states in the United States.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Stephen Nigro as Strategic Advisor to Kornit and its Board of Directors</w:t>
      </w:r>
    </w:p>
    <w:p>
      <w:pPr>
        <w:spacing w:after="0" w:line="158" w:lineRule="exact"/>
        <w:rPr>
          <w:sz w:val="20"/>
          <w:szCs w:val="20"/>
          <w:color w:val="auto"/>
        </w:rPr>
      </w:pPr>
    </w:p>
    <w:p>
      <w:pPr>
        <w:jc w:val="both"/>
        <w:ind w:left="560" w:right="559" w:firstLine="432"/>
        <w:spacing w:after="0" w:line="259" w:lineRule="auto"/>
        <w:rPr>
          <w:sz w:val="20"/>
          <w:szCs w:val="20"/>
          <w:color w:val="auto"/>
        </w:rPr>
      </w:pPr>
      <w:r>
        <w:rPr>
          <w:rFonts w:ascii="Arial" w:cs="Arial" w:eastAsia="Arial" w:hAnsi="Arial"/>
          <w:sz w:val="18"/>
          <w:szCs w:val="18"/>
          <w:color w:val="auto"/>
        </w:rPr>
        <w:t>On April 1, 2019, we announced the appointment of Stephen Nigro as a strategic advisor to the Company and its Board of Directors (the “Board”). Mr. Nigro’s engagement commenced on April 2, 2019. We plan to subsequently nominate Mr. Nigro for election to the Board at our anticipated August 2019 annual general meeting of shareholders.</w:t>
      </w:r>
    </w:p>
    <w:p>
      <w:pPr>
        <w:sectPr>
          <w:pgSz w:w="11900" w:h="16838" w:orient="portrait"/>
          <w:cols w:equalWidth="0" w:num="1">
            <w:col w:w="9019"/>
          </w:cols>
          <w:pgMar w:left="1440" w:top="540" w:right="1440"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jc w:val="both"/>
        <w:ind w:left="560" w:right="539" w:firstLine="43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577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9850" cy="8577580"/>
                    </a:xfrm>
                    <a:prstGeom prst="rect">
                      <a:avLst/>
                    </a:prstGeom>
                    <a:noFill/>
                  </pic:spPr>
                </pic:pic>
              </a:graphicData>
            </a:graphic>
          </wp:anchor>
        </w:drawing>
        <w:t>Mr. Nigro is an industry veteran who has spent over 37 years at HP, Inc., or HP, working in a variety of capacities, most recently as President of 3D Printing, overseeing the global build out and execution of that business segment. Prior to that, Mr. Nigro was Senior Vice President of Imaging and Printing, leading all of HP’s printing businesses including HP Inkjet, HP LaserJet and HP Graphics. Other senior leadership positions at HP that were held in the past by Mr. Nigro included Senior Vice President of Inkjet and Graphics business, Senior Vice President of Retail and Web Solutions, Senior Vice President of Graphics and Imaging, and Senior Vice President of Technology Platforms. Mr. Nigro holds a Master’s Degree in Electrical Engineering from Stanford University and a Bachelor’s Degree in Mechanical Engineering from the University of California, Santa Barbara.</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NeoPoly Technology for High-Quality Printing on Polyester</w:t>
      </w:r>
    </w:p>
    <w:p>
      <w:pPr>
        <w:spacing w:after="0" w:line="158"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On April 2, 2019, we unveiled the Kornit NeoPoly Technology, which is the industry’s first digital, industrial process for high-quality printing on polyester. According to data from Credence Research, the global polyester T-shirt market is projected to account for $34 billion of sales globally in 2019. The polyester T-shirt market is a key category in the sports segment, and is growing in the athleisure and functional apparel segments. Today, printing on polyester is predominantly done using analog solutions, which creates major technological, cost and sustainability challenges.</w:t>
      </w:r>
    </w:p>
    <w:p>
      <w:pPr>
        <w:spacing w:after="0" w:line="126" w:lineRule="exact"/>
        <w:rPr>
          <w:sz w:val="20"/>
          <w:szCs w:val="20"/>
          <w:color w:val="auto"/>
        </w:rPr>
      </w:pPr>
    </w:p>
    <w:p>
      <w:pPr>
        <w:jc w:val="both"/>
        <w:ind w:left="560" w:right="539" w:firstLine="432"/>
        <w:spacing w:after="0" w:line="286" w:lineRule="auto"/>
        <w:rPr>
          <w:sz w:val="20"/>
          <w:szCs w:val="20"/>
          <w:color w:val="auto"/>
        </w:rPr>
      </w:pPr>
      <w:r>
        <w:rPr>
          <w:rFonts w:ascii="Arial" w:cs="Arial" w:eastAsia="Arial" w:hAnsi="Arial"/>
          <w:sz w:val="16"/>
          <w:szCs w:val="16"/>
          <w:color w:val="auto"/>
        </w:rPr>
        <w:t>The new Kornit NeoPoly Technology addresses these challenges with a new process and ink set implemented in the Kornit NeoPigment</w:t>
      </w:r>
      <w:r>
        <w:rPr>
          <w:rFonts w:ascii="Arial" w:cs="Arial" w:eastAsia="Arial" w:hAnsi="Arial"/>
          <w:sz w:val="18"/>
          <w:szCs w:val="18"/>
          <w:color w:val="auto"/>
          <w:vertAlign w:val="superscript"/>
        </w:rPr>
        <w:t>TM</w:t>
      </w:r>
      <w:r>
        <w:rPr>
          <w:rFonts w:ascii="Arial" w:cs="Arial" w:eastAsia="Arial" w:hAnsi="Arial"/>
          <w:sz w:val="16"/>
          <w:szCs w:val="16"/>
          <w:color w:val="auto"/>
        </w:rPr>
        <w:t xml:space="preserve"> process. Kornit’s new process handles polyester applications without having to compromise on design, run size, substrate or labor. The breakthrough technological innovation has been achieved by an innovative ink set and a physical and chemical process specifically developed for low-temperature curing, and polyester-enhancing functionalities developed to maintain fabric characteristics and provide superior fastness. This unique process overcomes dye migration on polyester. The inks are Oeko-Tex and Eco-Passport certified, and do not contain PVCs or any other toxic ingredients.</w:t>
      </w:r>
    </w:p>
    <w:p>
      <w:pPr>
        <w:spacing w:after="0" w:line="85" w:lineRule="exact"/>
        <w:rPr>
          <w:sz w:val="20"/>
          <w:szCs w:val="20"/>
          <w:color w:val="auto"/>
        </w:rPr>
      </w:pPr>
    </w:p>
    <w:p>
      <w:pPr>
        <w:jc w:val="both"/>
        <w:ind w:left="560" w:right="539" w:firstLine="432"/>
        <w:spacing w:after="0" w:line="302" w:lineRule="auto"/>
        <w:rPr>
          <w:sz w:val="20"/>
          <w:szCs w:val="20"/>
          <w:color w:val="auto"/>
        </w:rPr>
      </w:pPr>
      <w:r>
        <w:rPr>
          <w:rFonts w:ascii="Arial" w:cs="Arial" w:eastAsia="Arial" w:hAnsi="Arial"/>
          <w:sz w:val="16"/>
          <w:szCs w:val="16"/>
          <w:color w:val="auto"/>
        </w:rPr>
        <w:t>The first system equipped with the Kornit NeoPoly Technology is the new Kornit Avalanche Poly Pro, a member of Kornit’s industrial platform. The single-step Poly Pro enables easy and cost effective short-runs and on-demand printing on polyester garments. The new Kornit Avalanche Poly Pro system was unveiled at events during April 2019 and is commercially available. Initial sales of this system have been made.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Kornit Presto System for Digital Direct-to-Fabric Printing</w:t>
      </w:r>
    </w:p>
    <w:p>
      <w:pPr>
        <w:spacing w:after="0" w:line="158" w:lineRule="exact"/>
        <w:rPr>
          <w:sz w:val="20"/>
          <w:szCs w:val="20"/>
          <w:color w:val="auto"/>
        </w:rPr>
      </w:pPr>
    </w:p>
    <w:p>
      <w:pPr>
        <w:jc w:val="both"/>
        <w:ind w:left="560" w:right="559" w:firstLine="432"/>
        <w:spacing w:after="0" w:line="257" w:lineRule="auto"/>
        <w:rPr>
          <w:sz w:val="20"/>
          <w:szCs w:val="20"/>
          <w:color w:val="auto"/>
        </w:rPr>
      </w:pPr>
      <w:r>
        <w:rPr>
          <w:rFonts w:ascii="Arial" w:cs="Arial" w:eastAsia="Arial" w:hAnsi="Arial"/>
          <w:sz w:val="18"/>
          <w:szCs w:val="18"/>
          <w:color w:val="auto"/>
        </w:rPr>
        <w:t>On April 17, 2019, we announced the introduction of the new Kornit Presto, the only industrial single-step solution for DTF printing. The Kornit Presto solution eliminates the need for pre and post treatment of fabric and allows for high-quality printing on a broad variety of fabric types and applications. The Kornit Presto does not consume water in the printing process, making it a highly environmentally-friendly solution for DTF textile printing.</w:t>
      </w:r>
    </w:p>
    <w:p>
      <w:pPr>
        <w:spacing w:after="0" w:line="121" w:lineRule="exact"/>
        <w:rPr>
          <w:sz w:val="20"/>
          <w:szCs w:val="20"/>
          <w:color w:val="auto"/>
        </w:rPr>
      </w:pPr>
    </w:p>
    <w:p>
      <w:pPr>
        <w:jc w:val="both"/>
        <w:ind w:left="560" w:right="539" w:firstLine="432"/>
        <w:spacing w:after="0" w:line="250" w:lineRule="auto"/>
        <w:rPr>
          <w:sz w:val="20"/>
          <w:szCs w:val="20"/>
          <w:color w:val="auto"/>
        </w:rPr>
      </w:pPr>
      <w:r>
        <w:rPr>
          <w:rFonts w:ascii="Arial" w:cs="Arial" w:eastAsia="Arial" w:hAnsi="Arial"/>
          <w:sz w:val="18"/>
          <w:szCs w:val="18"/>
          <w:color w:val="auto"/>
        </w:rPr>
        <w:t>The new Kornit Presto comes with the NeoPigment Robusto ink. Implemented into the Kornit NeoPigment</w:t>
      </w:r>
      <w:r>
        <w:rPr>
          <w:rFonts w:ascii="Arial" w:cs="Arial" w:eastAsia="Arial" w:hAnsi="Arial"/>
          <w:sz w:val="20"/>
          <w:szCs w:val="20"/>
          <w:color w:val="auto"/>
          <w:vertAlign w:val="superscript"/>
        </w:rPr>
        <w:t>TM</w:t>
      </w:r>
      <w:r>
        <w:rPr>
          <w:rFonts w:ascii="Arial" w:cs="Arial" w:eastAsia="Arial" w:hAnsi="Arial"/>
          <w:sz w:val="18"/>
          <w:szCs w:val="18"/>
          <w:color w:val="auto"/>
        </w:rPr>
        <w:t xml:space="preserve"> process, the Robusto provides above-industry standard wash and rub results and exceptional color fastness across a wide fabric and application range. The Robusto enjoys faster physical and chemical bonding characteristics, enabling a significantly shorter curing time, while providing industry-leading quality and a wide color gamut. The NeoPigment Robusto ink was developed with sustainability priorities and is ECO PASSPORT and GOTS V5 positive listed.</w:t>
      </w:r>
    </w:p>
    <w:p>
      <w:pPr>
        <w:spacing w:after="0" w:line="114" w:lineRule="exact"/>
        <w:rPr>
          <w:sz w:val="20"/>
          <w:szCs w:val="20"/>
          <w:color w:val="auto"/>
        </w:rPr>
      </w:pPr>
    </w:p>
    <w:p>
      <w:pPr>
        <w:jc w:val="both"/>
        <w:ind w:left="560" w:right="539" w:firstLine="432"/>
        <w:spacing w:after="0" w:line="312" w:lineRule="auto"/>
        <w:rPr>
          <w:sz w:val="20"/>
          <w:szCs w:val="20"/>
          <w:color w:val="auto"/>
        </w:rPr>
      </w:pPr>
      <w:r>
        <w:rPr>
          <w:rFonts w:ascii="Arial" w:cs="Arial" w:eastAsia="Arial" w:hAnsi="Arial"/>
          <w:sz w:val="16"/>
          <w:szCs w:val="16"/>
          <w:color w:val="auto"/>
        </w:rPr>
        <w:t>The Kornit Presto solution suits a wide range of business and application needs in a variety of industry segments, including fast growing segments within the on-demand fashion and home décor markets. It is a highly productive solution, available in multiple configurations and able to print 450 square meters per hour.</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Kornit Presto is expected to be commercially released at ITMA Barcelona at the end of June 2019.</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Initial orders for the system have been received.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Hiring of Chris Govier as Managing Director, Europe</w:t>
      </w:r>
    </w:p>
    <w:p>
      <w:pPr>
        <w:spacing w:after="0" w:line="158" w:lineRule="exact"/>
        <w:rPr>
          <w:sz w:val="20"/>
          <w:szCs w:val="20"/>
          <w:color w:val="auto"/>
        </w:rPr>
      </w:pPr>
    </w:p>
    <w:p>
      <w:pPr>
        <w:jc w:val="both"/>
        <w:ind w:left="560" w:right="559" w:firstLine="432"/>
        <w:spacing w:after="0" w:line="277" w:lineRule="auto"/>
        <w:rPr>
          <w:sz w:val="20"/>
          <w:szCs w:val="20"/>
          <w:color w:val="auto"/>
        </w:rPr>
      </w:pPr>
      <w:r>
        <w:rPr>
          <w:rFonts w:ascii="Arial" w:cs="Arial" w:eastAsia="Arial" w:hAnsi="Arial"/>
          <w:sz w:val="18"/>
          <w:szCs w:val="18"/>
          <w:color w:val="auto"/>
        </w:rPr>
        <w:t>On May 14, 2019, we announced that Chris Govier has been named Managing Director at Kornit Digital Europe GmbH.</w:t>
      </w:r>
    </w:p>
    <w:p>
      <w:pPr>
        <w:spacing w:after="0" w:line="89" w:lineRule="exact"/>
        <w:rPr>
          <w:sz w:val="20"/>
          <w:szCs w:val="20"/>
          <w:color w:val="auto"/>
        </w:rPr>
      </w:pPr>
    </w:p>
    <w:p>
      <w:pPr>
        <w:jc w:val="both"/>
        <w:ind w:left="560" w:right="539" w:firstLine="432"/>
        <w:spacing w:after="0" w:line="259" w:lineRule="auto"/>
        <w:rPr>
          <w:sz w:val="20"/>
          <w:szCs w:val="20"/>
          <w:color w:val="auto"/>
        </w:rPr>
      </w:pPr>
      <w:r>
        <w:rPr>
          <w:rFonts w:ascii="Arial" w:cs="Arial" w:eastAsia="Arial" w:hAnsi="Arial"/>
          <w:sz w:val="18"/>
          <w:szCs w:val="18"/>
          <w:color w:val="auto"/>
        </w:rPr>
        <w:t>Mr. Govier is a proven leader who brings broad experience for supporting customers with industrial digital transformation, a proven record of driving growth, and solid experience building and managing world class teams. In his new role, Mr. Govier will oversee Kornit Digital’s operations in Europe, the Middle East and Africa (EMEA) and</w:t>
      </w:r>
    </w:p>
    <w:p>
      <w:pPr>
        <w:sectPr>
          <w:pgSz w:w="11900" w:h="16838" w:orient="portrait"/>
          <w:cols w:equalWidth="0" w:num="1">
            <w:col w:w="9019"/>
          </w:cols>
          <w:pgMar w:left="1440" w:top="463" w:right="1440"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7" w:name="page8"/>
    <w:bookmarkEnd w:id="7"/>
    <w:p>
      <w:pPr>
        <w:jc w:val="both"/>
        <w:ind w:left="560" w:right="53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5516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850" cy="5516245"/>
                    </a:xfrm>
                    <a:prstGeom prst="rect">
                      <a:avLst/>
                    </a:prstGeom>
                    <a:noFill/>
                  </pic:spPr>
                </pic:pic>
              </a:graphicData>
            </a:graphic>
          </wp:anchor>
        </w:drawing>
        <w:t>will be instrumental in scaling up Kornit’s business within those regions. Mr. Govier previously served in sales and general management roles at Xerox Corporation, and holds a Bachelor’s Degree from the University of Wellington, New Zealand.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Kiryat Gat Facility</w:t>
      </w:r>
    </w:p>
    <w:p>
      <w:pPr>
        <w:spacing w:after="0" w:line="158" w:lineRule="exact"/>
        <w:rPr>
          <w:sz w:val="20"/>
          <w:szCs w:val="20"/>
          <w:color w:val="auto"/>
        </w:rPr>
      </w:pPr>
    </w:p>
    <w:p>
      <w:pPr>
        <w:jc w:val="both"/>
        <w:ind w:left="560" w:right="539" w:firstLine="432"/>
        <w:spacing w:after="0" w:line="287" w:lineRule="auto"/>
        <w:rPr>
          <w:sz w:val="20"/>
          <w:szCs w:val="20"/>
          <w:color w:val="auto"/>
        </w:rPr>
      </w:pPr>
      <w:r>
        <w:rPr>
          <w:rFonts w:ascii="Arial" w:cs="Arial" w:eastAsia="Arial" w:hAnsi="Arial"/>
          <w:sz w:val="16"/>
          <w:szCs w:val="16"/>
          <w:color w:val="auto"/>
        </w:rPr>
        <w:t>In January 2019, we began construction of our new 6,400 square meter manufacturing and ink storage facility in Kiryat Gat, Israel, which we believe, when complete, will increase our operational efficiency and improve safety and security. Construction is being carried out by Agrotop Ltd. pursuant to a primary contractor agreement that we entered into in January 2019. Under that agreement, Agrotop is responsible for all of the works, operations and tasks that are required for the construction of the facility and is paid on a time and materials basis. In April 2019, we entered into an agreement with Y.V. Galil Engineering Ltd., for the design and installation of a production line at the new facility. We are also paying Galil Engineering on a time and materials basis. The construction of the new facility, including the production line, is expected to be completed no later than August 2020. We currently estimate that the total cost for construction of the facility and design and installation of the production line will be NIS 43 million ($12 million based on current exchange rates). See “Risks Related to Our Business, Our Ordinary Shares and the Offering.”</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560" w:right="539" w:firstLine="432"/>
        <w:spacing w:after="0" w:line="312" w:lineRule="auto"/>
        <w:rPr>
          <w:sz w:val="20"/>
          <w:szCs w:val="20"/>
          <w:color w:val="auto"/>
        </w:rPr>
      </w:pPr>
      <w:r>
        <w:rPr>
          <w:rFonts w:ascii="Arial" w:cs="Arial" w:eastAsia="Arial" w:hAnsi="Arial"/>
          <w:sz w:val="16"/>
          <w:szCs w:val="16"/>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66"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 xml:space="preserve">We are subject to the provisions of the Israeli Companies Law, 5759-1999, as amended, or the Israeli Companies Law. Our principal executive offices are located at 12 Ha’Amal Street, Rosh Ha’Ayin 4809246, Israel, and our telephone number is +972-3-908-5800. Our website address is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(the information contained therein or linked thereto shall not be considered incorporated by reference in this prospectus supplement or the accompanying prospectus). Our agent for service of process in the United States is Kornit Digital North America Inc., located at 480 South Dean Street, Englewood, New Jersey 07631, and its telephone number is (888) 456-7648.</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162" w:lineRule="exact"/>
        <w:rPr>
          <w:sz w:val="20"/>
          <w:szCs w:val="20"/>
          <w:color w:val="auto"/>
        </w:rPr>
      </w:pPr>
    </w:p>
    <w:p>
      <w:pPr>
        <w:jc w:val="both"/>
        <w:ind w:left="560" w:right="539" w:firstLine="432"/>
        <w:spacing w:after="0" w:line="257" w:lineRule="auto"/>
        <w:rPr>
          <w:sz w:val="20"/>
          <w:szCs w:val="20"/>
          <w:color w:val="auto"/>
        </w:rPr>
      </w:pPr>
      <w:r>
        <w:rPr>
          <w:rFonts w:ascii="Arial" w:cs="Arial" w:eastAsia="Arial" w:hAnsi="Arial"/>
          <w:sz w:val="18"/>
          <w:szCs w:val="18"/>
          <w:color w:val="auto"/>
        </w:rPr>
        <w:t>We are party to an agreement with Fritz Companies Israel T. Ltd. (“Fritz”), a logistics company. Fortissimo Capital holds certain interests in Fritz. Accordingly, board members who are principals of Fortissimo Capital may be considered to have a personal interest in transactions of the Company with Fritz. During the three months ended March 31, 2019 and 2018 logistics service fees paid to Fritz were approximately $0.9 million and $0.3 million, respectively.</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6047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6047740"/>
                    </a:xfrm>
                    <a:prstGeom prst="rect">
                      <a:avLst/>
                    </a:prstGeom>
                    <a:noFill/>
                  </pic:spPr>
                </pic:pic>
              </a:graphicData>
            </a:graphic>
          </wp:anchor>
        </w:drawing>
        <w:t>The Offering</w:t>
      </w:r>
    </w:p>
    <w:p>
      <w:pPr>
        <w:sectPr>
          <w:pgSz w:w="11900" w:h="16838" w:orient="portrait"/>
          <w:cols w:equalWidth="0" w:num="1">
            <w:col w:w="9019"/>
          </w:cols>
          <w:pgMar w:left="1440" w:top="540" w:right="1440" w:bottom="1440" w:gutter="0" w:footer="0" w:header="0"/>
        </w:sectPr>
      </w:pPr>
    </w:p>
    <w:p>
      <w:pPr>
        <w:spacing w:after="0" w:line="2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Ordinary shares being offered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4,340,000 ordinary shares (or 4,991,000 ordinary shares if the underwriters exercise in full their option to purchase additional ordinary shares).</w:t>
      </w:r>
    </w:p>
    <w:p>
      <w:pPr>
        <w:spacing w:after="0" w:line="154" w:lineRule="exact"/>
        <w:rPr>
          <w:sz w:val="20"/>
          <w:szCs w:val="20"/>
          <w:color w:val="auto"/>
        </w:rPr>
      </w:pPr>
    </w:p>
    <w:p>
      <w:pPr>
        <w:sectPr>
          <w:pgSz w:w="11900" w:h="16838" w:orient="portrait"/>
          <w:cols w:equalWidth="0" w:num="2">
            <w:col w:w="3200" w:space="720"/>
            <w:col w:w="5099"/>
          </w:cols>
          <w:pgMar w:left="1440" w:top="540" w:right="1440"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Ordinary shares outstanding immediately</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prior to this offering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35,363,155 ordinary shares.</w:t>
      </w:r>
    </w:p>
    <w:p>
      <w:pPr>
        <w:spacing w:after="0" w:line="221" w:lineRule="exact"/>
        <w:rPr>
          <w:sz w:val="20"/>
          <w:szCs w:val="20"/>
          <w:color w:val="auto"/>
        </w:rPr>
      </w:pPr>
    </w:p>
    <w:p>
      <w:pPr>
        <w:sectPr>
          <w:pgSz w:w="11900" w:h="16838" w:orient="portrait"/>
          <w:cols w:equalWidth="0" w:num="2">
            <w:col w:w="3520" w:space="400"/>
            <w:col w:w="5099"/>
          </w:cols>
          <w:pgMar w:left="1440" w:top="540" w:right="1440"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Ordinary shares outstanding upon</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completion of this offering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39,703,155 ordinary shares (or 40,354,155 ordinary shares if the underwriters exercise in full their option to purchase additional ordinary shares).</w:t>
      </w:r>
    </w:p>
    <w:p>
      <w:pPr>
        <w:spacing w:after="0" w:line="154" w:lineRule="exact"/>
        <w:rPr>
          <w:sz w:val="20"/>
          <w:szCs w:val="20"/>
          <w:color w:val="auto"/>
        </w:rPr>
      </w:pPr>
    </w:p>
    <w:p>
      <w:pPr>
        <w:sectPr>
          <w:pgSz w:w="11900" w:h="16838" w:orient="portrait"/>
          <w:cols w:equalWidth="0" w:num="2">
            <w:col w:w="3200" w:space="720"/>
            <w:col w:w="5099"/>
          </w:cols>
          <w:pgMar w:left="1440" w:top="540" w:right="1440" w:bottom="1440" w:gutter="0" w:footer="0" w:header="0"/>
          <w:type w:val="continuous"/>
        </w:sectPr>
      </w:pPr>
    </w:p>
    <w:p>
      <w:pPr>
        <w:ind w:left="56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ind w:right="559"/>
        <w:spacing w:after="0" w:line="287" w:lineRule="auto"/>
        <w:rPr>
          <w:sz w:val="20"/>
          <w:szCs w:val="20"/>
          <w:color w:val="auto"/>
        </w:rPr>
      </w:pPr>
      <w:r>
        <w:rPr>
          <w:rFonts w:ascii="Arial" w:cs="Arial" w:eastAsia="Arial" w:hAnsi="Arial"/>
          <w:sz w:val="16"/>
          <w:szCs w:val="16"/>
          <w:color w:val="auto"/>
        </w:rPr>
        <w:t>We will receive net proceeds from this offering of approximately $112.9 million, or $129.9 million if the underwriters exercise in full their option to purchase additional ordinary shares, after deducting underwriting discounts and commissions and estimated offering expenses payable by us. We intend to use the net proceeds from this offering for future potential acquisitions, including complementary businesses, technologies or assets, and for general corporate purposes, including working capital and capital expenditures. We have no agreements or understandings with respect to any acquisition or investment at this time. See “Use of Proceeds.”</w:t>
      </w:r>
    </w:p>
    <w:p>
      <w:pPr>
        <w:spacing w:after="0" w:line="146" w:lineRule="exact"/>
        <w:rPr>
          <w:sz w:val="20"/>
          <w:szCs w:val="20"/>
          <w:color w:val="auto"/>
        </w:rPr>
      </w:pPr>
    </w:p>
    <w:p>
      <w:pPr>
        <w:sectPr>
          <w:pgSz w:w="11900" w:h="16838" w:orient="portrait"/>
          <w:cols w:equalWidth="0" w:num="2">
            <w:col w:w="3200" w:space="720"/>
            <w:col w:w="5099"/>
          </w:cols>
          <w:pgMar w:left="1440" w:top="540" w:right="1440"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“KRNT”</w:t>
      </w:r>
    </w:p>
    <w:p>
      <w:pPr>
        <w:spacing w:after="0" w:line="198" w:lineRule="exact"/>
        <w:rPr>
          <w:sz w:val="20"/>
          <w:szCs w:val="20"/>
          <w:color w:val="auto"/>
        </w:rPr>
      </w:pPr>
    </w:p>
    <w:p>
      <w:pPr>
        <w:sectPr>
          <w:pgSz w:w="11900" w:h="16838" w:orient="portrait"/>
          <w:cols w:equalWidth="0" w:num="2">
            <w:col w:w="3260" w:space="660"/>
            <w:col w:w="5099"/>
          </w:cols>
          <w:pgMar w:left="1440" w:top="540" w:right="1440"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559"/>
        <w:spacing w:after="0" w:line="257" w:lineRule="auto"/>
        <w:rPr>
          <w:sz w:val="20"/>
          <w:szCs w:val="20"/>
          <w:color w:val="auto"/>
        </w:rPr>
      </w:pPr>
      <w:r>
        <w:rPr>
          <w:rFonts w:ascii="Arial" w:cs="Arial" w:eastAsia="Arial" w:hAnsi="Arial"/>
          <w:sz w:val="18"/>
          <w:szCs w:val="18"/>
          <w:color w:val="auto"/>
        </w:rPr>
        <w:t>See “Risk Factors” and other information included and incorporated by reference in this prospectus supplement and the accompanying prospectus for a discussion of factors you should carefully consider before deciding to invest in our ordinary shares.</w:t>
      </w:r>
    </w:p>
    <w:p>
      <w:pPr>
        <w:spacing w:after="0" w:line="188" w:lineRule="exact"/>
        <w:rPr>
          <w:sz w:val="20"/>
          <w:szCs w:val="20"/>
          <w:color w:val="auto"/>
        </w:rPr>
      </w:pPr>
    </w:p>
    <w:p>
      <w:pPr>
        <w:sectPr>
          <w:pgSz w:w="11900" w:h="16838" w:orient="portrait"/>
          <w:cols w:equalWidth="0" w:num="2">
            <w:col w:w="3200" w:space="720"/>
            <w:col w:w="5099"/>
          </w:cols>
          <w:pgMar w:left="1440" w:top="540" w:right="1440" w:bottom="1440" w:gutter="0" w:footer="0" w:header="0"/>
          <w:type w:val="continuous"/>
        </w:sectPr>
      </w:pPr>
    </w:p>
    <w:p>
      <w:pPr>
        <w:jc w:val="both"/>
        <w:ind w:left="560" w:right="539" w:firstLine="432"/>
        <w:spacing w:after="0" w:line="290" w:lineRule="auto"/>
        <w:rPr>
          <w:sz w:val="20"/>
          <w:szCs w:val="20"/>
          <w:color w:val="auto"/>
        </w:rPr>
      </w:pPr>
      <w:r>
        <w:rPr>
          <w:rFonts w:ascii="Arial" w:cs="Arial" w:eastAsia="Arial" w:hAnsi="Arial"/>
          <w:sz w:val="16"/>
          <w:szCs w:val="16"/>
          <w:color w:val="auto"/>
        </w:rPr>
        <w:t>Unless otherwise indicated, the number of ordinary shares outstanding before and after this offering is based on the number of ordinary shares outstanding as of March 31, 2019 and excludes as of that date (1) 2,530,486 ordinary shares available for future issuance under our equity incentive plans and 1,393,052 ordinary shares underlying outstanding options, at a weighted average exercise price of $14.91 per share, (2) 1,111,773 ordinary shares underlying warrants granted to Amazon.com, Inc., all of which were vested and exercisable at an exercise price of $13.04 per share, and (3) 391,100 restricted share units outstanding under our equity incentive plans. The number of shares reserved for future issuance under our equity incentive plans reflects an increase of 1,051,956 ordinary shares which was effective as of January 1, 2019.</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Investing in our ordinary shares involves a high degree of risk. You should consider carefully the risks and uncertainties described below together with the other information included in this prospectus supplement, the accompanying prospectus and incorporated by reference herein, before deciding to purchase our ordinary shares. In addition, you should carefully consider, among other things, the section entitled “Risk Factors” beginning on page 5 of our Annual Report on Form 20-F for the year ended December 31, 2018 and in other documents that we subsequently file or furnish with the SEC, of which all of the filed documents and, to the extent specifically designated therein, the furnished documents are incorporated by reference into this prospectus supplement. The risks described below and incorporated herein by reference are those which we believe are the material risks that we face. The occurrence of any of these risks may materially and adversely affect our business, financial condition, results of operations and future prospects. In such an event, the market price of our ordinary shares could decline, and you could lose part or all of your investment.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 Our Ordinary Shares and the Offering</w:t>
      </w:r>
    </w:p>
    <w:p>
      <w:pPr>
        <w:spacing w:after="0" w:line="22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have received and may receive further Israeli government grants for certain research and development activities. The terms of those grants restrict our ability to transfer manufacturing operations or technology outside of Israel.</w:t>
      </w:r>
    </w:p>
    <w:p>
      <w:pPr>
        <w:spacing w:after="0" w:line="10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research and development efforts have been financed in part through grants from the Israeli National Authority for Technological Innovation, or the Innovation Authority (previously known as the Israeli Office of the Chief Scientist). Prior to 2015, we received various grants from the Innovation Authority, all of which we repaid. In 2019, we have received new commitments from the Innovation Authority for non-royalty bearing grants to reimburse us for up to 50% of our research and development expenses in connection with two projects, or NIS 1.59 million (approximately $0.44 million, based on current exchange rates), in the aggregate. To date, we have received from the Innovation Authority NIS 0.56 million (approximately $160,000) of this new committed amount. We must comply with the requirements of the Encouragement of Research, Development and Technological Innovation in the Industry Law, 5744-1984 (formerly known as the Law for the Encouragement of Research and Development in Industry 5744-1984), and related regulations, or collectively, the Innovation Law, in connection with that new funding that we have begun to receive and any past funding that we had received from the Innovation Authority.</w:t>
      </w:r>
    </w:p>
    <w:p>
      <w:pPr>
        <w:spacing w:after="0" w:line="11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When a company develops know-how, technology or products and related services using grants provided by the Innovation Authority, the terms of these grants and the Innovation Law, among others, restrict the transfer outside of Israel of such Innovation Authority-supported know-how (including by a way of license for research and development purposes), the transfer inside Israel of such know-how and the transfer of manufacturing or manufacturing rights of such products, and technologies outside of Israel, without the prior approval of the Innovation Authority. We may not receive those approvals.</w:t>
      </w:r>
    </w:p>
    <w:p>
      <w:pPr>
        <w:spacing w:after="0" w:line="1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are subject to the restrictions set forth under the Innovation Law, including:</w:t>
      </w:r>
    </w:p>
    <w:p>
      <w:pPr>
        <w:spacing w:after="0" w:line="144" w:lineRule="exact"/>
        <w:rPr>
          <w:sz w:val="20"/>
          <w:szCs w:val="20"/>
          <w:color w:val="auto"/>
        </w:rPr>
      </w:pPr>
    </w:p>
    <w:p>
      <w:pPr>
        <w:jc w:val="both"/>
        <w:ind w:left="1320" w:right="459" w:hanging="425"/>
        <w:spacing w:after="0" w:line="255" w:lineRule="auto"/>
        <w:tabs>
          <w:tab w:leader="none" w:pos="14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Transfer of know-how outside of Israel</w:t>
      </w:r>
      <w:r>
        <w:rPr>
          <w:rFonts w:ascii="Arial" w:cs="Arial" w:eastAsia="Arial" w:hAnsi="Arial"/>
          <w:sz w:val="18"/>
          <w:szCs w:val="18"/>
          <w:color w:val="auto"/>
        </w:rPr>
        <w:t>. Transfer of the know-how that was developed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of the Innovation Authority outside of 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p>
      <w:pPr>
        <w:spacing w:after="0" w:line="125" w:lineRule="exact"/>
        <w:rPr>
          <w:rFonts w:ascii="Arial" w:cs="Arial" w:eastAsia="Arial" w:hAnsi="Arial"/>
          <w:sz w:val="18"/>
          <w:szCs w:val="18"/>
          <w:color w:val="auto"/>
        </w:rPr>
      </w:pPr>
    </w:p>
    <w:p>
      <w:pPr>
        <w:jc w:val="both"/>
        <w:ind w:left="1320" w:right="459" w:hanging="425"/>
        <w:spacing w:after="0" w:line="272" w:lineRule="auto"/>
        <w:tabs>
          <w:tab w:leader="none" w:pos="1311"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Local manufacturing obligation. </w:t>
      </w:r>
      <w:r>
        <w:rPr>
          <w:rFonts w:ascii="Arial" w:cs="Arial" w:eastAsia="Arial" w:hAnsi="Arial"/>
          <w:sz w:val="17"/>
          <w:szCs w:val="17"/>
          <w:color w:val="auto"/>
        </w:rPr>
        <w:t>The terms of the grants under the Innovation Law require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of products resulting from 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event, a notice to the Innovation Authority is required.</w:t>
      </w:r>
    </w:p>
    <w:p>
      <w:pPr>
        <w:spacing w:after="0" w:line="110" w:lineRule="exact"/>
        <w:rPr>
          <w:rFonts w:ascii="Arial" w:cs="Arial" w:eastAsia="Arial" w:hAnsi="Arial"/>
          <w:sz w:val="17"/>
          <w:szCs w:val="17"/>
          <w:color w:val="auto"/>
        </w:rPr>
      </w:pPr>
    </w:p>
    <w:p>
      <w:pPr>
        <w:ind w:left="1320" w:right="459" w:hanging="425"/>
        <w:spacing w:after="0" w:line="277" w:lineRule="auto"/>
        <w:tabs>
          <w:tab w:leader="none" w:pos="1432"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Certain reporting obligations</w:t>
      </w:r>
      <w:r>
        <w:rPr>
          <w:rFonts w:ascii="Arial" w:cs="Arial" w:eastAsia="Arial" w:hAnsi="Arial"/>
          <w:sz w:val="18"/>
          <w:szCs w:val="18"/>
          <w:color w:val="auto"/>
        </w:rPr>
        <w:t>. A recipient of a grant or a benefit under the Innovation Law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notify the Innovation Authority of events enumerated in the Innovation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 w:name="page11"/>
    <w:bookmarkEnd w:id="10"/>
    <w:p>
      <w:pPr>
        <w:jc w:val="both"/>
        <w:ind w:left="460" w:right="459" w:firstLine="432"/>
        <w:spacing w:after="0" w:line="270" w:lineRule="auto"/>
        <w:rPr>
          <w:sz w:val="20"/>
          <w:szCs w:val="20"/>
          <w:color w:val="auto"/>
        </w:rPr>
      </w:pPr>
      <w:r>
        <w:rPr>
          <w:rFonts w:ascii="Arial" w:cs="Arial" w:eastAsia="Arial" w:hAnsi="Arial"/>
          <w:sz w:val="17"/>
          <w:szCs w:val="17"/>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18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Our new Kiryat Gat facility is being constructed on lands leased by the Company from the Israel Lands Administration, or ILA. If we are unable to continue to use such lands, we would be unable to use the facility and our results of operations and future prospects will suffer as a result. In addition, construction of the facility may subject us to risks of construction delays or cost overruns.</w:t>
      </w:r>
    </w:p>
    <w:p>
      <w:pPr>
        <w:spacing w:after="0" w:line="9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November 2018, we entered into a development agreement, which we refer to as the Development Agreement, with the ILA for the construction of our new, modern, manufacturing facility in Kiryat Gat on lands leased from the ILA. Construction has begun and is currently expected to be completed by 2020. The Development Agreement provides that if the Company were a “foreign subject,” which includes the Company being under foreign control (i.e., a majority of our ordinary shares are held by non-Israelis), this would constitute a fundamental breach under the agreement. We intend to follow a specific standard process for seeking approval from the ILA in which the ILA approves our entering into the Development Agreement despite our potential status as a “foreign subject,” since our shares are traded on Nasdaq, and we are held by multiple shareholders whose identities are unknown. However, should such approval not be provided, the ILA would be entitled to terminate the Development Agreement if the Company is considered a “foreign subject” under the terms of such agreement. If the Development Agreement were terminated, we would be unable to use the new Kiryat Gat facility being constructed on this property pursuant to the Development Agreement, which would have a material adverse effect on our results of operations.</w:t>
      </w:r>
    </w:p>
    <w:p>
      <w:pPr>
        <w:spacing w:after="0" w:line="12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addition, in January 2019 we entered into a primary contractor agreement with Agrotop Ltd. to begin construction of our Kiryat Gat facility. In April 2019, we entered into an agreement with Y.V. Galil Engineering Ltd. for the design and installation of a production line at the new facility. We are also paying Galil Engineering on a time and materials basis. The construction of the new facility, including the production line, is expected to be completed no later than August 2020. We currently estimate that the total cost for construction of the facility and design and installation of the production line will be NIS 43 million ($12 million based on current exchange rates). This project is subject to risks of delay or cost overruns inherent in any construction project resulting from numerous factors, including the following:</w:t>
      </w:r>
    </w:p>
    <w:p>
      <w:pPr>
        <w:spacing w:after="0" w:line="111" w:lineRule="exact"/>
        <w:rPr>
          <w:sz w:val="20"/>
          <w:szCs w:val="20"/>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unscheduled delays in the delivery of ordered materials and equipment;</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cost increases;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interferences; and</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obtaining necessary permits or in meeting permit conditions.</w:t>
      </w:r>
    </w:p>
    <w:p>
      <w:pPr>
        <w:spacing w:after="0" w:line="15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A material delay or cost overrun in connection with the construction of the Kiryat Gat facility or the installation of the production line could adversely impact our results of operations and future prospects.</w:t>
      </w:r>
    </w:p>
    <w:p>
      <w:pPr>
        <w:spacing w:after="0" w:line="14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could be negatively affected by this offering and future sales of our ordinary shares.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and our directors and officers have agreed with the underwriters that, subject to limited exceptions, for a period of 90 days after the date of this prospectus supplement, we and they will not directly or indirectly offer, pledge, sell, contract to sell, grant any option to purchase or otherwise dispose of any ordinary shares or any securities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jc w:val="both"/>
        <w:ind w:left="460" w:right="459"/>
        <w:spacing w:after="0" w:line="255" w:lineRule="auto"/>
        <w:rPr>
          <w:sz w:val="20"/>
          <w:szCs w:val="20"/>
          <w:color w:val="auto"/>
        </w:rPr>
      </w:pPr>
      <w:r>
        <w:rPr>
          <w:rFonts w:ascii="Arial" w:cs="Arial" w:eastAsia="Arial" w:hAnsi="Arial"/>
          <w:sz w:val="18"/>
          <w:szCs w:val="18"/>
          <w:color w:val="auto"/>
        </w:rPr>
        <w:t>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Citigroup Global Markets, Goldman Sachs &amp; Co. LLC. and Barclays Capital Inc., who may, in their sole discretion and at any time without notice, release all or any portion of the shares subject to those lock-up agreements. See “Underwriting.”</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Amazon is entitled to certain registration rights, which commenced on January 10, 2018, pursuant to a transaction agreement we entered into with Amazon on January 10, 2017. All shares sold pursuant to an offering covered by a registration statement will be freely transferable except if purchased by an affiliate. See “ITEM 7.B — Related Party Transactions — Investors’ Rights Agreement” and “ITEM 10.C — Material Contracts — Agreements with Amazon” in our Annual Report on Form 20-F for the year ended December 31, 2018.</w:t>
      </w:r>
    </w:p>
    <w:p>
      <w:pPr>
        <w:spacing w:after="0" w:line="126"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In addition, 535,774 ordinary shares are issuable under currently vested and exercisable share options granted to employees and office holders as of March 31, 2019. We have filed registration statements on Form S-8 under the Securities Act registering ordinary shares that we may issue under our share incentive plans, of which as of March 31, 2019 there were options, restricted share units and warrants to purchase 2,895,926 shares outstanding. Shares included in such registration statements may be freely sold in the public market upon issuance, except for shares held by affiliates who have certain restrictions on their ability to sell.</w:t>
      </w:r>
    </w:p>
    <w:p>
      <w:pPr>
        <w:spacing w:after="0" w:line="16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anticipate losing our “emerging growth company” status at the end of fiscal 2019 and will no longer be able to take advantage of certain exemptions from reporting requirements, including the auditor attestation requirements of Section 404 of SOX.</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SOX. We will cease to be an “emerging growth company” upon the earliest of (1) December 31, 2020, which is the first fiscal year following the fifth anniversary of our initial public offering, (2) the first fiscal year after our annual gross revenue is $1 billion or more, (3) the date on which we have, during the previous three-year period, issued more than $1 billion in non-convertible debt securities or (4) the end of any fiscal year in which the market value of our common stock held by non-affiliates exceeds $700 million as of the end of the second quarter of that fiscal year. We currently anticipate that we will lose our “emerging growth company” status as of the end of the year ended December 31, 2019 based on our current unaffiliated market capitalization. As a result of losing such status, we will be required to comply with the auditor attestation requirements of Section 404 of SOX and therefore will incur additional expenses in connection with such compliance and our management will need to devote additional time and effort to implement and comply with such requirements.</w:t>
      </w:r>
    </w:p>
    <w:p>
      <w:pPr>
        <w:spacing w:after="0" w:line="17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We have broad discretion to determine how to use the funds raised in this offering, and we may use them in ways that may not enhance our results of operations or the price of our ordinary shares.</w:t>
      </w:r>
    </w:p>
    <w:p>
      <w:pPr>
        <w:spacing w:after="0" w:line="66"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currently intend to use the net proceeds from this offering for future acquisitions, including complementary businesses, technologies or assets, and for general corporate purposes, including working capital and capital expenditures. We have no agreements or understandings with respect to any acquisition or investment at this time. Accordingly, we will have broad discretion as to how we use the net proceeds of this offering. We could spend the proceeds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ordinary shares could decline.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will receive net proceeds from this offering of approximately $112.9 million, or $129.9 million if the underwriters exercise in full their option to purchase additional ordinary shares, after deducting underwriting discounts and commissions and estimated offering expenses payable by us.</w:t>
      </w:r>
    </w:p>
    <w:p>
      <w:pPr>
        <w:spacing w:after="0" w:line="10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intend to use the net proceeds from this offering for future potential acquisitions, including complementary businesses, technologies or assets, and for general corporate purposes, including working capital and capital expenditures. We have no agreements or understandings with respect to any acquisition or investment at this time.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our cash and cash equivalents, available for sale marketable securities and total capitalization as of March 31, 2019:</w:t>
      </w:r>
    </w:p>
    <w:p>
      <w:pPr>
        <w:spacing w:after="0" w:line="89" w:lineRule="exact"/>
        <w:rPr>
          <w:sz w:val="20"/>
          <w:szCs w:val="20"/>
          <w:color w:val="auto"/>
        </w:rPr>
      </w:pPr>
    </w:p>
    <w:p>
      <w:pPr>
        <w:ind w:left="1320" w:hanging="425"/>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57" w:lineRule="exact"/>
        <w:rPr>
          <w:rFonts w:ascii="Arial" w:cs="Arial" w:eastAsia="Arial" w:hAnsi="Arial"/>
          <w:sz w:val="18"/>
          <w:szCs w:val="18"/>
          <w:color w:val="auto"/>
        </w:rPr>
      </w:pPr>
    </w:p>
    <w:p>
      <w:pPr>
        <w:jc w:val="both"/>
        <w:ind w:left="1320" w:right="459" w:hanging="425"/>
        <w:spacing w:after="0" w:line="286" w:lineRule="auto"/>
        <w:tabs>
          <w:tab w:leader="none" w:pos="1351"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an as adjusted basis to give effect to the issuance and sale of 4,340,000 ordinary shares by us in this offering at a public offering price of $27.50 per ordinary share, after deducting underwriting discounts and commissions and estimated offering expenses payable by us.</w:t>
      </w:r>
    </w:p>
    <w:p>
      <w:pPr>
        <w:spacing w:after="0" w:line="9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There has been no material change in our capitalization from debt or equity issuances, re-capitalizations or special dividends between March 31, 2019 and the date of this prospectus supplement. This table should be read in conjunction with “Risk Factors” above (including those incorporated by reference therein), “ITEM 5: Operating and Financial Review and Prospects” and our consolidated financial statements and the related notes incorporated by reference from our Annual Report on Form 20-F for the year ended December 31, 2018 and our U.S. GAAP financial information contained in the (i) consolidated statements of income, (ii) consolidated balance sheets and (iii) consolidated statement of cash flows for the three months ended March 31, 2019 incorporated by reference from our Report of Foreign Private Issuer on Form 6-K furnished to the SEC on May 13, 2019. See “Where You Can Find More Information.”</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As of March 31, 2019</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Actual</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As Adjusted</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jc w:val="right"/>
              <w:ind w:right="200"/>
              <w:spacing w:after="0"/>
              <w:rPr>
                <w:sz w:val="20"/>
                <w:szCs w:val="20"/>
                <w:color w:val="auto"/>
              </w:rPr>
            </w:pPr>
            <w:r>
              <w:rPr>
                <w:rFonts w:ascii="Arial" w:cs="Arial" w:eastAsia="Arial" w:hAnsi="Arial"/>
                <w:sz w:val="16"/>
                <w:szCs w:val="16"/>
                <w:color w:val="auto"/>
                <w:w w:val="89"/>
              </w:rPr>
              <w:t>(in thousands, except share data)</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Cash and cash equivalents, deposits and available for sale marketable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124,266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237,149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line="201" w:lineRule="exact"/>
              <w:rPr>
                <w:sz w:val="20"/>
                <w:szCs w:val="20"/>
                <w:color w:val="auto"/>
              </w:rPr>
            </w:pPr>
            <w:r>
              <w:rPr>
                <w:rFonts w:ascii="Arial" w:cs="Arial" w:eastAsia="Arial" w:hAnsi="Arial"/>
                <w:sz w:val="18"/>
                <w:szCs w:val="18"/>
                <w:color w:val="auto"/>
                <w:w w:val="91"/>
              </w:rPr>
              <w:t>Ordinary shares, NIS 0.01 par value: 200,000,000 shares authorized, actual;</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35,178,114 shares issued and outstanding</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160,228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273,098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spacing w:after="0"/>
              <w:rPr>
                <w:sz w:val="20"/>
                <w:szCs w:val="20"/>
                <w:color w:val="auto"/>
              </w:rPr>
            </w:pPr>
            <w:r>
              <w:rPr>
                <w:rFonts w:ascii="Arial" w:cs="Arial" w:eastAsia="Arial" w:hAnsi="Arial"/>
                <w:sz w:val="18"/>
                <w:szCs w:val="18"/>
                <w:color w:val="auto"/>
              </w:rPr>
              <w:t>Receivable on account of shares</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181,650</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294,533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 capitalization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181,650</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294,533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preceding table excludes as of March 31, 2019 (1) 2,530,486 ordinary shares available for future issuance under our equity incentive plans and 1,393,052 ordinary shares underlying outstanding options, at a weighted average exercise price of $14.91 per share, (2) 1,111,773 ordinary shares underlying warrants granted to Amazon.com, Inc., all of which were vested and exercisable at an exercise price of $13.04 per share, and (3) 391,100 restricted share units outstanding under our equity incentive plans. The number of shares reserved for future issuance under our equity incentive plans reflects an increase of 1,051,956 ordinary shares which was effective as of January 1, 2019.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 and Israeli Tax Considerations For Our Shareholders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Israeli Tax Consequences</w:t>
      </w:r>
    </w:p>
    <w:p>
      <w:pPr>
        <w:spacing w:after="0" w:line="14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158"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i w:val="1"/>
          <w:iCs w:val="1"/>
          <w:color w:val="auto"/>
        </w:rPr>
        <w:t xml:space="preserve">Capital Gains Taxes Applicable to Non-Israeli Resident Shareholders. </w:t>
      </w:r>
      <w:r>
        <w:rPr>
          <w:rFonts w:ascii="Arial" w:cs="Arial" w:eastAsia="Arial" w:hAnsi="Arial"/>
          <w:sz w:val="17"/>
          <w:szCs w:val="17"/>
          <w:color w:val="auto"/>
        </w:rPr>
        <w:t>Generally, a non-Israeli 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an individual or a corporation) who derives capital gains from the sale of shares in an Israeli resident company that are not listed for trading on the Tel-Aviv Stock Exchange on the date of sale, should be exempt from Israeli capital gains tax unless, among others, (i) the shares were held through a permanent establishment that the non-resident maintains in Israel, or (ii) most of the assets held, directly or indirectly, by the Israeli company — on the date of acquisition of the assets and during two years before their sale — stem from one or several of these: real estate rights or real estate association rights, a right to use real estate or any asset connected to real estate in Israel, a right to exploit natural resources in Israel or a right to income from real estate located in Israel. If not exempt, a non-Israeli would generally be subject to tax on capital gain at the ordinary corporate tax rate (23% in 2018 and thereafter), if generated by a company, or at the rate of 25%, if generated by an individual, or 30%, if generated by an individual who is a substantial shareholder (as defined under the Israeli Income Tax Ordinance) at the time of sale or at any time during the preceding 12-month period (or if the shareholder claims a deduction for interest and linkage differences expenses in connection with the purchase and holding of such shares). Individual and corporate shareholders dealing in securities in Israel are taxed at the tax rates applicable to business income (a corporate tax rate for a corporation and a marginal tax rate of up to 47% for an individual in 2018) unless contrary provisions in a relevant tax treaty apply.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2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disposition of shares by a shareholder who (i) is a U.S. resident (for purposes of the United States-Israel Tax Treaty), (ii) holds the shares as a capital asset, and (iii) is entitled to claim the benefits afforded to such person by the United States-Israel Tax Treaty, is generally exempt from Israeli capital gains tax. Such exemption will not apply if (a) the capital gain arising from such sale, exchange or disposition can be allocated to a permanent establishment that the shareholder maintained in Israel, under certain conditions, (b) the shareholder holds, directly or indirectly, shares representing 10% or more of the voting capital of the company during any part of the 12-month period preceding such sale, exchange or disposition, subject to certain conditions, (c) such U.S. resident is an individual and was present in Israel for a period or periods aggregating to 183 days or more during the relevant taxable year, (d) the capital gains arising from such sale, exchange or disposition is attributed to real estate located in Israel, or (e) the capital gain arising from such sale, exchange or disposition is attributed to royalties.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 w:name="page16"/>
    <w:bookmarkEnd w:id="15"/>
    <w:p>
      <w:pPr>
        <w:jc w:val="both"/>
        <w:ind w:left="460" w:right="459"/>
        <w:spacing w:after="0" w:line="277" w:lineRule="auto"/>
        <w:rPr>
          <w:sz w:val="20"/>
          <w:szCs w:val="20"/>
          <w:color w:val="auto"/>
        </w:rPr>
      </w:pPr>
      <w:r>
        <w:rPr>
          <w:rFonts w:ascii="Arial" w:cs="Arial" w:eastAsia="Arial" w:hAnsi="Arial"/>
          <w:sz w:val="18"/>
          <w:szCs w:val="18"/>
          <w:color w:val="auto"/>
        </w:rPr>
        <w:t>sale, exchange or disposition, subject to the limitations under U.S. law applicable to foreign tax credits. The United States-Israel Tax Treaty does not relate to U.S. state or local taxes.</w:t>
      </w:r>
    </w:p>
    <w:p>
      <w:pPr>
        <w:spacing w:after="0" w:line="8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non-Israeli resident, and, in the absence of such declarations or exemptions, may require the purchaser of the shares to withhold taxes at source.</w:t>
      </w:r>
    </w:p>
    <w:p>
      <w:pPr>
        <w:spacing w:after="0" w:line="9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 only with respect to shareholders which cannot demonstrate that they are exempt from tax on their capital gains from such transaction.</w:t>
      </w:r>
    </w:p>
    <w:p>
      <w:pPr>
        <w:spacing w:after="0" w:line="99"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i w:val="1"/>
          <w:iCs w:val="1"/>
          <w:color w:val="auto"/>
        </w:rPr>
        <w:t>Taxation of Non-Israeli Shareholders on Receipt of Dividends</w:t>
      </w:r>
      <w:r>
        <w:rPr>
          <w:rFonts w:ascii="Arial" w:cs="Arial" w:eastAsia="Arial" w:hAnsi="Arial"/>
          <w:sz w:val="16"/>
          <w:szCs w:val="16"/>
          <w:color w:val="auto"/>
        </w:rPr>
        <w:t>. Non-Israeli residents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or corporations) are generally subject to Israeli income tax on the receipt of dividends paid on our ordinary shares at the rate of 25%, unless relief is provided in a treaty between Israel and the shareholder’s country of residence (provided that a certificate from the Israel Tax Authority allowing for a reduced withholding tax rate is obtained in advance).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(provided that a certificate from the Israel Tax Authority allowing for a reduced withholding tax rate is obtained in advance).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(as such terms are defined in the Law for the Encouragement of Capital Investments, 5719-1959), unless a reduced tax rate is provided under an applicable tax treaty (provided that a certificate from the Israel Tax Authority allowing for a reduced withholding tax rate is obtained in advance). We cannot assure you that we will designate the profits that we may distribute in a way that will reduce shareholders’ tax liability.</w:t>
      </w:r>
    </w:p>
    <w:p>
      <w:pPr>
        <w:spacing w:after="0" w:line="31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or a Benefited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or a Benefited Enterprise are not entitled to such reduction under such tax treaty but are subject to withholding tax at the rate of 15% for such a United States corporate shareholder, provided that the condition related to our gross income for the previous year (as set forth in the previous sentence) is met.</w:t>
      </w:r>
    </w:p>
    <w:p>
      <w:pPr>
        <w:spacing w:after="0" w:line="115"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rate will be a blended rate reflecting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jc w:val="both"/>
        <w:ind w:left="460" w:right="459"/>
        <w:spacing w:after="0" w:line="279" w:lineRule="auto"/>
        <w:rPr>
          <w:sz w:val="20"/>
          <w:szCs w:val="20"/>
          <w:color w:val="auto"/>
        </w:rPr>
      </w:pPr>
      <w:r>
        <w:rPr>
          <w:rFonts w:ascii="Arial" w:cs="Arial" w:eastAsia="Arial" w:hAnsi="Arial"/>
          <w:sz w:val="17"/>
          <w:szCs w:val="17"/>
          <w:color w:val="auto"/>
        </w:rPr>
        <w:t>relative portions of the two types of income. We cannot assure you that we will designate the profits that we may distribute in a way that will reduce shareholders’ tax liability.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Excess Tax</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Individuals who are subject to tax in Israel (whether any such individual is an Israeli resident or non-Israeli resident) are also subject to an additional tax at a rate of 3% on annual income exceeding NIS 641,880 for 2018 and 649,560 for 2019 (which amount is linked to the annual change in the Israeli consumer price index), including, but not limited to, dividends, interest and capital gain.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8"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The following is a discussion of U.S. federal income tax considerations relating to the ownership and disposition of our ordinary shares by a U.S. Holder (as defined below). This discussion addresses only the U.S. federal income tax consequences to U.S. Holders of our ordinary shares that will hold such ordinary shares as capital assets. Except as otherwise provided herein, this discussion does not address tax considerations applicable to U.S. Holders that may be subject to special tax rules, including, without limitation:</w:t>
      </w:r>
    </w:p>
    <w:p>
      <w:pPr>
        <w:spacing w:after="0" w:line="91" w:lineRule="exact"/>
        <w:rPr>
          <w:sz w:val="20"/>
          <w:szCs w:val="20"/>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receive our shares as compensation for the performance of services;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38"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102" w:lineRule="exact"/>
        <w:rPr>
          <w:rFonts w:ascii="Arial" w:cs="Arial" w:eastAsia="Arial" w:hAnsi="Arial"/>
          <w:sz w:val="18"/>
          <w:szCs w:val="18"/>
          <w:color w:val="auto"/>
        </w:rPr>
      </w:pPr>
    </w:p>
    <w:p>
      <w:pPr>
        <w:ind w:left="1320" w:right="459" w:hanging="425"/>
        <w:spacing w:after="0" w:line="308" w:lineRule="auto"/>
        <w:tabs>
          <w:tab w:leader="none" w:pos="1392" w:val="left"/>
        </w:tabs>
        <w:numPr>
          <w:ilvl w:val="0"/>
          <w:numId w:val="5"/>
        </w:numPr>
        <w:rPr>
          <w:rFonts w:ascii="Arial" w:cs="Arial" w:eastAsia="Arial" w:hAnsi="Arial"/>
          <w:sz w:val="17"/>
          <w:szCs w:val="17"/>
          <w:color w:val="auto"/>
        </w:rPr>
      </w:pPr>
      <w:r>
        <w:rPr>
          <w:rFonts w:ascii="Arial" w:cs="Arial" w:eastAsia="Arial" w:hAnsi="Arial"/>
          <w:sz w:val="17"/>
          <w:szCs w:val="17"/>
          <w:color w:val="auto"/>
        </w:rPr>
        <w:t>partnerships (including entities classified as partnerships for U.S. federal income tax purposes) or other pass-through entities, or persons that will hold our shares through such an entity;</w:t>
      </w:r>
    </w:p>
    <w:p>
      <w:pPr>
        <w:spacing w:after="0" w:line="65" w:lineRule="exact"/>
        <w:rPr>
          <w:rFonts w:ascii="Arial" w:cs="Arial" w:eastAsia="Arial" w:hAnsi="Arial"/>
          <w:sz w:val="17"/>
          <w:szCs w:val="17"/>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59"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holding our shares in connection with a trade or business conducted outside the United States;</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elect to mark their securities to market;</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own or acquire directly, indirectly or through attribution 10.0% or more of the voting power or value of our shares; or</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51"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accrual method taxpayers subject to special tax accounting rules as a result of their use of financial statements under Section 451(b) of the Code.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jc w:val="both"/>
        <w:ind w:left="460" w:right="459" w:firstLine="432"/>
        <w:spacing w:after="0" w:line="264" w:lineRule="auto"/>
        <w:rPr>
          <w:sz w:val="20"/>
          <w:szCs w:val="20"/>
          <w:color w:val="auto"/>
        </w:rPr>
      </w:pPr>
      <w:r>
        <w:rPr>
          <w:rFonts w:ascii="Arial" w:cs="Arial" w:eastAsia="Arial" w:hAnsi="Arial"/>
          <w:sz w:val="18"/>
          <w:szCs w:val="18"/>
          <w:color w:val="auto"/>
        </w:rPr>
        <w:t>Moreover, this discussion does not address the United States federal estate, gift or alternative minimum tax or Medicare contribution tax considerations, or any state, local or foreign tax considerations, of the ownership and disposition of our ordinary shares.</w:t>
      </w:r>
    </w:p>
    <w:p>
      <w:pPr>
        <w:spacing w:after="0" w:line="10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This discussion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considerations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purposes of this description, a “U.S. Holder” is a beneficial owner of our ordinary shares that, for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income tax purposes, is:</w:t>
      </w:r>
    </w:p>
    <w:p>
      <w:pPr>
        <w:spacing w:after="0" w:line="143" w:lineRule="exact"/>
        <w:rPr>
          <w:sz w:val="20"/>
          <w:szCs w:val="20"/>
          <w:color w:val="auto"/>
        </w:rPr>
      </w:pPr>
    </w:p>
    <w:p>
      <w:pPr>
        <w:ind w:left="1320" w:hanging="42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44" w:lineRule="exact"/>
        <w:rPr>
          <w:rFonts w:ascii="Arial" w:cs="Arial" w:eastAsia="Arial" w:hAnsi="Arial"/>
          <w:sz w:val="18"/>
          <w:szCs w:val="18"/>
          <w:color w:val="auto"/>
        </w:rPr>
      </w:pPr>
    </w:p>
    <w:p>
      <w:pPr>
        <w:jc w:val="both"/>
        <w:ind w:left="1320" w:right="459" w:hanging="425"/>
        <w:spacing w:after="0" w:line="264" w:lineRule="auto"/>
        <w:tabs>
          <w:tab w:leader="none" w:pos="136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13" w:lineRule="exact"/>
        <w:rPr>
          <w:rFonts w:ascii="Arial" w:cs="Arial" w:eastAsia="Arial" w:hAnsi="Arial"/>
          <w:sz w:val="18"/>
          <w:szCs w:val="18"/>
          <w:color w:val="auto"/>
        </w:rPr>
      </w:pPr>
    </w:p>
    <w:p>
      <w:pPr>
        <w:ind w:left="1320" w:hanging="425"/>
        <w:spacing w:after="0"/>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80" w:lineRule="exact"/>
        <w:rPr>
          <w:rFonts w:ascii="Arial" w:cs="Arial" w:eastAsia="Arial" w:hAnsi="Arial"/>
          <w:sz w:val="16"/>
          <w:szCs w:val="16"/>
          <w:color w:val="auto"/>
        </w:rPr>
      </w:pPr>
    </w:p>
    <w:p>
      <w:pPr>
        <w:jc w:val="both"/>
        <w:ind w:left="1320" w:right="459" w:hanging="425"/>
        <w:spacing w:after="0" w:line="259" w:lineRule="auto"/>
        <w:tabs>
          <w:tab w:leader="none" w:pos="1473"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06"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Partners or partnerships considering an investment in our ordinary shares should consult their tax advisors regarding the U.S. federal income tax considerations of owning and disposing of our ordinary shares to their particular circumstances.</w:t>
      </w:r>
    </w:p>
    <w:p>
      <w:pPr>
        <w:spacing w:after="0" w:line="10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United States federal, state, local and foreign tax consequences of owning and disposing of our ordinary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Subject to the discussion under “—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To the extent that the amount of any distribution exceeds our current and accumulated earnings and profits for a taxable year (as determined under U.S. federal income tax principles), the distribution will first be treated as a tax-free return of capital, causing a reduction in the tax basis of the ordinary shares, and thereafter the excess will be taxed as capital gain recognized on a sale or exchange of the ordinary shares (as discussed below under “— Sale, exchange, redemption or other taxable disposition of ordinary shares”). The company does not intend to maintain calculations of its earnings and profits under U.S. federal income tax principles; therefore, any distribution (including any amount of any Israeli withholding tax) will generally be treated as a “dividend” for U.S. federal income tax purposes. Any such dividend income will not be eligible for the dividends-received deduction allowed to corporate U.S. Holders.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Subject to the discussion under “—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provided that (i) our ordinary shares are readily tradable on an established securities market in the United States or the company is eligible for the benefits of a comprehensive income tax treaty with the United States that the IRS has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jc w:val="both"/>
        <w:ind w:left="460" w:right="459"/>
        <w:spacing w:after="0" w:line="255" w:lineRule="auto"/>
        <w:rPr>
          <w:sz w:val="20"/>
          <w:szCs w:val="20"/>
          <w:color w:val="auto"/>
        </w:rPr>
      </w:pPr>
      <w:r>
        <w:rPr>
          <w:rFonts w:ascii="Arial" w:cs="Arial" w:eastAsia="Arial" w:hAnsi="Arial"/>
          <w:sz w:val="18"/>
          <w:szCs w:val="18"/>
          <w:color w:val="auto"/>
        </w:rPr>
        <w:t>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be qualified dividends provided that we are not classified as a PFIC in the last year prior to the year in which such dividend is paid and the year in which such dividend is paid.</w:t>
      </w:r>
    </w:p>
    <w:p>
      <w:pPr>
        <w:spacing w:after="0" w:line="11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1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0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at that time.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w:t>
      </w:r>
    </w:p>
    <w:p>
      <w:pPr>
        <w:spacing w:after="0" w:line="3" w:lineRule="exact"/>
        <w:rPr>
          <w:sz w:val="20"/>
          <w:szCs w:val="20"/>
          <w:color w:val="auto"/>
        </w:rPr>
      </w:pPr>
    </w:p>
    <w:p>
      <w:pPr>
        <w:jc w:val="both"/>
        <w:ind w:left="460" w:right="459" w:firstLine="2"/>
        <w:spacing w:after="0" w:line="253" w:lineRule="auto"/>
        <w:tabs>
          <w:tab w:leader="none" w:pos="72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received on the conversion of the foreign currency into U.S. dollars. Generally, any such gain or loss will be treated as ordinary income or loss and generally will be treated as U.S. source income for U.S. foreign tax credit purposes. U.S. Holders should consult their tax advisers regarding the treatment of foreign currency gain or loss on any foreign currency received that is converted into U.S. dollars on a date subsequent to the date of receipt.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If you are a non-corporate U.S. Holder, long-term capital gain from the sale, exchange or other taxable 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0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14" w:lineRule="exact"/>
        <w:rPr>
          <w:sz w:val="20"/>
          <w:szCs w:val="20"/>
          <w:color w:val="auto"/>
        </w:rPr>
      </w:pPr>
    </w:p>
    <w:p>
      <w:pPr>
        <w:ind w:left="1320" w:hanging="425"/>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157" w:lineRule="exact"/>
        <w:rPr>
          <w:rFonts w:ascii="Arial" w:cs="Arial" w:eastAsia="Arial" w:hAnsi="Arial"/>
          <w:sz w:val="18"/>
          <w:szCs w:val="18"/>
          <w:color w:val="auto"/>
        </w:rPr>
      </w:pPr>
    </w:p>
    <w:p>
      <w:pPr>
        <w:jc w:val="both"/>
        <w:ind w:left="1320" w:right="459" w:hanging="425"/>
        <w:spacing w:after="0" w:line="259" w:lineRule="auto"/>
        <w:tabs>
          <w:tab w:leader="none" w:pos="1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0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Based on historic and certain estimates of our gross income, gross assets, and market capitalization (which may fluctuate from time to time) and the nature of our business, we do not believe that we were a PFIC for the taxable year ending December 31, 2018 and we do not expect that we will be classified as a PFIC for the taxable year ending December 31, 2019. However, because PFIC status is based on our income, assets and activities for the entire taxable year, it is not possible to determine whether we will be characterized as a PFIC for the 2019 taxable year until after the close of the year. Moreover, we must determine our PFIC status annually based on tests which are factual in nature, and our status in future years will depend on our income, assets, market capitalization and activities in those years. In addition, our status as a PFIC may depend on how quickly we utilize the cash proceeds from this offering in our business. There can be no assurance that we will not be considered a PFIC for any taxable year.</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0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if we were a PFIC, a QEF election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0" w:name="page21"/>
    <w:bookmarkEnd w:id="20"/>
    <w:p>
      <w:pPr>
        <w:jc w:val="both"/>
        <w:ind w:left="460" w:right="459"/>
        <w:spacing w:after="0" w:line="269" w:lineRule="auto"/>
        <w:rPr>
          <w:sz w:val="20"/>
          <w:szCs w:val="20"/>
          <w:color w:val="auto"/>
        </w:rPr>
      </w:pPr>
      <w:r>
        <w:rPr>
          <w:rFonts w:ascii="Arial" w:cs="Arial" w:eastAsia="Arial" w:hAnsi="Arial"/>
          <w:sz w:val="17"/>
          <w:szCs w:val="17"/>
          <w:color w:val="auto"/>
        </w:rPr>
        <w:t>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0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1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0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a U.S. Holder makes a valid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2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rules to their investment in our ordinary shares.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should consult their tax advisors regarding their information reporting obligations, if any, with respect to their ownership and disposition of our ordinary shares and the significant penalties for noncompliance.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Citigroup Global Markets Inc., Goldman Sachs &amp; Co. LLC and Barclays Capital Inc. are acting as representatives of the underwriters of this offering. Under the terms of an underwriting agreement, dated June 13, 2019, each of the underwriters named below has severally agreed to purchase from us the respective number of ordinary shares shown opposite its name below:</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Underwriters</w:t>
            </w:r>
          </w:p>
        </w:tc>
        <w:tc>
          <w:tcPr>
            <w:tcW w:w="1260" w:type="dxa"/>
            <w:vAlign w:val="bottom"/>
          </w:tcPr>
          <w:p>
            <w:pPr>
              <w:jc w:val="right"/>
              <w:ind w:right="312"/>
              <w:spacing w:after="0"/>
              <w:rPr>
                <w:sz w:val="20"/>
                <w:szCs w:val="20"/>
                <w:color w:val="auto"/>
              </w:rPr>
            </w:pPr>
            <w:r>
              <w:rPr>
                <w:rFonts w:ascii="Arial" w:cs="Arial" w:eastAsia="Arial" w:hAnsi="Arial"/>
                <w:sz w:val="16"/>
                <w:szCs w:val="16"/>
                <w:b w:val="1"/>
                <w:bCs w:val="1"/>
                <w:color w:val="auto"/>
              </w:rPr>
              <w:t>Shares</w:t>
            </w:r>
          </w:p>
        </w:tc>
      </w:tr>
      <w:tr>
        <w:trPr>
          <w:trHeight w:val="47"/>
        </w:trPr>
        <w:tc>
          <w:tcPr>
            <w:tcW w:w="6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1,171,800</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260" w:type="dxa"/>
            <w:vAlign w:val="bottom"/>
          </w:tcPr>
          <w:p>
            <w:pPr>
              <w:jc w:val="right"/>
              <w:spacing w:after="0"/>
              <w:rPr>
                <w:sz w:val="20"/>
                <w:szCs w:val="20"/>
                <w:color w:val="auto"/>
              </w:rPr>
            </w:pPr>
            <w:r>
              <w:rPr>
                <w:rFonts w:ascii="Arial" w:cs="Arial" w:eastAsia="Arial" w:hAnsi="Arial"/>
                <w:sz w:val="18"/>
                <w:szCs w:val="18"/>
                <w:color w:val="auto"/>
              </w:rPr>
              <w:t>1,171,800</w:t>
            </w:r>
          </w:p>
        </w:tc>
      </w:tr>
      <w:tr>
        <w:trPr>
          <w:trHeight w:val="41"/>
        </w:trPr>
        <w:tc>
          <w:tcPr>
            <w:tcW w:w="6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1,171,800</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Needham &amp; Company, LLC</w:t>
            </w:r>
          </w:p>
        </w:tc>
        <w:tc>
          <w:tcPr>
            <w:tcW w:w="1260" w:type="dxa"/>
            <w:vAlign w:val="bottom"/>
          </w:tcPr>
          <w:p>
            <w:pPr>
              <w:jc w:val="right"/>
              <w:spacing w:after="0"/>
              <w:rPr>
                <w:sz w:val="20"/>
                <w:szCs w:val="20"/>
                <w:color w:val="auto"/>
              </w:rPr>
            </w:pPr>
            <w:r>
              <w:rPr>
                <w:rFonts w:ascii="Arial" w:cs="Arial" w:eastAsia="Arial" w:hAnsi="Arial"/>
                <w:sz w:val="18"/>
                <w:szCs w:val="18"/>
                <w:color w:val="auto"/>
              </w:rPr>
              <w:t>238,700</w:t>
            </w:r>
          </w:p>
        </w:tc>
      </w:tr>
      <w:tr>
        <w:trPr>
          <w:trHeight w:val="41"/>
        </w:trPr>
        <w:tc>
          <w:tcPr>
            <w:tcW w:w="6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238,700</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260" w:type="dxa"/>
            <w:vAlign w:val="bottom"/>
          </w:tcPr>
          <w:p>
            <w:pPr>
              <w:jc w:val="right"/>
              <w:spacing w:after="0"/>
              <w:rPr>
                <w:sz w:val="20"/>
                <w:szCs w:val="20"/>
                <w:color w:val="auto"/>
              </w:rPr>
            </w:pPr>
            <w:r>
              <w:rPr>
                <w:rFonts w:ascii="Arial" w:cs="Arial" w:eastAsia="Arial" w:hAnsi="Arial"/>
                <w:sz w:val="18"/>
                <w:szCs w:val="18"/>
                <w:color w:val="auto"/>
              </w:rPr>
              <w:t>238,700</w:t>
            </w:r>
          </w:p>
        </w:tc>
      </w:tr>
      <w:tr>
        <w:trPr>
          <w:trHeight w:val="41"/>
        </w:trPr>
        <w:tc>
          <w:tcPr>
            <w:tcW w:w="6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Craig-Hallum Capital Group LLC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108,500</w:t>
            </w:r>
          </w:p>
        </w:tc>
      </w:tr>
      <w:tr>
        <w:trPr>
          <w:trHeight w:val="277"/>
        </w:trPr>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4,340,000</w:t>
            </w: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underwriters have advised us that they propose initially to offer the ordinary shares to the public at the public offering price set forth on the cover page of this prospectus and to dealers at that price less a concession not in excess of $0.825 per share. After the initial offering, the public offering price, concession or any other term of this offering may be changed.</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 Share</w:t>
            </w:r>
          </w:p>
        </w:tc>
        <w:tc>
          <w:tcPr>
            <w:tcW w:w="24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Price to the public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119,350,000</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5,967,500</w:t>
            </w:r>
          </w:p>
        </w:tc>
      </w:tr>
      <w:tr>
        <w:trPr>
          <w:trHeight w:val="41"/>
        </w:trPr>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113,382,500</w:t>
            </w:r>
          </w:p>
        </w:tc>
      </w:tr>
      <w:tr>
        <w:trPr>
          <w:trHeight w:val="41"/>
        </w:trPr>
        <w:tc>
          <w:tcPr>
            <w:tcW w:w="56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underwriters reserve the right to withdraw, cancel or modify offers to the public and to reject orders in whole or in part. The underwriters are obligated to take and pay for all of the ordinary shares offered by this prospectus if any such shares are taken.</w:t>
      </w:r>
    </w:p>
    <w:p>
      <w:pPr>
        <w:spacing w:after="0" w:line="100"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underwriting agreement provides that the underwriters’ obligation to purchase ordinary shares depends on the satisfaction of the conditions contained in the underwriting agreement including:</w:t>
      </w:r>
    </w:p>
    <w:p>
      <w:pPr>
        <w:spacing w:after="0" w:line="79" w:lineRule="exact"/>
        <w:rPr>
          <w:sz w:val="20"/>
          <w:szCs w:val="20"/>
          <w:color w:val="auto"/>
        </w:rPr>
      </w:pPr>
    </w:p>
    <w:p>
      <w:pPr>
        <w:ind w:left="1320" w:right="459" w:hanging="425"/>
        <w:spacing w:after="0" w:line="277" w:lineRule="auto"/>
        <w:tabs>
          <w:tab w:leader="none" w:pos="15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if any of the shares are purchased;</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delivery of customary closing documents to the underwriters.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estimate that our expenses for the offering, excluding underwriting discounts and commissions, will be approximately $500,000.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have granted the underwriters an option exercisable for 30 days after the date of this prospectus supplement to purchase, from time to time, in whole or in part, up to an aggregate of 651,000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and all of our directors and executive officers have agreed that, for a period of 90 days after the date of this prospectus supplement subject to certain limited exceptions, including those described below, we and they will not directly or indirectly, without the prior written consent of each of Citigroup Global Markets Inc., Goldman Sachs &amp; Co. LLC and Barclays Capital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87"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Citigroup Global Markets Inc., Goldman Sachs &amp; Co. LLC and Barclays Capital Inc., in their sole discretion, may release the ordinary shares and other securities subject to the lock-up agreements described above in whole or in part at any time. When determining whether or not to release ordinary shares and other securities from lock-up agreements, Citigroup Global Markets Inc., Goldman Sachs &amp; Co. LLC and Barclays Capital Inc. will consider, among other factors, the holder’s reasons for requesting the release, the number of ordinary shares and other securities for which the release is being requested and market conditions at the time.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84" w:lineRule="exact"/>
        <w:rPr>
          <w:sz w:val="20"/>
          <w:szCs w:val="20"/>
          <w:color w:val="auto"/>
        </w:rPr>
      </w:pPr>
    </w:p>
    <w:p>
      <w:pPr>
        <w:ind w:left="1320" w:right="459" w:hanging="425"/>
        <w:spacing w:after="0" w:line="277" w:lineRule="auto"/>
        <w:tabs>
          <w:tab w:leader="none" w:pos="14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02" w:lineRule="exact"/>
        <w:rPr>
          <w:rFonts w:ascii="Arial" w:cs="Arial" w:eastAsia="Arial" w:hAnsi="Arial"/>
          <w:sz w:val="18"/>
          <w:szCs w:val="18"/>
          <w:color w:val="auto"/>
        </w:rPr>
      </w:pPr>
    </w:p>
    <w:p>
      <w:pPr>
        <w:jc w:val="both"/>
        <w:ind w:left="1320" w:right="459" w:hanging="425"/>
        <w:spacing w:after="0" w:line="272" w:lineRule="auto"/>
        <w:tabs>
          <w:tab w:leader="none" w:pos="13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also referred to as a naked short position, must be closed out by the purchase of ordinary shares in the open market after the distribution has been completed.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10" w:lineRule="exact"/>
        <w:rPr>
          <w:rFonts w:ascii="Arial" w:cs="Arial" w:eastAsia="Arial" w:hAnsi="Arial"/>
          <w:sz w:val="17"/>
          <w:szCs w:val="17"/>
          <w:color w:val="auto"/>
        </w:rPr>
      </w:pPr>
    </w:p>
    <w:p>
      <w:pPr>
        <w:ind w:left="1320" w:right="459" w:hanging="425"/>
        <w:spacing w:after="0" w:line="308" w:lineRule="auto"/>
        <w:tabs>
          <w:tab w:leader="none" w:pos="1392" w:val="left"/>
        </w:tabs>
        <w:numPr>
          <w:ilvl w:val="0"/>
          <w:numId w:val="10"/>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ordinary shares in the open market after the distribution has been completed in order to cover syndicate short positions.</w:t>
      </w:r>
    </w:p>
    <w:p>
      <w:pPr>
        <w:spacing w:after="0" w:line="65" w:lineRule="exact"/>
        <w:rPr>
          <w:rFonts w:ascii="Arial" w:cs="Arial" w:eastAsia="Arial" w:hAnsi="Arial"/>
          <w:sz w:val="17"/>
          <w:szCs w:val="17"/>
          <w:color w:val="auto"/>
        </w:rPr>
      </w:pPr>
    </w:p>
    <w:p>
      <w:pPr>
        <w:jc w:val="both"/>
        <w:ind w:left="1320" w:right="459" w:hanging="425"/>
        <w:spacing w:after="0" w:line="264" w:lineRule="auto"/>
        <w:tabs>
          <w:tab w:leader="none" w:pos="1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 w:name="page25"/>
    <w:bookmarkEnd w:id="24"/>
    <w:p>
      <w:pPr>
        <w:jc w:val="both"/>
        <w:ind w:left="460" w:right="459" w:firstLine="432"/>
        <w:spacing w:after="0" w:line="276" w:lineRule="auto"/>
        <w:rPr>
          <w:sz w:val="20"/>
          <w:szCs w:val="20"/>
          <w:color w:val="auto"/>
        </w:rPr>
      </w:pPr>
      <w:r>
        <w:rPr>
          <w:rFonts w:ascii="Arial" w:cs="Arial" w:eastAsia="Arial" w:hAnsi="Arial"/>
          <w:sz w:val="17"/>
          <w:szCs w:val="17"/>
          <w:color w:val="auto"/>
        </w:rPr>
        <w:t>These stabilizing transactions, short positions,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Select Market or otherwise and, if commenced, may be discontinued at any time.</w:t>
      </w:r>
    </w:p>
    <w:p>
      <w:pPr>
        <w:spacing w:after="0" w:line="91"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underwriters will engage in these stabilizing transactions or that any transaction, once commenced, will not be discontinued without notice.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Market Making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offering, underwriters and any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Other than the prospectus in electronic format, the information on any underwriter’s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ordinary shares (including the offered shares) are listed on the Nasdaq Global Select Market under the symbol “KRNT.”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Stamp Taxes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jc w:val="both"/>
        <w:ind w:left="460" w:right="459"/>
        <w:spacing w:after="0" w:line="290" w:lineRule="auto"/>
        <w:rPr>
          <w:sz w:val="20"/>
          <w:szCs w:val="20"/>
          <w:color w:val="auto"/>
        </w:rPr>
      </w:pPr>
      <w:r>
        <w:rPr>
          <w:rFonts w:ascii="Arial" w:cs="Arial" w:eastAsia="Arial" w:hAnsi="Arial"/>
          <w:sz w:val="16"/>
          <w:szCs w:val="16"/>
          <w:color w:val="auto"/>
        </w:rPr>
        <w:t>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securities has led to the conclusion that: (i) the target market for the securities is eligible counterparties and professional clients only, each as defined in Directive 2014/65/EU (as amended, “MiFID II”); and (ii) all channels for distribution of the securities to eligible counterparties and professional clients are appropriate. Any person subsequently offering, selling or recommending the securities (referred to as a “distributor”) should take into consideration the manufacturer’s target market assessment; however, a distributor subject to MiFID II is responsible for undertaking its own target market assessment in respect of the securities (by either adopting or refining the manufacturer’s target market assessment) and determining appropriate distribution channels.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jc w:val="both"/>
        <w:ind w:left="460" w:right="459" w:firstLine="432"/>
        <w:spacing w:after="0" w:line="255" w:lineRule="auto"/>
        <w:rPr>
          <w:sz w:val="20"/>
          <w:szCs w:val="20"/>
          <w:color w:val="auto"/>
        </w:rPr>
      </w:pPr>
      <w:r>
        <w:rPr>
          <w:rFonts w:ascii="Arial" w:cs="Arial" w:eastAsia="Arial" w:hAnsi="Arial"/>
          <w:sz w:val="18"/>
          <w:szCs w:val="18"/>
          <w:color w:val="auto"/>
        </w:rPr>
        <w:t>Any distributor subject to MiFID II that is offering, selling or recommending the securities is responsible for undertaking its own target market assessment in respect of the securities and determining its own distribution channels for the purposes of the MiFID product governance rules under Commission Delegated Directive (EU) 2017/593, or the Delegated Directive. None of we, the selling stockholders or any of the underwriters make or makes any representations or warranties as to a distributor’s compliance with the Delegated Directive.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securities which are the subject of the offering contemplated by this prospectus supplement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26" w:lineRule="exact"/>
        <w:rPr>
          <w:sz w:val="20"/>
          <w:szCs w:val="20"/>
          <w:color w:val="auto"/>
        </w:rPr>
      </w:pPr>
    </w:p>
    <w:p>
      <w:pPr>
        <w:ind w:left="1320" w:hanging="42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jc w:val="both"/>
        <w:ind w:left="1320" w:right="459" w:hanging="425"/>
        <w:spacing w:after="0" w:line="257" w:lineRule="auto"/>
        <w:tabs>
          <w:tab w:leader="none" w:pos="13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07" w:lineRule="exact"/>
        <w:rPr>
          <w:rFonts w:ascii="Arial" w:cs="Arial" w:eastAsia="Arial" w:hAnsi="Arial"/>
          <w:sz w:val="18"/>
          <w:szCs w:val="18"/>
          <w:color w:val="auto"/>
        </w:rPr>
      </w:pPr>
    </w:p>
    <w:p>
      <w:pPr>
        <w:ind w:left="1320" w:hanging="42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provided that no such offer of ordinary shares shall require us, the selling stockholders or any of the underwriters to publish a prospectus pursuant to Article 3 of the Prospectus Directive or supplement a prospectus pursuant to Article 16 of the Prospectus Directive.</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For the purposes of this provision, the expression an “offer of ordinary shares to the public” in relation to the ordinary shares in any Relevant Member State means the communication in any form and by any means of sufficient information on the terms of the offer and the ordinary shares to be offered, so as to enable an investor to decide to purchase or subscribe to the ordinary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prospectus supplement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 are aware of the meaning of consequences of being a qualified investor and agree to it.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validity of the ordinary shares being offered by this prospectus supplement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Shenhav &amp; Co., Tel Aviv, Israel, with respect to Israeli law, and by Skadden, Arps, Slate, Meagher &amp; Flom LLP, New York, New York, with respect to U.S.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supplement by reference to Kornit Digital Ltd.’s Annual Report on Form 20-F for the year ended December 31, 2018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supplement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00" w:lineRule="exact"/>
        <w:rPr>
          <w:rFonts w:ascii="Arial" w:cs="Arial" w:eastAsia="Arial" w:hAnsi="Arial"/>
          <w:sz w:val="18"/>
          <w:szCs w:val="18"/>
          <w:color w:val="auto"/>
        </w:rPr>
      </w:pPr>
    </w:p>
    <w:p>
      <w:pPr>
        <w:ind w:left="1320" w:hanging="425"/>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an automatic shelf registration statement on Form F-3ASR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SEC and may be inspected without charge.</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15"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about issuers, such as us, who file electronically with the SEC. The address of that website is http://www.sec.gov.</w:t>
      </w:r>
    </w:p>
    <w:p>
      <w:pPr>
        <w:spacing w:after="0" w:line="114"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 xml:space="preserve">We maintain a corporate website at </w:t>
      </w:r>
      <w:r>
        <w:rPr>
          <w:rFonts w:ascii="Arial" w:cs="Arial" w:eastAsia="Arial" w:hAnsi="Arial"/>
          <w:sz w:val="16"/>
          <w:szCs w:val="16"/>
          <w:i w:val="1"/>
          <w:iCs w:val="1"/>
          <w:color w:val="auto"/>
        </w:rPr>
        <w:t>www.kornit.com.</w:t>
      </w:r>
      <w:r>
        <w:rPr>
          <w:rFonts w:ascii="Arial" w:cs="Arial" w:eastAsia="Arial" w:hAnsi="Arial"/>
          <w:sz w:val="16"/>
          <w:szCs w:val="16"/>
          <w:color w:val="auto"/>
        </w:rPr>
        <w:t xml:space="preserve">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SEC allows us to “incorporate by reference” into this prospectus supplement and the accompanying prospectus the information in documents we file with, or furnish to, it. This means that we can disclose important information to you by referring you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or furnished later.</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incorporate by reference into this prospectus supplement and the accompanying prospectus those documents listed below and any future filings made with the SEC under Sections 13(a), 13(c), 14 or 15(d) of the Exchange Act, and, to the extent specifically designated therein or in a future prospectus supplement, those reports of foreign private issuer on Form 6-K (and related exhibits) that we furnish to the SEC until we terminate the offering:</w:t>
      </w:r>
    </w:p>
    <w:p>
      <w:pPr>
        <w:spacing w:after="0" w:line="121" w:lineRule="exact"/>
        <w:rPr>
          <w:sz w:val="20"/>
          <w:szCs w:val="20"/>
          <w:color w:val="auto"/>
        </w:rPr>
      </w:pPr>
    </w:p>
    <w:p>
      <w:pPr>
        <w:ind w:left="1320" w:right="459" w:hanging="425"/>
        <w:spacing w:after="0" w:line="277" w:lineRule="auto"/>
        <w:tabs>
          <w:tab w:leader="none" w:pos="1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2018, filed with the SEC on March 26, 2019;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0" w:name="page31"/>
    <w:bookmarkEnd w:id="30"/>
    <w:p>
      <w:pPr>
        <w:ind w:left="1320" w:hanging="425"/>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April 1, 2019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April 1, 2019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April 18, 2019 (solely with respect to the portions specified therein);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May 13, 2019 (solely with respect to the portions specified therein); and</w:t>
      </w:r>
    </w:p>
    <w:p>
      <w:pPr>
        <w:spacing w:after="0" w:line="157" w:lineRule="exact"/>
        <w:rPr>
          <w:rFonts w:ascii="Arial" w:cs="Arial" w:eastAsia="Arial" w:hAnsi="Arial"/>
          <w:sz w:val="18"/>
          <w:szCs w:val="18"/>
          <w:color w:val="auto"/>
        </w:rPr>
      </w:pPr>
    </w:p>
    <w:p>
      <w:pPr>
        <w:jc w:val="both"/>
        <w:ind w:left="1320" w:right="459" w:hanging="425"/>
        <w:spacing w:after="0" w:line="259" w:lineRule="auto"/>
        <w:tabs>
          <w:tab w:leader="none" w:pos="15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prospectus supplement and the accompanying prospectus to the extent that a statement contained herein or in any other subsequently filed or furnished document which also is (or is deemed to be) incorporated by reference herein modifies or supersedes such statement. Any such statement so modified or superseded shall not be deemed, except as so modified or superseded, to constitute a part of this prospectus supplement or the accompanying prospectus.</w:t>
      </w:r>
    </w:p>
    <w:p>
      <w:pPr>
        <w:spacing w:after="0" w:line="10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Unless expressly incorporated by reference, nothing in this prospectus supplement or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3800"/>
        <w:spacing w:after="0"/>
        <w:rPr>
          <w:sz w:val="20"/>
          <w:szCs w:val="20"/>
          <w:color w:val="auto"/>
        </w:rPr>
      </w:pPr>
      <w:r>
        <w:rPr>
          <w:rFonts w:ascii="Arial" w:cs="Arial" w:eastAsia="Arial" w:hAnsi="Arial"/>
          <w:sz w:val="22"/>
          <w:szCs w:val="22"/>
          <w:b w:val="1"/>
          <w:bCs w:val="1"/>
          <w:color w:val="auto"/>
        </w:rPr>
        <w:t>PROSPECTUS</w:t>
      </w:r>
    </w:p>
    <w:p>
      <w:pPr>
        <w:spacing w:after="0" w:line="21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419100</wp:posOffset>
            </wp:positionV>
            <wp:extent cx="1620520" cy="995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052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460" w:right="459" w:firstLine="432"/>
        <w:spacing w:after="0" w:line="260" w:lineRule="auto"/>
        <w:rPr>
          <w:sz w:val="20"/>
          <w:szCs w:val="20"/>
          <w:color w:val="auto"/>
        </w:rPr>
      </w:pPr>
      <w:r>
        <w:rPr>
          <w:rFonts w:ascii="Arial" w:cs="Arial" w:eastAsia="Arial" w:hAnsi="Arial"/>
          <w:sz w:val="20"/>
          <w:szCs w:val="20"/>
          <w:color w:val="auto"/>
        </w:rPr>
        <w:t>We may offer from time to time in one or more issuances ordinary shares. We refer to the ordinary shares as “securities” in this prospectus.</w:t>
      </w:r>
    </w:p>
    <w:p>
      <w:pPr>
        <w:spacing w:after="0" w:line="177" w:lineRule="exact"/>
        <w:rPr>
          <w:sz w:val="20"/>
          <w:szCs w:val="20"/>
          <w:color w:val="auto"/>
        </w:rPr>
      </w:pPr>
    </w:p>
    <w:p>
      <w:pPr>
        <w:jc w:val="both"/>
        <w:ind w:left="460" w:right="459" w:firstLine="432"/>
        <w:spacing w:after="0" w:line="246" w:lineRule="auto"/>
        <w:rPr>
          <w:sz w:val="20"/>
          <w:szCs w:val="20"/>
          <w:color w:val="auto"/>
        </w:rPr>
      </w:pPr>
      <w:r>
        <w:rPr>
          <w:rFonts w:ascii="Arial" w:cs="Arial" w:eastAsia="Arial" w:hAnsi="Arial"/>
          <w:sz w:val="20"/>
          <w:szCs w:val="20"/>
          <w:color w:val="auto"/>
        </w:rPr>
        <w:t>Each time we sell ordinary shares pursuant to this prospectus, we will provide a supplement to this prospectus that contains specific information about the offering and the specific terms of the ordinary shares offered. You should read this prospectus and the applicable prospectus supplement carefully before you invest in our ordinary shares.</w:t>
      </w:r>
    </w:p>
    <w:p>
      <w:pPr>
        <w:spacing w:after="0" w:line="192"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20"/>
          <w:szCs w:val="20"/>
          <w:color w:val="auto"/>
        </w:rPr>
        <w:t>Our ordinary shares are traded on the Nasdaq Global Select Market under the symbol “KRNT.” The closing price of our ordinary shares, as reported on the Nasdaq Global Select Market on June 10, 2019 was $28.56.</w:t>
      </w:r>
    </w:p>
    <w:p>
      <w:pPr>
        <w:spacing w:after="0" w:line="18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330" w:lineRule="auto"/>
        <w:rPr>
          <w:sz w:val="20"/>
          <w:szCs w:val="20"/>
          <w:color w:val="auto"/>
        </w:rPr>
      </w:pPr>
      <w:r>
        <w:rPr>
          <w:rFonts w:ascii="Arial" w:cs="Arial" w:eastAsia="Arial" w:hAnsi="Arial"/>
          <w:sz w:val="16"/>
          <w:szCs w:val="16"/>
          <w:b w:val="1"/>
          <w:bCs w:val="1"/>
          <w:color w:val="auto"/>
        </w:rPr>
        <w:t>Investing in our ordinary shares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ordinary shares.</w:t>
      </w:r>
    </w:p>
    <w:p>
      <w:pPr>
        <w:spacing w:after="0" w:line="1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248" w:lineRule="auto"/>
        <w:rPr>
          <w:sz w:val="20"/>
          <w:szCs w:val="20"/>
          <w:color w:val="auto"/>
        </w:rPr>
      </w:pPr>
      <w:r>
        <w:rPr>
          <w:rFonts w:ascii="Arial" w:cs="Arial" w:eastAsia="Arial" w:hAnsi="Arial"/>
          <w:sz w:val="20"/>
          <w:szCs w:val="20"/>
          <w:b w:val="1"/>
          <w:bCs w:val="1"/>
          <w:color w:val="auto"/>
        </w:rPr>
        <w:t>Neither the Securities and Exchange Commission nor any state securities commission has approved or disapproved of the ordinary shares being offered by this prospectus, or determined if this prospectus is truthful or complete. Any representation to the contrary is a criminal offense.</w:t>
      </w:r>
    </w:p>
    <w:p>
      <w:pPr>
        <w:spacing w:after="0" w:line="8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date of this prospectus is June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267970</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2" w:name="page33"/>
    <w:bookmarkEnd w:id="32"/>
    <w:tbl>
      <w:tblPr>
        <w:tblLayout w:type="fixed"/>
        <w:tblInd w:w="4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gridSpan w:val="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r>
      <w:tr>
        <w:trPr>
          <w:trHeight w:val="413"/>
        </w:trPr>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6"/>
                <w:szCs w:val="16"/>
                <w:b w:val="1"/>
                <w:bCs w:val="1"/>
                <w:color w:val="auto"/>
              </w:rPr>
              <w:t>Page</w:t>
            </w:r>
          </w:p>
        </w:tc>
      </w:tr>
      <w:tr>
        <w:trPr>
          <w:trHeight w:val="47"/>
        </w:trPr>
        <w:tc>
          <w:tcPr>
            <w:tcW w:w="5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7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380" w:type="dxa"/>
            <w:vAlign w:val="bottom"/>
            <w:gridSpan w:val="13"/>
            <w:shd w:val="clear" w:color="auto" w:fill="CCEEFF"/>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7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Kornit Digital Ltd.</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Ordinary Shares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Plan of Distribution</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Legal Matters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Experts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Incorporation of Certain Documents By Reference</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11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Enforceability of Civil Liabilities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Securities and Exchange Commission, or SEC, as a “well-known seasoned issuer” as defined in Rule 405 of the Securities Act, as amended, utilizing a “shelf” registration process. Under this process, we may offer and sell our ordinary shares under this prospectus from time to time, in one or more offerings. This prospectus provides you with a general description of the ordinary shares we may offer. Each time we sell ordinary shares under the shelf registration statement of which this prospectus forms a part,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ordinary shares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9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4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with a major focus on the fashion, apparel and home décor segments of the industry.</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vision is to create a world where everybody can bond, design and express their identities, one impression at a time.</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12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focus on the rapidly growing high-throughput, direct-to-garment, or DTG, and direct-to-fabric, or DTF, segments of the printed and decorated textile industry. In the DTG segment, we project the number of annual impressions to grow from approximately 15 billion in 2017 to approximately 25 billion on an annualized run-rate basis by the end of 2023. Brands and private labels comprise the largest portion of the DTG market, with approximately 11.5 billion estimated impressions in 2017, while promotional and customized design represented approximately 2.5 billion and 1 billion impressions, respectively, in the same year. In the DTF segment, based on a World Textile Information Network report, we estimate that the total square meters of fabric printed in 2017 was approximately 38 billion. We project this market to grow to approximately 42 billion by the end of 2023.</w:t>
      </w:r>
    </w:p>
    <w:p>
      <w:pPr>
        <w:spacing w:after="0" w:line="11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8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4" w:name="page35"/>
    <w:bookmarkEnd w:id="34"/>
    <w:p>
      <w:pPr>
        <w:jc w:val="both"/>
        <w:ind w:left="460" w:right="459"/>
        <w:spacing w:after="0" w:line="277" w:lineRule="auto"/>
        <w:rPr>
          <w:sz w:val="20"/>
          <w:szCs w:val="20"/>
          <w:color w:val="auto"/>
        </w:rPr>
      </w:pPr>
      <w:r>
        <w:rPr>
          <w:rFonts w:ascii="Arial" w:cs="Arial" w:eastAsia="Arial" w:hAnsi="Arial"/>
          <w:sz w:val="18"/>
          <w:szCs w:val="18"/>
          <w:color w:val="auto"/>
        </w:rPr>
        <w:t>efficiently and cost-effectively produce smaller quantities of individually printed designs, thereby mitigating the risk of excess inventory, which is a significant challenge for the industry.</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have a worldwide sales, marketing and support infrastructure that is comprised of independent distributors and value added resellers, and our own personnel resulting in a sales, marketing and support presence in over 77 countries and territories, and 46 states in the United States.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We are subject to the provisions of the Israeli Companies Law, 5759-1999, or the Israeli Companies Law. Our principal executive offices are located at 12 Ha’Amal Street, Rosh Ha’Ayin 4809246, Israel, and our telephone number is +972-3-908-5800. Our website address is </w:t>
      </w:r>
      <w:r>
        <w:rPr>
          <w:rFonts w:ascii="Arial" w:cs="Arial" w:eastAsia="Arial" w:hAnsi="Arial"/>
          <w:sz w:val="17"/>
          <w:szCs w:val="17"/>
          <w:i w:val="1"/>
          <w:iCs w:val="1"/>
          <w:color w:val="auto"/>
        </w:rPr>
        <w:t>www.kornit.com</w:t>
      </w:r>
      <w:r>
        <w:rPr>
          <w:rFonts w:ascii="Arial" w:cs="Arial" w:eastAsia="Arial" w:hAnsi="Arial"/>
          <w:sz w:val="17"/>
          <w:szCs w:val="17"/>
          <w:color w:val="auto"/>
        </w:rPr>
        <w:t xml:space="preserve"> (the information contained therein or linked thereto shall not be considered incorporated by reference in this prospectus). Our agent for service of process in the United States is Kornit Digital North America Inc., located at 480 South Dean Street, Englewood, New Jersey 07631, and its telephone number is (888) 456-7648.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 investment in our securities involves a high degree of risk. Our business, financial condition or results of operations could be adversely affected by any of these risks. If any of these risks occurs, the value of our ordinary shares and our other securities may decline. You should carefully consider the risk factors discussed under the caption “Risk Factors” in our annual report on Form 20-F for the year ended December 31, 2018 and in any other filings we make with the Securities and Exchange Commission (the “SEC”) subsequent to the date of this prospectus which are incorporated herein by reference, and in any supplement to this prospectus, before making your investment decision.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which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which description is incorporated by reference herein.</w:t>
      </w:r>
    </w:p>
    <w:p>
      <w:pPr>
        <w:spacing w:after="0" w:line="100"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or our articles, and the Israeli Companies Law, are summaries and do not purport to be complete.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authorized share capital consists of 200,000,000 ordinary shares, par value NIS 0.01 per share, of which 35,347,050 shares were issued and outstanding as of June 10, 2019. As of June 10, 2019, no preferred shares were authorized under our articles.</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is to engage in any lawful activity.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of Shares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Our fully-paid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(to the extent that we are then required to, and/or voluntarily continue to, appoint external directors under the Israeli Companies Law).</w:t>
      </w:r>
    </w:p>
    <w:p>
      <w:pPr>
        <w:spacing w:after="0" w:line="10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Under our articles of association, our board of directors must consist of not less than five but no more than nine directors, including two external directors if/as required by the Israeli Companies Law. Pursuant to our articles,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Israeli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b w:val="1"/>
          <w:bCs w:val="1"/>
          <w:color w:val="auto"/>
        </w:rPr>
        <w:t>Dividend and Liquidation Rights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9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Exchange Controls</w:t>
      </w:r>
    </w:p>
    <w:p>
      <w:pPr>
        <w:spacing w:after="0" w:line="162"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 at such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 Meetings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Israeli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14"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among others, must be passed at a general meeting of our shareholders:</w:t>
      </w:r>
    </w:p>
    <w:p>
      <w:pPr>
        <w:spacing w:after="0" w:line="105" w:lineRule="exact"/>
        <w:rPr>
          <w:sz w:val="20"/>
          <w:szCs w:val="20"/>
          <w:color w:val="auto"/>
        </w:rPr>
      </w:pPr>
    </w:p>
    <w:p>
      <w:pPr>
        <w:ind w:left="1320" w:hanging="42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election of directors, including external directors (to the extent we are then required, and/or voluntarily continue, to do so);</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57" w:lineRule="exact"/>
        <w:rPr>
          <w:rFonts w:ascii="Arial" w:cs="Arial" w:eastAsia="Arial" w:hAnsi="Arial"/>
          <w:sz w:val="18"/>
          <w:szCs w:val="18"/>
          <w:color w:val="auto"/>
        </w:rPr>
      </w:pPr>
    </w:p>
    <w:p>
      <w:pPr>
        <w:jc w:val="both"/>
        <w:ind w:left="1320" w:right="459" w:hanging="425"/>
        <w:spacing w:after="0" w:line="264" w:lineRule="auto"/>
        <w:tabs>
          <w:tab w:leader="none" w:pos="1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jc w:val="both"/>
        <w:ind w:left="460" w:right="459" w:firstLine="432"/>
        <w:spacing w:after="0" w:line="293" w:lineRule="auto"/>
        <w:rPr>
          <w:sz w:val="20"/>
          <w:szCs w:val="20"/>
          <w:color w:val="auto"/>
        </w:rPr>
      </w:pPr>
      <w:r>
        <w:rPr>
          <w:rFonts w:ascii="Arial" w:cs="Arial" w:eastAsia="Arial" w:hAnsi="Arial"/>
          <w:sz w:val="16"/>
          <w:szCs w:val="16"/>
          <w:color w:val="auto"/>
        </w:rPr>
        <w:t>The Israeli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chief executive officer (referred to under the Israeli Companies Law as the general manager) to serve as the chairman of its board of directors, or an approval of a merger, notice must be provided at least 35 days prior to the meeting.</w:t>
      </w:r>
    </w:p>
    <w:p>
      <w:pPr>
        <w:spacing w:after="0" w:line="8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Israeli Companies Law allows one or more of our shareholders holding at least 1% of the voting power of our company to request the inclusion of an additional agenda item for an upcoming shareholders meeting, assuming that it is appropriate for debate and action at a shareholders meeting. Under the Israeli Companies Law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(or greater) shareholders are given a 14-day period in which to submit proposed agenda items, after which we must publish notice of the meeting that includes any accepted shareholder proposals.</w:t>
      </w:r>
    </w:p>
    <w:p>
      <w:pPr>
        <w:spacing w:after="0" w:line="11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Under the Israeli Companies Law and under our articles, shareholders are not permitted to take action by way of written consent in lieu of a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Pursuant to our articles, holders of our ordinary shares have one vote for each ordinary share held on all matters submitted to a vote before the shareholders at a general meeting. As a foreign private issuer, we rely upon the Israeli Companies Law allowance, which is reflected in our articles, that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4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articles provide that all resolutions of our shareholders require a simple majority vote, unless otherwise required by the Israeli Companies Law or by our articles. Under the Israeli Companies Law, each of</w:t>
      </w:r>
    </w:p>
    <w:p>
      <w:pPr>
        <w:jc w:val="both"/>
        <w:ind w:left="460" w:right="459" w:firstLine="2"/>
        <w:spacing w:after="0" w:line="268" w:lineRule="auto"/>
        <w:tabs>
          <w:tab w:leader="none" w:pos="68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approval of an extraordinary transaction with a controlling shareholder, (ii) the terms of employment or other engagement of the controlling shareholder of the company or such controlling shareholder’s relative (even if such terms are not extraordinary) and (iii) approval of the compensation of office holders — if not consistent with our compensation policy — or for the chief executive officer, generally requires approval by special majorities of shareholders. Under our articles, the alteration of the rights, privileges, preferences or obligations of any class of our shares does not require a separate majority of the class so affected and may be approved by an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or by proxy and voting on the resolution.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b w:val="1"/>
          <w:bCs w:val="1"/>
          <w:color w:val="auto"/>
        </w:rPr>
        <w:t>Access to Corporate Records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Registrar of Companies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Modification of Class Rights</w:t>
      </w:r>
    </w:p>
    <w:p>
      <w:pPr>
        <w:spacing w:after="0" w:line="148"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Under the Israeli Companies Law, because our articles specifically provide so, the rights attached to any class of shares, such as voting, liquidation and dividend rights, may be amended by adoption of a resolution by the holders of a majority of all shares then outstanding, without the separate approval of the shares of that class, unless provided otherwise in the rights attached to such class of shares, as set forth in our articles.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Full Tender Offer</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conflict of interest (referred to under the Israeli Companies Law as a personal interest) in the offer accept the offer, all of the shares that the acquirer offered to purchase will be transferred to the acquirer by operation of law. However, a full tender offer will also be deemed accepted if the shareholders who do not accept the offer hold less than 2% of the issued and outstanding share capital of the company or of the applicable class of shares.</w:t>
      </w:r>
    </w:p>
    <w:p>
      <w:pPr>
        <w:spacing w:after="0" w:line="12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Upon the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9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Tender Offer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25"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0" w:name="page41"/>
    <w:bookmarkEnd w:id="40"/>
    <w:p>
      <w:pPr>
        <w:jc w:val="both"/>
        <w:ind w:left="460" w:right="459"/>
        <w:spacing w:after="0" w:line="269" w:lineRule="auto"/>
        <w:rPr>
          <w:sz w:val="20"/>
          <w:szCs w:val="20"/>
          <w:color w:val="auto"/>
        </w:rPr>
      </w:pPr>
      <w:r>
        <w:rPr>
          <w:rFonts w:ascii="Arial" w:cs="Arial" w:eastAsia="Arial" w:hAnsi="Arial"/>
          <w:sz w:val="17"/>
          <w:szCs w:val="17"/>
          <w:color w:val="auto"/>
        </w:rPr>
        <w:t>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or any other person acting on his or her behalf,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1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For purposes of the shareholder vote, unless a court rules otherwise, a merger requires approval by a majority of the votes of shares represented at the meeting of shareholders, excluding shares that are held by the other party to the merger, or by any person (or group of persons acting in concert) who holds (or hold, as the case may be) 25% or more of the voting rights or the right to appoint 25% or more of the directors of the other party.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under “Description of Ordinary Shares — Voting Rights — Vote Requirements”).</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There may be limitations on our ability to authorize and issue a new class of preferred shares under the Nasdaq Listing Rules that apply to us.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b w:val="1"/>
          <w:bCs w:val="1"/>
          <w:color w:val="auto"/>
        </w:rPr>
        <w:t>Borrowing Powers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Pursuant to the Israeli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transfer agent and registrar for our ordinary shares is American Stock Transfer &amp; Trust Company, New York,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may sell the securities included in this prospectus from time to time through one or more underwriters, dealers or agents and/or directly to one or more purchasers. We will describe the details of any such offering and the plan of distribution for any securities offering in a supplement to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Certain legal matters with respect to Israeli law and with respect to the validity of the offered securities under Israeli law will be passed upon for us by Meitar Liquornik Geva Leshem Tal, Ramat Gan, Israel.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by reference to Kornit Digital Ltd.’s annual report on Form 20-F for the year ended December 31, 2018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0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1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SEC allows us to “incorporate by reference” into this prospectus the information in documents we file with, or furnish to, it. This means that we can disclose important information to you by referring you to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or furnished later.</w:t>
      </w:r>
    </w:p>
    <w:p>
      <w:pPr>
        <w:spacing w:after="0" w:line="88"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87" w:lineRule="exact"/>
        <w:rPr>
          <w:sz w:val="20"/>
          <w:szCs w:val="20"/>
          <w:color w:val="auto"/>
        </w:rPr>
      </w:pPr>
    </w:p>
    <w:p>
      <w:pPr>
        <w:ind w:left="1320" w:hanging="42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2018; and</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report of foreign private issuer on Form 6-K furnished to the SEC on: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April 1, 2019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April 1, 2019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April 18, 2019 (solely with respect to the portions specified therein);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May 13, 2019 (solely with respect to the portions specified therein); and</w:t>
      </w:r>
    </w:p>
    <w:p>
      <w:pPr>
        <w:spacing w:after="0" w:line="157" w:lineRule="exact"/>
        <w:rPr>
          <w:rFonts w:ascii="Arial" w:cs="Arial" w:eastAsia="Arial" w:hAnsi="Arial"/>
          <w:sz w:val="18"/>
          <w:szCs w:val="18"/>
          <w:color w:val="auto"/>
        </w:rPr>
      </w:pPr>
    </w:p>
    <w:p>
      <w:pPr>
        <w:jc w:val="both"/>
        <w:ind w:left="1320" w:right="459" w:hanging="425"/>
        <w:spacing w:after="0" w:line="259" w:lineRule="auto"/>
        <w:tabs>
          <w:tab w:leader="none" w:pos="15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00" w:lineRule="exact"/>
        <w:rPr>
          <w:rFonts w:ascii="Arial" w:cs="Arial" w:eastAsia="Arial" w:hAnsi="Arial"/>
          <w:sz w:val="18"/>
          <w:szCs w:val="18"/>
          <w:color w:val="auto"/>
        </w:rPr>
      </w:pPr>
    </w:p>
    <w:p>
      <w:pPr>
        <w:ind w:left="1320" w:hanging="42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363220</wp:posOffset>
            </wp:positionV>
            <wp:extent cx="514540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260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4,340,000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465455</wp:posOffset>
            </wp:positionV>
            <wp:extent cx="1620520" cy="995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2052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Ordinary Shares</w:t>
      </w:r>
    </w:p>
    <w:p>
      <w:pPr>
        <w:spacing w:after="0" w:line="35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14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421"/>
        </w:trPr>
        <w:tc>
          <w:tcPr>
            <w:tcW w:w="174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4440" w:type="dxa"/>
            <w:vAlign w:val="bottom"/>
            <w:gridSpan w:val="2"/>
          </w:tcPr>
          <w:p>
            <w:pPr>
              <w:ind w:left="380"/>
              <w:spacing w:after="0"/>
              <w:rPr>
                <w:sz w:val="20"/>
                <w:szCs w:val="20"/>
                <w:color w:val="auto"/>
              </w:rPr>
            </w:pPr>
            <w:r>
              <w:rPr>
                <w:rFonts w:ascii="Arial" w:cs="Arial" w:eastAsia="Arial" w:hAnsi="Arial"/>
                <w:sz w:val="32"/>
                <w:szCs w:val="32"/>
                <w:b w:val="1"/>
                <w:bCs w:val="1"/>
                <w:color w:val="auto"/>
                <w:w w:val="99"/>
              </w:rPr>
              <w:t>Goldman Sachs &amp; Co. LLC</w:t>
            </w:r>
          </w:p>
        </w:tc>
        <w:tc>
          <w:tcPr>
            <w:tcW w:w="1940" w:type="dxa"/>
            <w:vAlign w:val="bottom"/>
          </w:tcPr>
          <w:p>
            <w:pPr>
              <w:jc w:val="right"/>
              <w:spacing w:after="0"/>
              <w:rPr>
                <w:sz w:val="20"/>
                <w:szCs w:val="20"/>
                <w:color w:val="auto"/>
              </w:rPr>
            </w:pPr>
            <w:r>
              <w:rPr>
                <w:rFonts w:ascii="Arial" w:cs="Arial" w:eastAsia="Arial" w:hAnsi="Arial"/>
                <w:sz w:val="32"/>
                <w:szCs w:val="32"/>
                <w:b w:val="1"/>
                <w:bCs w:val="1"/>
                <w:color w:val="auto"/>
              </w:rPr>
              <w:t>Barclays</w:t>
            </w:r>
          </w:p>
        </w:tc>
      </w:tr>
      <w:tr>
        <w:trPr>
          <w:trHeight w:val="503"/>
        </w:trPr>
        <w:tc>
          <w:tcPr>
            <w:tcW w:w="1740" w:type="dxa"/>
            <w:vAlign w:val="bottom"/>
          </w:tcPr>
          <w:p>
            <w:pPr>
              <w:spacing w:after="0"/>
              <w:rPr>
                <w:sz w:val="20"/>
                <w:szCs w:val="20"/>
                <w:color w:val="auto"/>
              </w:rPr>
            </w:pPr>
            <w:r>
              <w:rPr>
                <w:rFonts w:ascii="Arial" w:cs="Arial" w:eastAsia="Arial" w:hAnsi="Arial"/>
                <w:sz w:val="29"/>
                <w:szCs w:val="29"/>
                <w:b w:val="1"/>
                <w:bCs w:val="1"/>
                <w:color w:val="auto"/>
              </w:rPr>
              <w:t>Needham</w:t>
            </w:r>
          </w:p>
        </w:tc>
        <w:tc>
          <w:tcPr>
            <w:tcW w:w="1620" w:type="dxa"/>
            <w:vAlign w:val="bottom"/>
          </w:tcPr>
          <w:p>
            <w:pPr>
              <w:ind w:left="460"/>
              <w:spacing w:after="0"/>
              <w:rPr>
                <w:sz w:val="20"/>
                <w:szCs w:val="20"/>
                <w:color w:val="auto"/>
              </w:rPr>
            </w:pPr>
            <w:r>
              <w:rPr>
                <w:rFonts w:ascii="Arial" w:cs="Arial" w:eastAsia="Arial" w:hAnsi="Arial"/>
                <w:sz w:val="29"/>
                <w:szCs w:val="29"/>
                <w:b w:val="1"/>
                <w:bCs w:val="1"/>
                <w:color w:val="auto"/>
              </w:rPr>
              <w:t>Stifel</w:t>
            </w:r>
          </w:p>
        </w:tc>
        <w:tc>
          <w:tcPr>
            <w:tcW w:w="2820" w:type="dxa"/>
            <w:vAlign w:val="bottom"/>
          </w:tcPr>
          <w:p>
            <w:pPr>
              <w:ind w:left="540"/>
              <w:spacing w:after="0"/>
              <w:rPr>
                <w:sz w:val="20"/>
                <w:szCs w:val="20"/>
                <w:color w:val="auto"/>
              </w:rPr>
            </w:pPr>
            <w:r>
              <w:rPr>
                <w:rFonts w:ascii="Arial" w:cs="Arial" w:eastAsia="Arial" w:hAnsi="Arial"/>
                <w:sz w:val="29"/>
                <w:szCs w:val="29"/>
                <w:b w:val="1"/>
                <w:bCs w:val="1"/>
                <w:color w:val="auto"/>
              </w:rPr>
              <w:t>William Blair</w:t>
            </w:r>
          </w:p>
        </w:tc>
        <w:tc>
          <w:tcPr>
            <w:tcW w:w="1940" w:type="dxa"/>
            <w:vAlign w:val="bottom"/>
          </w:tcPr>
          <w:p>
            <w:pPr>
              <w:jc w:val="right"/>
              <w:spacing w:after="0"/>
              <w:rPr>
                <w:sz w:val="20"/>
                <w:szCs w:val="20"/>
                <w:color w:val="auto"/>
              </w:rPr>
            </w:pPr>
            <w:r>
              <w:rPr>
                <w:rFonts w:ascii="Arial" w:cs="Arial" w:eastAsia="Arial" w:hAnsi="Arial"/>
                <w:sz w:val="29"/>
                <w:szCs w:val="29"/>
                <w:b w:val="1"/>
                <w:bCs w:val="1"/>
                <w:color w:val="auto"/>
              </w:rPr>
              <w:t>Craig Hallum</w:t>
            </w:r>
          </w:p>
        </w:tc>
      </w:tr>
      <w:tr>
        <w:trPr>
          <w:trHeight w:val="1650"/>
        </w:trPr>
        <w:tc>
          <w:tcPr>
            <w:tcW w:w="17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48"/>
        </w:trPr>
        <w:tc>
          <w:tcPr>
            <w:tcW w:w="17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r>
      <w:tr>
        <w:trPr>
          <w:trHeight w:val="392"/>
        </w:trPr>
        <w:tc>
          <w:tcPr>
            <w:tcW w:w="17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Roman"/>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Roman"/>
      <w:start w:val="1"/>
    </w:lvl>
  </w:abstractNum>
  <w:abstractNum w:abstractNumId="16">
    <w:nsid w:val="519B500D"/>
    <w:multiLevelType w:val="hybridMultilevel"/>
    <w:lvl w:ilvl="0">
      <w:lvlJc w:val="left"/>
      <w:lvlText w:val="•"/>
      <w:numFmt w:val="bullet"/>
      <w:start w:val="1"/>
    </w:lvl>
    <w:lvl w:ilvl="1">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2019-12-01T16:40:13Z</dcterms:created>
  <dcterms:modified xsi:type="dcterms:W3CDTF">2019-12-01T16:40:13Z</dcterms:modified>
</cp:coreProperties>
</file>