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740" w:hanging="20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4260" w:right="720" w:hanging="3534"/>
        <w:spacing w:after="0" w:line="537" w:lineRule="auto"/>
        <w:tabs>
          <w:tab w:leader="none" w:pos="9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-24765</wp:posOffset>
            </wp:positionV>
            <wp:extent cx="1663065"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Assaf Zipori, Chief Financial Officer</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12 Ha’Amal St.</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Rosh-Ha’Ayin 4809246, Israel</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Tel: +972 3 908-5800</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Fax: +972 3 908-0280</w:t>
      </w:r>
    </w:p>
    <w:p>
      <w:pPr>
        <w:spacing w:after="0" w:line="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NIS 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KRNT</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46,290,822 </w:t>
      </w:r>
      <w:r>
        <w:rPr>
          <w:rFonts w:ascii="Times New Roman" w:cs="Times New Roman" w:eastAsia="Times New Roman" w:hAnsi="Times New Roman"/>
          <w:sz w:val="18"/>
          <w:szCs w:val="18"/>
          <w:b w:val="1"/>
          <w:bCs w:val="1"/>
          <w:color w:val="auto"/>
        </w:rPr>
        <w:t>ordinary shares, par value NIS 0.01 per share (which excludes</w:t>
      </w:r>
      <w:r>
        <w:rPr>
          <w:rFonts w:ascii="Times New Roman" w:cs="Times New Roman" w:eastAsia="Times New Roman" w:hAnsi="Times New Roman"/>
          <w:sz w:val="18"/>
          <w:szCs w:val="18"/>
          <w:color w:val="auto"/>
        </w:rPr>
        <w:t xml:space="preserve"> 5,626,182 </w:t>
      </w:r>
      <w:r>
        <w:rPr>
          <w:rFonts w:ascii="Times New Roman" w:cs="Times New Roman" w:eastAsia="Times New Roman" w:hAnsi="Times New Roman"/>
          <w:sz w:val="18"/>
          <w:szCs w:val="18"/>
          <w:b w:val="1"/>
          <w:bCs w:val="1"/>
          <w:color w:val="auto"/>
        </w:rPr>
        <w:t>Treasury shares),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5360" w:hanging="205"/>
        <w:spacing w:after="0" w:line="207" w:lineRule="exact"/>
        <w:tabs>
          <w:tab w:leader="none" w:pos="5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5360" w:hanging="205"/>
        <w:spacing w:after="0" w:line="207" w:lineRule="exact"/>
        <w:tabs>
          <w:tab w:leader="none" w:pos="5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5360" w:hanging="205"/>
        <w:spacing w:after="0" w:line="207" w:lineRule="exact"/>
        <w:tabs>
          <w:tab w:leader="none" w:pos="5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5360" w:hanging="205"/>
        <w:spacing w:after="0" w:line="207" w:lineRule="exact"/>
        <w:tabs>
          <w:tab w:leader="none" w:pos="53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060" w:space="720"/>
            <w:col w:w="2240" w:space="720"/>
            <w:col w:w="4500"/>
          </w:cols>
          <w:pgMar w:left="320" w:top="877" w:right="339" w:bottom="1440" w:gutter="0" w:footer="0" w:header="0"/>
          <w:type w:val="continuous"/>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tabs>
          <w:tab w:leader="none" w:pos="1280" w:val="left"/>
          <w:tab w:leader="none" w:pos="10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GAAP</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International Financial Reporting Standards as issued by the International Accounting Standards Board</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Other</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ind w:left="5360" w:hanging="205"/>
        <w:spacing w:after="0" w:line="207" w:lineRule="exact"/>
        <w:tabs>
          <w:tab w:leader="none" w:pos="536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6"/>
        </w:trPr>
        <w:tc>
          <w:tcPr>
            <w:tcW w:w="580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860" w:type="dxa"/>
            <w:vAlign w:val="bottom"/>
            <w:tcBorders>
              <w:bottom w:val="single" w:sz="8" w:color="CCEEFF"/>
            </w:tcBorders>
            <w:gridSpan w:val="10"/>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966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USE OF TRADE NAMES</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66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ADDITIONAL TERMS AND CONVENTIONS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96"/>
        </w:trPr>
        <w:tc>
          <w:tcPr>
            <w:tcW w:w="966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58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58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58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58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58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158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58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158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158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110</w:t>
            </w:r>
          </w:p>
        </w:tc>
      </w:tr>
      <w:tr>
        <w:trPr>
          <w:trHeight w:val="216"/>
        </w:trPr>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96"/>
        </w:trPr>
        <w:tc>
          <w:tcPr>
            <w:tcW w:w="966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58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 [RESERVED]</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16B. CODE OF ETHICS</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1"/>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216"/>
        </w:trPr>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96"/>
        </w:trPr>
        <w:tc>
          <w:tcPr>
            <w:tcW w:w="966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158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75"/>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60" w:type="dxa"/>
            <w:vAlign w:val="bottom"/>
            <w:gridSpan w:val="38"/>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15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118</w:t>
            </w:r>
          </w:p>
        </w:tc>
      </w:tr>
      <w:tr>
        <w:trPr>
          <w:trHeight w:val="216"/>
        </w:trPr>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96"/>
        </w:trPr>
        <w:tc>
          <w:tcPr>
            <w:tcW w:w="966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16"/>
        </w:trPr>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76"/>
        </w:trPr>
        <w:tc>
          <w:tcPr>
            <w:tcW w:w="9660" w:type="dxa"/>
            <w:vAlign w:val="bottom"/>
            <w:gridSpan w:val="3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58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statements that we make regarding the following matters are forward-looking by their nature:</w:t>
      </w:r>
    </w:p>
    <w:p>
      <w:pPr>
        <w:spacing w:after="0" w:line="225" w:lineRule="exact"/>
        <w:rPr>
          <w:sz w:val="20"/>
          <w:szCs w:val="20"/>
          <w:color w:val="auto"/>
        </w:rPr>
      </w:pPr>
    </w:p>
    <w:p>
      <w:pPr>
        <w:ind w:left="980" w:hanging="324"/>
        <w:spacing w:after="0" w:line="29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introduce and sell new or improved products and product enhancements, including specifically our Apollo, Atlas Max Plus, Atlas Max Poly, Presto Max, Smart curing systems, Rapid Size Shifter pallets and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gross margins and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growth and overall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sales to, and revenues to be generated from, significant customers, including Amazon;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challenging global macro-economic conditions, such as changes in consumer demand, relatively high interest rates and inflationary conditions, which have been impacting and may continue to impact, in an adverse manner, the budgets of our customers and potential customers for capital expenditures and, consequently, our revenues, profitability and cash flows;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variability on our future revenues;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drivers of our future growth, including anticipated sales growth, penetration of new product markets, and expansion of our customer base;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relating to new business models, such as our All-Inclusive Click (AIC™) model, which we launched during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our distribution strategy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with respect to the environmental impact of our operations and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new systems and other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new accounting pronouncements on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anticipated cash requirements for the next 12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file and procure additional patents relating to our intellectual property rights and the adequate protection of these rights;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economic environment in Israel following Israel’s recent war and military conflicts against the terrorist organizations Hamas and Hezbollah, Iran, and, intermittently, the Houthi terrorist organization in Yemen, and whether and how that environment may impact our company;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changes to our organization and our operating model;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strategic acquisitions or invest in complementary companies, products or technologies and our expectations as to the success of those acquisitions and investments.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those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TRADE NAMES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8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“Kornit,” “Kornit Digital,” “our company,” “the Company,” “the registrant,” “we,” “us,” and “our” refer to Kornit Digital Ltd.;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“ordinary shares”, “our shares” and similar expressions refer to the Company’s ordinary shares, par value NIS 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“dollars”, “U.S. dollars”, “U.S. $” and “$” are to United States Dollars;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“shekels” and “NIS” are to New Israeli Shekels, the Israeli currency;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“GAAP” are to U.S. Generally Accepted Accounting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our “articles” are to our Articles of Association,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“Companies Law” are to the Israeli Companies Law, 5759-1999,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“Securities Act” are to the U.S.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“Exchange Act” are to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“Nasdaq” are to the Nasdaq Stock Market;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“SEC” are to the United States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Identity of Directors, Senior Management and Advisers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Offer Statistics and Expected Timetable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Key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40" w:hanging="652"/>
        <w:spacing w:after="0" w:line="530" w:lineRule="auto"/>
        <w:tabs>
          <w:tab w:leader="none" w:pos="222"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780" w:hanging="652"/>
        <w:spacing w:after="0" w:line="500" w:lineRule="auto"/>
        <w:tabs>
          <w:tab w:leader="none" w:pos="2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17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principal risks that could materially adversely affect our business, results of operations, and financial condition, all of which are more fully described below. This summary should be read in conjunction with the other information discussed in this Item 3.D, and should not be relied upon as an exhaustive summary of the material risks facing our business. Please carefully consider all of the information discussed in this Item 3.D. “Risk Factors” and elsewhere in this annual report for a more thorough description of these and other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Business and Our Industry</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adoption of digital textile printing in place of existing methods of printing.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ability to timely introduce new products that are accepted by the market and increase our market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increased competition from a wide variety of market participants.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reliance on a small number of significant customers, including Amazon.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such as relatively high interest rates and lingering inflationary conditions, have impacted, and may continue to impact, in an adverse manner, the budgets of our customers and potential customers for capital expenditures, which may continue to have material adverse consequences for our revenues, financial position, and cash flows.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reliance on suppliers, including single-source suppliers, and our reliance on third-party manufacturers.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Overcapacity in the global printed fashion and textile industries has caused and may continue to cause our customers to underutilize existing printing systems that they have purchased from us and to reduce their orders for new systems. That could similarly cause us to underutilize our ink manufacturing facility.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reliance, for a significant portion of our future long-term revenues, on our All-Inclusive Click (AIC™) model, under which we retain ownership of our systems, while our customers operate the systems and are charged a fixed fee per impression, has certain accompanying risks.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breaches of our data security could adversely affect our business.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reciprocal import tariffs imposed by the United States and other countries have been eroding the profit margins we obtain from sales of our products, and in some instances have been increasing the prices at which our products are offered for sale to customers in the U.S., which has been, and could continue to, adversely impacted demand for our products.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scrutiny that may be applied to sustainability practices of companies such as ours.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expanding international operations are accompanied by costs, operational risks and required regulatory compliance in many jurisdictions.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acquire and integrate other companies and technologies, necessary for our growth, and to finance such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tax liabilities, including as a result of audits of our tax returns.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Intellectual Property</w:t>
      </w:r>
    </w:p>
    <w:p>
      <w:pPr>
        <w:spacing w:after="0" w:line="22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patents and trademarks from infringement and avoid infringing the intellectual property rights of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Ordinary Shares</w:t>
      </w:r>
    </w:p>
    <w:p>
      <w:pPr>
        <w:spacing w:after="0" w:line="22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share price.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 a public company as a result of new compliance initiatives, including reporting obligations, conducting know-your-client background checks and various training programs.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Operations in Israel</w:t>
      </w:r>
    </w:p>
    <w:p>
      <w:pPr>
        <w:spacing w:after="0" w:line="22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government tax benefits we receive may be terminated if we cease to qualify for them.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economic side effects from, or re-escalations of, Israel’s wars and military conflicts against Iran and its sponsored terrorist organizations Hamas, Hezbollah and, intermittently, the Houthi terrorist organization in Yemen, could potentially adversely affect our operations.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our Israeli research and development grants restrict our ability to transfer manufacturing operations or technology outside of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market’s rate of adoption of digital textile printing does not develop as we anticipate, our sales may not grow as expected and our share price could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printed textile industry remains dominated by analog printing processes, the most common of which are screen printing and carousel printing. The development of the digital textile printing market has been slower than we anticipated. If the global printed textile market does not more broadly accept digital printing as an alternative to analog printing, our revenues may be adversely affected, and our share price could suffer. Widespread adoption of digital textile printing depends on, among other things,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impression basis for larger production runs. Even if businesses are persuaded to the benefits of digital printing, we do not know whether potential buyers of digital printing systems will delay their investment decisions. As a result, we may not correctly estimate demand for our solutions, which could cause us to fail to meet market expectations for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in part on achieving market acceptance for our new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Market acceptance of our new systems depends, among other things, on the systems demonstrating a real advantage over existing solutions, the success of our sales and marketing teams in creating awareness of the system, the sales price and the return on investment of the system relative to alternative systems, customer recognition of the value of our technology, the effectiveness of our marketing campaigns, and the general willingness of potential customers to try new technologies. If the market does not accept our new systems and solutions, our business, results of operations and financial conditions will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model is favorably impacted by recurring sales of our ink and other consumables and spare parts for our existing and growing installed base of systems. Third-party ink and other consumables and spare parts might be less expensive or otherwise more appealing to our customers than our ink and other consumables and spare parts. Significant sales of third-party inks and other consumables and spare parts to our customers would adversely impact our revenues and adversely impact our gross margins and overall profitability. In addition, the use of third-party ink could cause our print heads to clog or otherwise malfunction since our systems are set up to operate at the highest throughput level only when using our original ink and other consumables. We have sought to prevent this in part by protecting the innovations underlying our ink and other consumables through patents and other forms of intellectual property protections. Use of third-party ink and other consumables would also void the warranty over our systems. We also include an RFID mechanism with our ink tanks. These steps may be challenged or bypassed. Any reduction in our ability to market and sell our ink and other consumables and spare parts for use in our systems may adversely impact our future revenues and our overall profitability.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increased competition and if we do not compete successfully, our revenues and demand for our solutions could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principal competition for our direct-to-garment (DTG) systems comes from manufacturers of industrial DTG printers, analog screen-printing systems, and digital hybrid systems such as M&amp;R Printing Equipment, ROQ and Brother. We also face some competition in this market from Aeoon, Seiko Epson Corporation, Ricoh Company Ltd, OvelJet and several smaller competitors that offer industrial level production capacity through multiple entry level systems. More recently, there has been an increase in the adoption of commercial level direct-to-film (DTF) printing methodologies, a sub-segment of traditional heat transfer, which are intended to replace direct-to-garment printing for specific applications such as multiple placements. Our primary competitors in direct-to-film printing are M&amp;R, Mimaki, Ricoh, Brother, and various other smaller competitors.</w:t>
      </w:r>
    </w:p>
    <w:p>
      <w:pPr>
        <w:spacing w:after="0" w:line="18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Our primary competitors in the Direct-to-Fabric or Roll-To-Roll market include: Atexco, EFI Regiani, Epson, and Durst. The principal competition for our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global fulfillment network (GFN) offering which enables on-demand production of textiles and other goods, comes from a variety of virtual marketplaces that offer certain fulfillment services or applications, or purpose-built direct API connectivity to specific fulfillers.</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 roll-to-roll markets, including direct-to-film manufacturers,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to remain competitive, which could reduce our gross margins.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is concentrated among a small number of customers, and our business would be adversely affected by a decline in sales to, or the loss of, those customers.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our ten largest customers accounted for approximately 60% of our revenues. During those same years, out of the foregoing group of largest customers, Amazon Corporate LLC, a subsidiary of Amazon.com, Inc., which we collectively refer to as Amazon, accounted for approximately 31% and 30% of our revenues, respectively. Given the concentration of our revenues with these customers, the loss of either Amazon or another one of our significant customers, or variability in their order flows, could materially adversely affect our revenues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headwinds caused by inflation, relatively high interest rates and limited credit availability have been adversely impacting our revenues and profitability, and may continue to do so.</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overall demand within the global printed fashion and textile industries, the economic health of our current and prospective clients and worldwide economic conditions. Certain adverse economic conditions, including inflation, which was high in recent years, have increased the prices of goods and services and caused a reduction in the capital budgets of our customers and potential customers, who have less money to invest in our systems and solutions. Higher interest rates, which were implemented by central banks to curb inflation, while having been reduced to a certain extent recently, have worsened credit/financing conditions for our customers and adversely impacted their ability to purchase our products. These factors have also delayed or lengthened our sales cycles, inhibited our international expansion, and led to longer collection cycles for payments due from our customers, and may potentially result in an increase in customer bad debt. As a result of these conditions, customers have found it harder to obtain financing to fund their purchase of our systems. While the long-term implications of macroeconomic events on our business, results of operations and overall financial position remain uncertain, in the short term these headwinds have challenged our business. Our products revenues grew slightly in 2025 on an annual basis for the first time in a number of years, although annual services revenues declined. If macroeconomic conditions continue to inhibit us, that would make it harder for us to continue or improve our revenue growth in future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exerting the foregoing impact, macro-economic headwinds may amplify a number of risks for us, including, but not limited to, the following:</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and AIC™ arrangements involving, new, enhanced systems and solutions to existing customers may be hindered due to more cautious purchasing and investment strategies by corporate customers, in addition to systems overcapacity at some customers;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which could lead to a recession, could negatively impact consumer discretionary spending on garments and apparel, which in turn could severely impact our business operations, financial condition, and liquidity;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customer-success efforts, our ability to enter into new markets and to acquire new customers may be impeded, in part due to potentially lower conversion rates and delays and lengthening of our sales cycles;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an increase in our credit losses reserves as customers face economic hardship and collectability becomes more uncertain, including due to a higher risk of bankruptcies.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full impact of economic and other headwinds on our business and our future performance may also have the effect of heightening any of our other risk factors described in this annual report and it is difficult to predict how long those headwinds will continue. As such, there is a risk that any expectations for our business and guidance we provide to the market may be incorrect.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have fluctuated in the past and may fluctuate in the future due to variability in our revenues.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and other results of operations have fluctuated from quarter to quarter in the past and could continue to fluctuate in the future. Our revenues depend in part on the sale and delivery of our systems and solutions, and we cannot predict with certainty when sales transactions for our systems will close or when we will be able to recognize the revenues from such sales, which generally occurs upon delivery of our systems. Customers that we expect to purchase our systems and solutions may delay doing so due to timing of obtaining regulatory permits, site readiness, or a change in their priorities or business plans, including as a result of adverse general economic conditions that may disproportionately impact the ability of the small-mid size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or canceled. The closing of one or more large transactions in a particular quarter may make it more difficult for us to meet market expectations in subsequent quarters, and our failure to close one or more large transactions in a particular quarter could adversely impact our revenues and margins for that quarter. In addition, we may experience slower growth in our gross margins as our new systems and solutions gain commercial acceptance. Our gross margins may also fluctuate based on the regions in which sales of these systems and solutions occur.</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generally purchase our ink and other consumables on an as-needed basis, and delays in making such purchases by one or a number of customers could result in a meaningful shift of revenues from one quarter to the next. Moreover, we typically maintain inventories of ink and other consumables sufficient to cover our average sales for at least one quarter ahead. These inventories may not match customers’ demands for any given quarter, which could cause shortages or excesses in our ink and other consumables inventory and result in fluctuations in our quarterly revenues. To the extent that we have excess ink and consumables inventory that we are unable to sell due to expiration dates, we may have to write off such inventory. These inventory requirements may also limit our ability to profit from economies of scale in the production of our ink and other consumables. Additionally, we may need to increase our inventory levels in the principal regions in which our sales occur, in order to prevent a potential failure by us to supply our customers if our Israeli facilities and supply line were to be damaged or discontinued. We effected such an increase during some of the recent military conflicts involving Israel. Actions such as this heighten the foregoing risks associated with excess inventory.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we base our current and future expense levels on our revenue forecasts and operating plans, and our costs are relatively fixed in the short term, due in part to extended supply and logistics lead times required for ordering certain components of our systems either directly by us or by our contracted manufacturers. Although we have taken decisive actions to reduce our cost structure over the last two years, we may nevertheless not be able to reduce our costs sufficiently to compensate for an unexpected shortfall in revenues during a particular future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was five years beginning on May 1, 2016, and extends automatically for additional one-year periods unless terminated by Amazon. Pursuant to the master purchase agreement, we have issued to an affiliate of Amazon warrants to acquire up to 3,401,028 of our ordinary shares at a purchase price of $59.26 per share, of which 1,943,445 were vested and exercisable as of December 31, 2025. These warrants vest over a five-year period that began in January 2021 based on payments made by Amazon in connection with the purchase of goods and services from us. The value of the warrants that are currently outstanding is based on their fair value as of the grant date of September 14, 2020.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contractual agreements with Amazon contain a number of material undertakings and other arrangements:</w:t>
      </w:r>
    </w:p>
    <w:p>
      <w:pPr>
        <w:spacing w:after="0" w:line="225" w:lineRule="exact"/>
        <w:rPr>
          <w:sz w:val="20"/>
          <w:szCs w:val="20"/>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are presented net of the relative value of the warrants in each particular period related to the revenues recognized. The warrants are reported as a reduction of revenue in the Company’s income statement when related revenues are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provide a rebate to Amazon based on the number of systems and amount of ink and other consumables Amazon orders in a given 12-month period. The timing and scale of any such rebate may be difficult to predict and may cause fluctuations in our quarterly revenues, gross profit and operating profit.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impact of the provisions listed above cannot be fully predicted in advance and could, in certain circumstances, adversely impact our business or results of operations, or the manner in which investors or analysts assess and perceive our performance. Additionally, to the extent Amazon determines to change the level and/or timing of its consumable and service orders under the master purchase agreement or we agree with Amazon on changes to the agreement, or Amazon elects not to renew the agreement, our financial results may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relationships with suppliers, especially with single source suppliers of components, were to terminate, our business could be harmed.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76" w:lineRule="exact"/>
        <w:rPr>
          <w:sz w:val="20"/>
          <w:szCs w:val="20"/>
          <w:color w:val="auto"/>
        </w:rPr>
      </w:pPr>
    </w:p>
    <w:p>
      <w:pPr>
        <w:jc w:val="both"/>
        <w:ind w:left="980" w:hanging="324"/>
        <w:spacing w:after="0" w:line="255"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Under the agreement, as last amended on January 1, 2025, the current term of the agreement runs through December 31, 2027. The agreement provides that FDMX may increase the prices of the products that we purchase from it upon 180-days’ prior notice at any time, subject to certain conditions. The agreement further provides that FDMX may, at its option, discontinue products supplied under the agreement, provided that we are given one-year notice of the planned discontinuance and are provided with an end-of-sale purchase program.</w:t>
      </w:r>
    </w:p>
    <w:p>
      <w:pPr>
        <w:spacing w:after="0" w:line="188"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FDMX discontinues manufacturing the print head, we would be required to qualify a new print head for our systems (based only on whatever knowledge we have gained from qualifying print heads in the past). In order to minimize the risk of any impact from a disruption or discontinuation in the supply of print heads, raw materials or other components from limited source suppliers, we maintain an additional inventory of such components, in addition to the end-of-life purchase program that would be available to us if the products we purchase from FDMX were discontinued. Nevertheless, such inventory may not be sufficient to enable us to continue supplying our products for a longer period, should we need to locate and qualify a new supplier.</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chemical used in some of our inks is supplied by B.G. (Israel) Technologies Ltd., or BG Bond, a subsidiary of Ashtrom Ltd., a large public Israeli industrial company. The chemicals were previously supplied under a definitive agreement which has expired, and currently we purchase these chemicals on a purchase order basis. For most of our inks, another chemical is supplied by Brenntag, a reseller of The Dow Chemical Company, a multinational producer of chemicals and other compounds. We currently purchase these chemicals on a purchase order basis.</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raw material used in the production of our intensifier for the Atlas family of products and Apollo, is supplied by Lamberti S.p.A. We purchase this material on a purchase order basis.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Dispersing agents used in some of our inks are supplied by BASF SE, which to our knowledge is the only source of supply of those agents. We purchase these dispersing agents from BASF on a purchase order basis. We maintain safety stock of these chemicals in an amount which we believe is sufficient to allow us to continue our manufacturing and qualify a new supplier in the event of discontinuation.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raw materials and pigments used in some of our inks are supplied by Heubach Group, which was acquired by Sudarshan Chemical Industries in 2024. We currently purchase these raw materials and pigments on a purchase order basis. We maintain safety stock of these raw materials and pigments in an amount which will allow us to continue our manufacturing for several fiscal quarters in case of discontinuation.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parts of the control system of our systems are supplied by sole suppliers, Yaskawa Europe Technology Ltd., an affiliate of Yaskawa Electric Corporation, or Yaskawa, and Beckhoff Automation Limited. Our turnkey suppliers (Flex and Sanmina- SCI Israel Medical Systems Ltd.), which assemble the control system on our behalf, purchase those control system parts from Yaskawa and Beckhoff. We also purchase additional spare control system parts from Yaskawa and Beckhoff for our service department on a purchase order basis.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printing systems are compatible with a dryer that we purchase from Adelco Screen Process, or Adelco, which fulfills most of the demand for that dryer. The dryer is supplied under an April 2019 agreement that we entered into with Adelco, which has repeating one-years terms that renew automatically each April.</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loss of any of these suppliers, or of a supplier for which there are limited other sources, could result in the delay of the manufacture and delivery of our systems or inks and other consumables.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risks resulting from our reliance on suppliers include:</w:t>
      </w:r>
    </w:p>
    <w:p>
      <w:pPr>
        <w:spacing w:after="0" w:line="225" w:lineRule="exact"/>
        <w:rPr>
          <w:sz w:val="20"/>
          <w:szCs w:val="20"/>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 increase in demand for our solutions, our suppliers may be unable to provide us with the components that we need to meet that increased demand in a timely manner;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may encounter financial hardships unrelated to our demand for components, which could inhibit their ability to fulfill our orders and meet our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production delays related to the evaluation and testing of products from alternative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price fluctuations due to a lack of long-term supply arrangements for key components;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suppliers may lose access to critical services and components, resulting in an interruption in the manufacture, assembly and shipment of our systems or inks and other consumables;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components that our suppliers manufacture for others may affect their ability or willingness to deliver components to us in a timely manner.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these risks materializes,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we may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Overcapacity in the global printed fashion and textile industries has caused and may continue to cause our customers to underutilize existing printing systems that they have purchased from us and to reduce their orders for new systems. That could similarly cause us to underutilize our new ink manufacturing facility. Such a trend could reduce our operating margins and have a material adverse effect on our financial performance.</w:t>
      </w:r>
    </w:p>
    <w:p>
      <w:pPr>
        <w:spacing w:after="0" w:line="175"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It is difficult to predict future demand for printing in the global printed fashion and textile industries in which we operate, which makes it challenging for our customers to estimate future requirements for production capacity and avoid periods of overcapacity. Fluctuations in the growth rate of our customers’ businesses relative to the growth rate in demand for our printing systems also can lead to overcapacity for our customers and contribute to cyclicality in the market for our systems.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Capacity expansion projects have long lead times and require capital commitments based on forecasted product trends and demand well in advance of production orders from customers. We have in the past made significant capital investments to expand our systems and materials capacity to address forecasted future demand patterns, including our investment in our ink manufacturing facility in Kiryat Gat. These capacity additions may exceed the near-term demand requirements for our products, including both systems and consumables, leading to overcapacity situations and underutilization of our manufacturing facilities.</w:t>
      </w:r>
    </w:p>
    <w:p>
      <w:pPr>
        <w:spacing w:after="0" w:line="18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long-term revenue growth depends increasingly on our All-Inclusive Click (AIC™) model — under which we retain system ownership while customers operate the systems and pay a fixed fee per impression — a structure that carries certain inherent risks.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2024, we introduced our All-Inclusive Click (AIC™) model, designed to provide our customers with a predictable, scalable, and cost-effective approach to digital printing. Under this model, we retain ownership of our printing systems, while our customers operate the systems and are charged a fixed fee per impression produced. While we believe this pay-per-use model enables us to capture an additional portion of our potential market, consisting of customers who would not otherwise be willing or able to commit to the capital expenditure for purchasing our new systems outright, it nevertheless also could have certain adverse consequences for our business and results of operations, including, without limitation, any of the following:</w:t>
      </w:r>
    </w:p>
    <w:p>
      <w:pPr>
        <w:spacing w:after="0" w:line="181" w:lineRule="exact"/>
        <w:rPr>
          <w:sz w:val="20"/>
          <w:szCs w:val="20"/>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Outlay</w:t>
      </w:r>
      <w:r>
        <w:rPr>
          <w:rFonts w:ascii="Times New Roman" w:cs="Times New Roman" w:eastAsia="Times New Roman" w:hAnsi="Times New Roman"/>
          <w:sz w:val="18"/>
          <w:szCs w:val="18"/>
          <w:color w:val="auto"/>
        </w:rPr>
        <w:t>: Unlike under our traditional sales model, under the AIC™ model, we do not recognize the revenue nor collect the payments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but rather on a continued basis over the course of the agreement and the use of the system, which prolongs the period under which we recognize revenues and recover the costs associated with the production of the system. This in turn requires a cash outlay upfront that could adversely affect our cash position until we are able to generate comparable levels of cash from the AIC™ model.</w:t>
      </w:r>
    </w:p>
    <w:p>
      <w:pPr>
        <w:spacing w:after="0" w:line="179"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Damage to Customer Relationships: </w:t>
      </w:r>
      <w:r>
        <w:rPr>
          <w:rFonts w:ascii="Times New Roman" w:cs="Times New Roman" w:eastAsia="Times New Roman" w:hAnsi="Times New Roman"/>
          <w:sz w:val="18"/>
          <w:szCs w:val="18"/>
          <w:color w:val="auto"/>
        </w:rPr>
        <w:t>in certain circumstances, including changes in labor cost, market trends and/or the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alternative technology, the cumulative cost to our AIC™ customers could be more expensive than had the customers purchased our systems outright, which could lead to customer dissatisfaction, and potentially damage our business relationship with those customers, or to their adoption of other printing technologies instead of ours.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Returns of AIC™ Systems</w:t>
      </w:r>
      <w:r>
        <w:rPr>
          <w:rFonts w:ascii="Times New Roman" w:cs="Times New Roman" w:eastAsia="Times New Roman" w:hAnsi="Times New Roman"/>
          <w:sz w:val="18"/>
          <w:szCs w:val="18"/>
          <w:color w:val="auto"/>
        </w:rPr>
        <w:t>: To the extent the cumulative cost of usage of systems becomes overly burdensome to our customers,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macro-economic conditions, alternative technologies or otherwise, that could lead to the return of those systems to us, which will require us to find new customers for those systems, which we may not be able to do in a timely manner or at all.</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Churn Rate</w:t>
      </w:r>
      <w:r>
        <w:rPr>
          <w:rFonts w:ascii="Times New Roman" w:cs="Times New Roman" w:eastAsia="Times New Roman" w:hAnsi="Times New Roman"/>
          <w:sz w:val="18"/>
          <w:szCs w:val="18"/>
          <w:color w:val="auto"/>
        </w:rPr>
        <w:t>: Customers may switch to our competitors offering more favorable per-use rates, leading to higher churn rates.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Payment Defaults</w:t>
      </w:r>
      <w:r>
        <w:rPr>
          <w:rFonts w:ascii="Times New Roman" w:cs="Times New Roman" w:eastAsia="Times New Roman" w:hAnsi="Times New Roman"/>
          <w:sz w:val="18"/>
          <w:szCs w:val="18"/>
          <w:color w:val="auto"/>
        </w:rPr>
        <w:t>: Customers may be unable to uphold their payment obligations towards us pursuant to AIC™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who default on payments or enter into insolvency proceedings may make it difficult for us to repossess our systems and/or lead to financial losses for us.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Costs</w:t>
      </w:r>
      <w:r>
        <w:rPr>
          <w:rFonts w:ascii="Times New Roman" w:cs="Times New Roman" w:eastAsia="Times New Roman" w:hAnsi="Times New Roman"/>
          <w:sz w:val="18"/>
          <w:szCs w:val="18"/>
          <w:color w:val="auto"/>
        </w:rPr>
        <w:t>: Support and maintenance costs related to usage by our customers of our systems could exceed expectations and/or strain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resources, leading to interruptions in the usability of our systems that are designated for our AIC™ program, or adversely affect profitability.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left="980" w:hanging="324"/>
        <w:spacing w:after="0" w:line="258"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Reduction of Ink Revenues</w:t>
      </w:r>
      <w:r>
        <w:rPr>
          <w:rFonts w:ascii="Times New Roman" w:cs="Times New Roman" w:eastAsia="Times New Roman" w:hAnsi="Times New Roman"/>
          <w:sz w:val="18"/>
          <w:szCs w:val="18"/>
          <w:color w:val="auto"/>
        </w:rPr>
        <w:t>: Under the AIC™ business model, customers pay a fixed fee per impression that is calculated to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entire costs associated with enabling customers to print using our technology and offerings, including the cost of the system, the services we provide and the consumables used by the customers. As a growing proportion of our business is shifted to this model, we may experience a decline in the overall revenues and/or profit margins associated with the sale or use of our ink, when compared to traditional sales.</w:t>
      </w:r>
    </w:p>
    <w:p>
      <w:pPr>
        <w:spacing w:after="0" w:line="183" w:lineRule="exact"/>
        <w:rPr>
          <w:rFonts w:ascii="Times New Roman" w:cs="Times New Roman" w:eastAsia="Times New Roman" w:hAnsi="Times New Roman"/>
          <w:sz w:val="18"/>
          <w:szCs w:val="18"/>
          <w:color w:val="auto"/>
        </w:rPr>
      </w:pPr>
    </w:p>
    <w:p>
      <w:pPr>
        <w:ind w:left="980" w:right="660" w:hanging="324"/>
        <w:spacing w:after="0" w:line="284"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Consumables Costs</w:t>
      </w:r>
      <w:r>
        <w:rPr>
          <w:rFonts w:ascii="Times New Roman" w:cs="Times New Roman" w:eastAsia="Times New Roman" w:hAnsi="Times New Roman"/>
          <w:sz w:val="18"/>
          <w:szCs w:val="18"/>
          <w:color w:val="auto"/>
        </w:rPr>
        <w:t>: The cost of consumables, which are included in the per-use rates offered by us, may rise, adversely affecting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Fraud and Misuse</w:t>
      </w:r>
      <w:r>
        <w:rPr>
          <w:rFonts w:ascii="Times New Roman" w:cs="Times New Roman" w:eastAsia="Times New Roman" w:hAnsi="Times New Roman"/>
          <w:sz w:val="18"/>
          <w:szCs w:val="18"/>
          <w:color w:val="auto"/>
        </w:rPr>
        <w:t>: There is a greater risk of fraudulent activity with our systems that are used in the pay-per-impression model or misuse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pay-per-impression service when customers are not investing in ownership of our systems.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mitigate the foregoing risks, it is essential that we carefully design the pricing structure of our pay-per impression business model, monitor usage of our systems and consumables closely under that model, and establish strong customer engagement strategies to enhance loyalty and satisfaction. To the extent we do not successfully implement each of the foregoing safeguards related to that business model, our results of operations and financial condition could be adversely affected in a material manner.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systems are leased to customers under our AIC™ model, in the event of non-payment of the fees owed to us, it may be difficult for us to repossess the systems, which could lead to substantial losses for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a growing number of systems to our customers under our AIC™ model. Our ability to realize the expected economic benefits from these arrangements depends on customers making payments when due and complying with other contractual obligations. If a customer fails to make required payments, disputes amounts owed to us, becomes insolvent, or otherwise defaults, we may be required to pursue collection efforts that can be costly, time-consuming, and uncertain, and we may be unable to recover all or any amounts due.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ability to repossess leased products upon a customer default may be limited, particularly in developing countries where legal systems, judicial processes, enforcement mechanisms, and local practices may provide inadequate or unpredictable protections for lessors. Repossession may require court proceedings or regulatory involvement, may be subject to delays, may be opposed by customers or other parties, and may expose us to additional costs, liabilities, or security risks. Even where we have contractual rights to repossess, we may be unable to locate, access, remove, export, or remarket leased products, or we may be required to satisfy local requirements (including obtaining permits, paying taxes, duties, or fees, or engaging local counsel) before doing so. If we are unable to repossess leased products promptly, or at all, we may be required to write down the value of leased assets and recognize increased credit losses, which could adversely affect our results of operations, cash flows, and financial condition.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in certain jurisdictions, leased products in a customer’s possession may be subject to attachment, seizure, or other enforcement actions by third-party creditors of the customer, governmental authorities, or insolvency administrators, even if we retain legal title or have other contractual protections. Our interests may not be recognized or effectively enforced against such third parties, including due to limitations on, or failures in, registration, perfection, or priority of our ownership or security interests, or due to fraud, errors, or deficiencies in documentation. If leased products are seized or otherwise disposed of by third parties, we may be unable to recover the products or receive any compensation, and we may also incur costs to assert our rights. Any of these events could result in significant losses, reduced revenue, impairment charges, increased operating expenses, and harm to our business, reputation,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move towards a higher proportion of direct sales in place of indirect sales may have adverse consequences.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depending on the specific territory into which we are selling. We continually evaluate that strategy in the geographies we serve in an effort to best serve our direct or indirect customers. When we shift towards a direct sales model in relevant territories, we may experience an initial disruption to our sales efforts in those jurisdictions as we transition from our previous sales structure. In addition, a shift to a direct sales model might result in a short-term impact on our results of operations, including due to separation fees, the acquisition of inventory that requires a step up in basis and other such accounting impacts and costs associated with increased headcount and related expenses.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Kiryat Gat ink manufacturing facility was constructed on lands leased by us from the Israel Lands Authority, or ILA, under a long term (49 years) lease agreement. If we are unable to continue to lease such lands, we would be unable to use the facility and our results of operations and future prospects will suffer as a result.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2018, we entered into a development agreement, which we refer to as the Development Agreement, with the ILA for the construction of our ink manufacturing facility in Kiryat Gat on lands leased from the ILA. Construction was concluded at the end of 2021, and we officially opened the facility on January 26, 2022. Following the completion of the construction and our receipt of all required approvals from the ILA, we entered into a long-term lease agreement with the ILA, or the Lease Agreement, for a period of 49 years and which may be renewed for an additional 49 years, which agreement has replaced the Development Agreement. The Development Agreement provided, and the Lease Agreement provides, that if our company were a “foreign subject,” which includes being under foreign control (i.e., a majority of our ordinary shares held by non-Israelis), that would constitute a fundamental breach under the agreement. We followed (in the case of each of the Development Agreement and the Lease Agreement) a specific standard process for seeking approval from the ILA for our entering into the agreement. However, because of our potential status as a “foreign subject,” given that our shares are traded on Nasdaq and are held by multiple shareholders whose identities are unknown, the ILA would be entitled to terminate that agreement if it determines that our company is a “foreign subject”. If the Lease Agreement is terminated, we would be unable to use the Kiryat Gat facility constructed on that property, which would have a material adverse effect on our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operations at our manufacturing site or those of third-party manufacturers could prevent us from filling customer orders on a timely basis.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manufacture our ink and other consumables at our facility in Kiryat Gat, Israel. We rely on contract manufacturing services provided by Flex, and Sanmina-SCI Israel Medical Systems Ltd. which are also in Israel, to assemble our printing and curing systems. We expect that almost all of our revenues in the near term will be derived from the systems and ink and other consumables manufactured at these facilities.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operations in any of these facilities were to be disrupted due to a major equipment failure or power failure lasting beyond the capabilities of backup generators or other events outside of our reasonable control (including due to a military attack against Israel during its sometimes frequent military conflicts), our manufacturing capacity could be shut down for an extended period, we could experience a loss of raw materials or finished goods inventory and our ability to operate our business would be harmed. While we have previously increased our inventory levels in global regions in order to hedge against a potential stoppage of our ability to supply our customers from Israel due to the recent military conflicts involving Israel, we have since reduced our inventories in global regions to normal levels.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adequate volumes of our ink and other consumables.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our information technology systems or breaches of our data security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invested in advanced protective systems to reduce our cybersecurity and data protection risks, some of which have been installed and others that are still in the process of installation. In addition, we back up our data regularly. We have designated a special committee of executives to assess, among others, our cybersecurity and data protection risks and develop and implement a data security policy. We also created an annual program to ensure our data safety. This program includes self-evaluations, auditing, tests, and third-party evaluation.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cyber-attack does not necessarily cause the loss of that information. We furthermore review our protections and remedial measures periodically in order to ensure that they are adequate, and, accordingly, we carry customary levels of cybersecurity and data protection insurance coverage.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breach,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cyber-attacks, which may compromise our systems and lead to data leakage either internally or at our third-party suppliers or customers. Both data that has been inputted into our main IT platform, which covers records of customers, end-users of our systems, transactions, financial data, employees, pricing and other data reflected in our results of operations, as well as data related to our proprietary rights (such as research and development, and other intellectual property- related data, including: ink formulas; source code for our systems, software and cloud services; undisclosed plans; and email lists), are subject to material cyber security risks. Our IT systems have been, and are expected to continue to be, the target of malware and other cyber-attacks. To date, we are not aware of any loss of, or disruption to, material information as a result of any such malware or cyber-attack. To the extent that a cyber-attack is successful, we could incur significant expense, depending on the severity of the attack, and that attack could have a material adverse effect on our results of operations.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Import tariffs, taxes, customs duties and other trading regulations imposed by the U.S. government, and retaliatory responses from other countries, have been increasing our costs of goods sold, and could reduce our gross margins, and in some instances, cause the prices at which our products are offered for sale in our target markets to increase more significantly, as well as also adversely impact the economies of countries in which our customers operate, thereby reducing demand for, and sales of, our systems and consumables in those countries.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Import tariffs, taxes, customs duties and other trading regulations imposed by the U.S. government on foreign countries, and by foreign countries on the U.S., have been increasing, and could diminish the profit margins from sale of our systems and consumables in our target markets such as the United States. In particular, the current U.S. administration has imposed new and increased tariffs on goods imported from various trade partners, including the EU, China, and Israel, which has resulted, in certain cases, in reciprocal tariffs on goods exported from the United States to such trade partners. As a result of the U.S. tariffs, our cost of goods sold has increased and our gross margins reduced. Additionally, the prices we pay for raw materials that are critical to our ability to manufacture our systems has in some cases increased and in certain instances, has caused an increase of the prices of our offerings . If that trend were to become more significant, it could hinder our ability to operate profitably.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Trade barriers and other governmental action related to tariffs around the world also have the potential to hurt the global printed fashion and textile industries in which our customers operate, by decreasing demand for our customers’ products. New tariffs could also more broadly adversely impact the country-specific or regional economies in which we operate and into which we offer our systems and consumables. Those adverse effects could, in turn, decrease our customers’ demand for our printing systems and consumables, and result in a decrease in our revenues.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further widespread imposition of new or increased tariffs could, therefore, reduce the demand for our products (which could reduce our sales) or could negatively impact our profit margins, (as they have begun to do), and could, therefore, have a material adverse effect on our financial condition, results of operations and cash flows.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may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Achieving satisfactory compliance levels with respect to the environmental impact of our operations and products could result in our incurring additional costs, and our failure to achieve such levels could adversely impact our reputation, employee retention, and willingness of customers to do business with us.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ascribed increased importance to the implications of the social cost of their investments. While we have not implemented significant new ESG initiatives, we continue to monitor developments in this area and assess how ESG-related considerations may impact our business, operations, and long-term strategy. Our approach remains focused on ensuring that any ESG-related initiatives we undertake align with our business objectives, regulatory developments, and stakeholder expectations. As ESG standards and disclosure requirements evolve, we will continue to evaluate opportunities to enhance our approach in a manner that is practical and value-driven for our company and shareholders.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failure or perceived failure by us to set appropriate goals and prioritize ESG practices could negatively impact our reputation, employee retention, and the willingness of our customers to do business with 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Israeli shekel, or between the U.S. dollar and the Euro or other non-U.S. currencies, may negatively affect our earnings.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substantial majority of our revenues will continue to be denominated in U.S. dollars for the foreseeable future and that a significant portion of our expenses will continue to be denominated in NIS. However, some of our revenue is, and will continue to be, denominated in other non-U.S. currencies such as the Euro. To the extent the relative value of those other currencies depreciates relative to the U.S. dollar, that would reduce our revenues as reported in U.S. dollars. That is particularly impactful with respect to our AIC™ business model, under which customers who pay for the use of our systems in Euros or British pounds are entitled to pay in those currencies at a fixed exchange rate relative to the U.S. dollar for several years. To the extent the Euro or pound depreciates relative to the U.S. dollar over the course of time while the customer is using our product, the customer payments will yield lower revenues for us under our U.S. dollar- denominated financial statements, thereby hurting our financial results.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While the NIS depreciated relative to the U.S. dollar by 9.7% and 0.4% in 2023 and 2024, in 2025, that trend was reversed in a significant manner, with the NIS appreciating relative to the U.S. dollar by 6.7% and increasing the U.S. dollar value of our NIS-denominated expenses, thereby adversely impacting our financial results. Because the NIS- U.S. dollar currency exchange rate is often reflective of economic, political and military developments in Israel, the United States and the rest of the world, future movements of that exchange rate are hard to predict. The annual rate of inflation in Israel amounted to 3.0%, 3.2%, and 2.6% in 2023, 2024, and 2025, respectively. If the U.S. dollar cost of our operations continues to increase due to a relatively stronger NIS, our dollar-measured results of operations will be adversely affected. See “ITEM 11. Quantitative and Qualitative Disclosures about Market Risk-Foreign Currency Risk.”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material portion of our leases are denominated in currencies other than the U.S. dollar, mainly in NIS. In accordance with a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are unable to attract and retain key employees.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During 2024 and 2025, certain senior management positions either underwent a change in personnel or were eliminated, including our EVP operations, our Chief Marketing Officer, our EVP corporate development, our EVP R&amp;D, our Chief Financial Officer, our EVP Strategic Growth &amp; Marketing and certain changes in our regional presidents’ roles. To the extent that we experience additional frequent changes in our leadership team (or the leadership teams of our subsidiaries) going forward, that could adversely affect our performance in a material manner.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At our primary location in Israel, the recent wars have resulted in the calling into active duty of reservists, thereby reducing the available workforce for key personnel. On the other hand, country-wide economic activity has slowed for periods of the wars, thereby reducing demand for skilled human capital in the Israeli market. Post-war periods have seen an uptick in Israeli economic activity, with both increased demand for highly skilled employees and a larger-size active workforce due to the return of reserve soldiers to the job market.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 If we cannot demonstrate that such interests will be harmed, we may be unable to prevent our competitors from benefiting from the expertise of our former employees or consultants and our ability to remain competitive may be diminished. As to our U.S. operations, on the U.S. federal level, there was movement in 2023 by federal agencies to make noncompete agreements unenforceable in general. The Federal Trade Commission, or FTC, implemented a rule on April 23, 2024 to ban employers nationwide from using non-compete agreements with their employees and independent contractors. On August 20, 2024, a federal district court issued an order setting aside the rule nationwide, preventing it from taking effect. While the FTC initially appealed this decision, it formally withdrew that appeal on September 5, 2025, abandoning the blanket non-compete ban. However, the FTC continues to address non-compete restrictions through case-by-case enforcement actions under its existing authority to prohibit “unfair methods of competition”. In addition, the General Counsel of the National Labor Relations Board issued a memo in March 2023 opining that many types of non-compete and non-solicitation restrictions unlawfully interfere with employees’ protected rights under Section 7 of the National Labor Relations Act. If any of these proposed new U.S. federal restrictions become and/or remain effective, or if any state in which we have operations continues to expand restrictions or bans the use of non-compete restrictions, that could adversely impact our ability to protect our investment in our key employees in our U.S. locations, and harm our competitive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worldwide sales, marketing and support infrastructure that is comprised of independent distributors and value-added resellers, and our own personnel resulting in a global sales, marketing and support presence, including in North America, Western and Eastern Europe, the Asia Pacific region and Latin America. We continue to evaluate our overall workforce in all areas, including sales, applications development, field support, marketing and engineering and, in some cases, establish new relationships with agents, distributors or channel partners, particularly in markets where we currently do not have a sales or customer support presence. As we continue to expand our international sales and operations, we are subject to a number of risks, including the following:</w:t>
      </w:r>
    </w:p>
    <w:p>
      <w:pPr>
        <w:spacing w:after="0" w:line="187"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trade receivable collection, as well as longer collection periods;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incurred in establishing and maintaining office space and equipment for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U.S. dollar and foreign currencies in markets where we do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recruiting local experienced personnel, and the costs and expenses associated with such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Russia’s ongoing war against Ukraine and trade and monetary sanctions in response to such developments on the markets in which we operate;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material disruptions to the global supply chain and to international shipping routes, such as those caused by Houthi attacks on marine vessels traversing the Red Sea in recent periods;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(including, without limitation, U.S.-China and U.S.-EU reciprocal tariffs), and tax laws and treaties;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other similar U.S. state laws that create numerous privacy and security obligations for businesses and service providers, as well as rights for data subjects and individuals, and any trade regulations ensuring fair trade practices;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of these risks could adversely affect our international operations, reduce our revenues from outside the United States or increase our operating costs, adversely affecting our business, reputation, results of operations and financial condition and growth prospects. There can be no assurance that all of our employees and channel partners will comply with the formal policies that we have in place and/or will implement them or will adhere to all applicable laws and regulations. Violations of laws or key control policies by our employees and channel partners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manufacture and sell products that may create exposure to product liability, warranty liability, or personal injury claims and litigation that may harm our business and results of operations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Product quality and safety issues could negatively impact consumer confidence in our brand and our business. Our products may not successfully achieve applicable safety standards or customers’ expectations regarding safety or quality. Our products may contain or, be alleged to contain, components containing hazardous materials that may present certain health, safety, or quality concerns. Additionally, from time to time, system errors and/or deficiencies may be discovered in the design, manufacturing, assembling, labeling and product formulations of our systems, parts, ink, and other consumables, and associated software. Hazardous materials, errors, and/or deficiencies may also be identified in materials, components, and systems produced by others and used with or incorporated into our products. Some of these issues may not be apparent until after certain products are installed or used by customers, including in circumstances where a product is first introduced, or a new version is released. We expect that these errors or defects will be found from time to time in new or enhanced systems after commencement of commercial distribution or upon software upgrades.</w:t>
      </w:r>
    </w:p>
    <w:p>
      <w:pPr>
        <w:spacing w:after="0" w:line="192"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To the extent that any error, deficiency, or hazardous component (which presents a safety concern) exists in any of our products and is not discovered and corrected before a product is introduced to the market, such product could be unsafe and/or could cause damage, including property damage, personal injury, or death. In such circumstances, the actual, potential, or perceived product safety concerns and/or defects in the manufacturing or design, a failure to warn of dangers inherent in the product, negligence, or strict liability could expose us to litigation relating to product liability, warranty liability, or personal injury, as well as government enforcement actions.</w:t>
      </w:r>
    </w:p>
    <w:p>
      <w:pPr>
        <w:spacing w:after="0" w:line="183"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Such litigation could force us to incur significant expenses, divert management’s time and attention, subject us to adverse publicity, and damage our reputation and competitive position. A successful assertion of a claim against us may result in potentially significant monetary damages, penalties, or fines and adversely affect sales of (or volume of AIC™ arrangements involving) our products. Although we carry insurance policies covering this type of liability, these policies may not provide sufficient protection should a claim be asserted against us. In addition, costs or payments made in connection with warranty and product liability claims and system recalls could adversely affect our financial condition and results of operations in a material manner. Product liability claims, injuries, defects, or other problems experienced by other companies in the digital printing industry could lead to unfavorable market conditions for the industry as a whole.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acquired businesses and may acquire or make investments in other complementary companies, products or technologies.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tax liabilities in the future as a result of audits of our tax returns or a determination that we are subject to tax obligations in additional jurisdictions.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income taxes principally in Israel, United States, Germany, Hong-Kong, United Kingdom, and Japan. Significant judgment is required in evaluating our uncertain tax positions and determining our provision for income taxes, and if the relevant tax authority does not agree with the positions that we take, we could be subject to tax audit and face significant tax liabilities, which could have a material adverse effect on our results of operations. We were subject to such a tax audit for the years 2020 to 2021 by the Israeli Tax Authority, or ITA, in respect of which we ultimately reached a settlement with the ITA. 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are measured using the enacted tax rates that will be in effect when the differences are expected to reverse.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We currently maintain reserves for uncertain tax positions. If the potential tax liabilities in respect of which we have taken these reserves exceed the amount of those reserves, that may have a material adverse effect on our results of operations. For more information on our tax positions please refer to Note 14 to our financial statements that appear in Item 18 of this annual report.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global operation and are active in multiple jurisdictions, in some of which we have not established an entity. Our operations in certain jurisdictions may be classified as creating or amounting to a permanent establishment, which may result in increased tax obligations in such territories.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provision of Kornit</w:t>
      </w:r>
      <w:r>
        <w:rPr>
          <w:rFonts w:ascii="Times New Roman" w:cs="Times New Roman" w:eastAsia="Times New Roman" w:hAnsi="Times New Roman"/>
          <w:sz w:val="29"/>
          <w:szCs w:val="29"/>
          <w:b w:val="1"/>
          <w:bCs w:val="1"/>
          <w:i w:val="1"/>
          <w:iCs w:val="1"/>
          <w:color w:val="auto"/>
          <w:vertAlign w:val="superscript"/>
        </w:rPr>
        <w:t>X</w:t>
      </w:r>
      <w:r>
        <w:rPr>
          <w:rFonts w:ascii="Times New Roman" w:cs="Times New Roman" w:eastAsia="Times New Roman" w:hAnsi="Times New Roman"/>
          <w:sz w:val="18"/>
          <w:szCs w:val="18"/>
          <w:b w:val="1"/>
          <w:bCs w:val="1"/>
          <w:i w:val="1"/>
          <w:iCs w:val="1"/>
          <w:color w:val="auto"/>
        </w:rPr>
        <w:t xml:space="preserve"> cloud-based software</w:t>
      </w:r>
    </w:p>
    <w:p>
      <w:pPr>
        <w:spacing w:after="0" w:line="14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is a subscription software service for the management of on-demand production. We do not expect the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offering to have a material impact on our overall results of operations in the near term; however, we believe that it nonetheless exposes us to several potential risks, including the following:</w:t>
      </w:r>
    </w:p>
    <w:p>
      <w:pPr>
        <w:spacing w:after="0" w:line="200"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bugs and defects that adversely impact our customer’s production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data breaches and/or loss of customer data, including data regarding payment methods;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unauthorized open-source software or other infringements of third-party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providing support to software users; and</w:t>
      </w:r>
    </w:p>
    <w:p>
      <w:pPr>
        <w:spacing w:after="0" w:line="228" w:lineRule="exact"/>
        <w:rPr>
          <w:rFonts w:ascii="Times New Roman" w:cs="Times New Roman" w:eastAsia="Times New Roman" w:hAnsi="Times New Roman"/>
          <w:sz w:val="18"/>
          <w:szCs w:val="18"/>
          <w:color w:val="auto"/>
        </w:rPr>
      </w:pPr>
    </w:p>
    <w:p>
      <w:pPr>
        <w:ind w:left="980" w:right="20" w:hanging="324"/>
        <w:spacing w:after="0" w:line="188" w:lineRule="auto"/>
        <w:tabs>
          <w:tab w:leader="none" w:pos="980"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challenges related to our required delivery of the service level agreements under the virtual supplier model that we utilize for our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offering.</w:t>
      </w:r>
    </w:p>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of the foregoing risks materializes, our reputation may be adversely impacted, which could, in turn, adversely impact sales of (or volume of AIC™ arrangements involving) our products and diminish customer confidence in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Any current or future lawsuits to which we are subject may have a significant adverse effect on our financial condition or profitability.</w:t>
      </w:r>
    </w:p>
    <w:p>
      <w:pPr>
        <w:spacing w:after="0" w:line="15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We are currently subject to securities class action litigation, which has recently entered the discovery stage with respect to certain statements (as described below in “ITEM 8.A Financial Information- Legal Proceedings- Securities Class Action Lawsuit”). The discovery stage of the litigation could be accompanied by enhanced expenditures and disclosures on our part that could have a greater impact on our periodic financial results in the future. We could also be subject to further litigation in the future.</w:t>
      </w:r>
    </w:p>
    <w:p>
      <w:pPr>
        <w:spacing w:after="0" w:line="180"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We can provide no assurance as to the outcome of any current or future lawsuits, and any such actions may result in judgments against us for significant damages. Resolution of any such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Regardless of the outcome, litigation has resulted in the past, and may result in the future, in significant legal expenses and require significant attention and resources of management. As a result, any present or future litigation could result in losses, damages and expenses that have a significant adverse effect on our financial condition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patent protection for our solutions or otherwise protect our intellectual property rights, our business could suffer.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on our ability to protect our proprietary technology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2025, we owned 60 issued patents in the United States and 27 provisional or pending U.S. patent applications, along with 37 pending non-U.S. patent applications. We also had 42 patents issued in non-U.S. jurisdictions, and 2 pending Patent Cooperation Treaty patent applications, which are counterparts of our U.S. patent applications. The non-U.S. jurisdictions in which we have issued patents or pending applications are China, the European Union or European countries of the European Union including 3 Unitary Patents, Mexico, Israel, Australia, South Africa, Japan and India. We may file additional patent applications in the future. The process of obtaining patent protection is expensive, time-consuming, and uncertain, and we may not be able to pursue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2024 report on intellectual property rights protection and enforcement published by the Office of the United States Trade Representative, such countries included Argentina, Chile, China, India, Indonesia, Russia, and Venezuela (designated as priority watch list countries).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trademarks from infringement, our business prospects may be harmed.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own trademarks that identify “Kornit”, “Kornit Digital”, “NeoPigment”, the “K” logo and “Konnect” logo, and we have an additional trademark registration for the “Custom Gateway” logo, among others, and have registered these trademarks in certain key markets. We further own trademark registrations and applications for VOXEL8, VOXEL8 logo, ACTIVEIMAGE and ACTIVEMIX in certain key markets. Although we take steps to monitor the possible infringement or misuse of our trademarks, third parties may violate our trademark rights. Any unauthorized use of our trademarks could harm our reputation or commercial interests. Efforts to enforce our trademarks may be expensive and time-consuming and may not effectively prevent infringement.</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may not register our trademark rights in all the markets in which we sell our products, and our application to register our trademarks in various jurisdictions may be opposed by third parties (as has occurred in the past), which could require investment of additional time and resources on our part in order to secure registration of those rights. If we do not succeed, our trademarks will be exposed to infringement in a particular jurisdiction, which could have various adverse effects on our operations in that jurisdiction.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of intellectual property infringement by third parties or claims by third parties that our intellectual party rights are invalid and may be required to indemnify our distributors or other third parties against such claims, which, regardless of their merit, could result in litigation, distract our management and materially adversely affect our business, results of operations and financial condition.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 We, in turn, will seek to assert the validity of our intellectual property rights by any legal means that we deem necessary or appropriate in response to any actual or perceived threats.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our technology or force us to enter into costly settlement or license agreements on terms that are unfavorable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manufacturing, importing, using, or selling some or all of our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our operations or the markets in which we compete;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damage awards;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indemnify our distributors and customers;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royalties.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decision handed down in May 2014 by the Committee clarifies that the right to receive consideration under Section 134 can be waived and that such waiver can be made orally, in writing or by behavior like any other contract. The Committee will examine on a case-by-case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would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been volatile in recent years. It may continue to fluctuate substantially as a result of many factors, including:</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and/or our competitors’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the investment community;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changes in service provider relationships, acquisitions, strategic relationships or expansion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of our solutions;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repurchases, if any, of our ordinary shares pursuant to our current share repurchase programs and/or any other share repurchase program which may be approved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ordinary shares or other securities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recent years, the markets have sometimes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We, along with certain of our current and former executives, have been made subject to such securities class action litigation, which alleges that we made misrepresentations and omissions in our public statements and disclosures in violation of the Exchange Act and Rule 10b-5 promulgated thereunder. If these actions or any similar litigation against us are not dismissed or settled at their early stages, we could incur substantial costs and our management’s attention and resources could be diverted.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on our share capital, and we do not anticipate paying any cash dividends in the foreseeable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reduce the trading price of our ordinary shares substantially for an extended period of time, we have in the past used and may continue in the future using a portion of our cash reserves for share repurchases. In addition to considerations related to corporate finance, Israeli law limits our ability to declare and pay dividends and may subject our dividends to Israeli withholding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share repurchase programs.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Our board of directors approved a new share repurchase program in November 2025 authorizing repurchases of up to $100 million of our outstanding ordinary shares. Under that new program, purchases can be made by way of a variety of methods, including open market purchases, privately negotiated transactions or otherwise, all in accordance with U.S. securities laws and regulations, including Rule 10b-18 under the Exchange Act. Through February 28, 2026, we have repurchased 1,369,643 ordinary shares with an aggregate value of $19.4 million under the new repurchase program.</w:t>
      </w:r>
    </w:p>
    <w:p>
      <w:pPr>
        <w:spacing w:after="0" w:line="180"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Our share repurchase programs may reduce the public float of shares available for trading on a daily basis and may cause volatility in the price of our ordinary shares and the liquidity of trading. Repurchases may be limited, suspended, or terminated at any time without prior notice. There can be no assurance that we will repurchase any specific amount of ordinary shares under any of our share repurchase programs or that repurchases will have a positive impact on our share price, trading liquidity, earnings per share, or profitability. Important factors that could cause us to discontinue or decrease our share repurchases include, among others, unfavorable market conditions, the market price of our ordinary shares, the nature and timing of other investment or strategic opportunities, the rate of dilution from our equity compensation programs, our ability to make appropriate and timely decisions regarding repurchase execution, tax consequences of repurchases (including the potential impact of the 1% excise tax on certain share repurchases in the United States), the availability of funds to continue repurchases, Israeli law limitations, and applicable blackout period restrictions. If we curtail or suspend our repurchase activity, our share price may be negatively affected.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(i) the quorum requirement for shareholder meetings (25%, which is less than the one-third minimum required under the Nasdaq rules), (ii) the independent director oversight requirement for director nominations (the board as a whole, rather than an entirely independent nominating committee or only the independent directors, handles this under Israeli law), and (iii) shareholder approval for the issuance of ordinary shares or other securities to officers, directors, employees or consultants under an equity compensation plan or arrangement, or for the adoption of, or a material amendment to, such a plan or arrangement (Israeli law only requires shareholder approval generally for a grant under a plan or arrangement for directors or the chief executive officer).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the U.S. proxy rules and our officers, directors and 10% shareholders are exempt from certain requirements of Section 16 under the Exchange Act. Changes to our status as a foreign private issuer or a reduction to the exemptions accorded to foreign private issuers could increase our compliance costs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and directors are exempt from the short-swing profit recovery provisions, and 10% shareholders are exempt from the reporting and short-swing profit recovery provisions, in each case under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These exemptions and leniencies reduce the frequency and scope of information and protections to which you are entitled as an investor.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current SEC rules, 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governance practices associated with U.S. domestic issuers. In addition, we would lose our ability to rely upon exemptions from certain corporate governance requirements on U.S. stock exchanges that are available to foreign private issuers. Such additional required compliance would involve additional costs.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4, 2025, the SEC issued a concept release soliciting comments on potential revisions to the foreign private issuer definition and/or the accommodations accorded to foreign private issuers. The SEC is considering several possible changes, including requiring foreign private issuers to have minimum non-U.S. trading volume or maintain a foreign (non-U.S.) exchange listing (neither of which we currently have), or be incorporated in jurisdictions with robust regulatory frameworks. If the SEC amends the conditions to being a foreign private issuer and we cannot meet the new conditions, we would become subject to the more stringent requirements applicable to U.S. domestic issuers. If the SEC substantially reduces the accommodations accorded to foreign private issuers, then even if we maintain our status as a foreign private issuer, we would still be subject to more stringent requirements. Either of those outcomes could significantly increase our compliance costs and require substantial changes to our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future sales of our 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Amazon is entitled to certain registration rights with respect to the 3,401,028 ordinary shares underlying warrants that we issued to its affiliate on September 14, 2020, pursuant to a transaction agreement that we entered into with Amazon on that day. All shares sold pursuant to an offering covered by a registration statement will be freely transferable except if purchased by an affiliate. See “ITEM 10.C- Material Contracts— Agreements with Amazon— Transaction Agreement and Warrant” in this annual report.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2,496,039 ordinary shares are issuable under currently vested and exercisable share options and unvested restricted share units, or RSUs, in the aggregate, granted to employees and office holders as of December 31, 2025. We have filed registration statements on Form S-8 under the Securities Act registering our potential issuance of those ordinary shares under our share incentive plans, of which, as of December 31, 2025, there were options and RSUs to purchase an aggregate of 4,593,004 shares outstanding. Shares included in such registration statements may be freely sold in the public market upon issuance, except for shares held by affiliates who have certain restrictions on their ability to sell.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required to devote substantial time towards maintaining the effectiveness of our internal controls and to other compliance initiatives and corporate governance practices.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Applicable U.S. securities laws and regulations and the listing requirements of the Nasdaq Stock Market impose various requirements on public companies, including the establishment and maintenance of effective disclosure and financial controls and corporate governance practices. Our management and other personnel continue to devote a substantial amount of time to these compliance initiatives.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particular,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of the Sarbanes-Oxley Act,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Irrespective of compliance with Sections 404(a) and 404(b), any failure of our internal controls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2025. Because PFIC status is based on our income, assets and activities for the entire taxable year, it is not possible to determine whether we will be characterized as a PFIC for our 2026 taxable year until after the close of the year. Furthermore, because the value of our gross assets is likely to be determined in part by reference to our market capitalization, a decline in the value of our ordinary shares may result in our becoming a PFIC.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changes to the CFC constructive ownership rules introduced by the Tax Act may cause one or more of our non-U.S. subsidiaries to be treated as CFCs, may also impact our CFC status and, thus, may affect holders of our ordinary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ordinary shares and the impact of the Tax Act, especially the changes to the rules relating to CFCs.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relies in part on the research and reports that equity research analysts publish about us, our business and our markets.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 Accordingly, military, economic and political conditions in Israel may directly affect our business.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Israel has been involved in various defensive wars during the last few years in response to, or in preemption of, Middle East terrorist or state-sponsored attacks on civilian targets in Israel. In late February 2026, Israel and the United States preemptively attacked Iran, in order to eliminate Iran’s nuclear and ballistic missile capabilities, and to target the Islamic fundamentalist regime governing Iran, which has threatened Israel’s existence. As part of this conflict, Iran launched missile attacks throughout Israel. This war followed upon similar conflicts in June 2025, and April 2024 and October 2024, during which Iran launched ballistic missile attacks against Israel, and Israel conducted strikes against Iranian military and nuclear infrastructure. The direct conflicts with Iran ran parallel to, and followed upon, a two-year war (from October 2023 until October 2025) during which Israel was attacked by Hamas and Hezbollah, terrorist groups sponsored by Iran operating out of the Gaza Strip and Lebanon, respectively, and declared war in response, which included ground operations in the Gaza Strip and southern Lebanon. Other Iranian-sponsored terrorist organizations in the Middle East, including the Houthi terrorist group in Yemen, have also attacked Israel with various types of missiles and drones as part of these conflicts, and Israel has responded with air force attacks. Nearby in the region, the fall of the Assad regime in Syria led Israel to conduct limited military operations targeting Iranian military assets and infrastructure linked to Hezbollah and other Iran-supported groups.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and prior conflicts have required call-ups of reserve military officers, many of whom work in the Israeli high-tech sector within which we operate. The two-year conflict also led to a downgrade in Israel’s credit rating by rating agencies such as the downgrade by Moody’s of Israel’s credit rating from A1 to Baa1, as well as the downgrade of its outlook rating from “stable” to “negative,” while S&amp;P Global lowered Israel’s long-term credit rating from A+ to A, with a “negative” outlook (before subsequently upgrading the outlook back to “stable” post-conflict), and downgraded its short-term credit rating from A-1+ to A-1.</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our facilities or infrastructure has been damaged, and our supply chains have not been significantly impacted, by the wars. We have furthermore not been adversely affected in a material way by the absence of certain of our employees who were called up for military reserve duty during the wars. However, extended or intensified conflicts could result in further military reserve duty call-ups as well as irregularities for our supply chain and our ability to ship products from Israel, which could disrupt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an event associated with the security situation in the Middle East, as well as acts of terror.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 incurred by us could have a material adverse effect on our business. While we have commenced implementation of a business continuity plan which provides for alternative sites outside of Israel, there can be no assurance that such plan will be successful.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Several countries, principally in the Middle East, restrict doing business with Israel and Israeli companies. While the Abraham Accords have enhanced Israel’s relations with certain countries in the Middle East (i.e., the United Arab Emirates, Bahrain, Morocco and Sudan), an ongoing state of hostility vis-à-vis other countries, varying in degree and intensity, has caused security and economic challenges for Israel. In addition, there have been increased efforts by activists to cause companies and consumers to boycott Israeli goods. Such actions, particularly if they become more widespread, may adversely impact our ability to sell and service our solutions.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shipping and delivery of our systems and ink and other consumables from our manufacturing facilities and those of our third-party manufacturers in Israel could also be delayed or interrupted by political, economic, military, and other events outside of our reasonable control, including labor strikes at ports in Israel or at ports of destination, military attacks on transportation facilities or vessels, and severe weather events. The Houthi terrorist militia in Yemen attacked ships in the Red Sea as part of the recent two-year hostilities in an effort to deter ships from reaching Israeli ports. Our ability to ship products from Israel and increased shipping costs due to rises in fuel prices could also be adversely affected, to the extent the current military conflict of the United States and Israel with Iran lasts for an extended period of time. We have implemented business contingency plans to mitigate the risk that we may be prevented from delivering or providing our systems, consumables and services from our Israeli facilities to various global regions in which our customers are located, by increasing inventory levels for our systems and consumables in those localized regions. Nevertheless, even those increased inventory levels could turn out to be insufficient to meet our customer needs should our Israeli capabilities be damaged or shut down due to military conflicts involving Israel. If delivery and installation of our products is delayed or prevented by any such events, our revenues could be materially and adversely impacted.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eligible for certain tax benefits provided to “Benefited Enterprises” under the Israeli Law for the Encouragement of Capital Investments, 1959, or the Investments Law, until 2018. Beginning in January 2019, and with respect to our taxable results from 2019 onwards, we and our Israeli subsidiary are furthermore eligible to apply the terms of the Investments Law as they relate to a “Preferred Enterprise,” or PE, and/or a “Preferred Technological Enterprise,” or PTE. In order to remain eligible for the tax benefits for Benefited Enterprises for our Israeli subsidiary’s taxable results until 2018, and for its taxable results from 2019 onwards with respect to a PE or PTE, we must continue to meet certain conditions stipulated in the Investments Law and its regulations, as amended. If these tax benefits are reduced, cancelled, or discontinued, our Israeli taxable income would be subject to regular Israeli corporate tax rates and we may be required to refund any tax benefits that we have already received, plus interest and penalties thereon. The statutory corporate tax rate for Israeli companies is 23% from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 See “ITEM 5. Operating and Financial Review and Prospects- Taxation and Israeli Government Programs Applicable to our Company - Law for the Encouragement of Capital Investments, 5719-1959.”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2025, 2024 and 2023, we received new commitments from the Innovation Authority for non-royalty bearing grants to reimburse us for up to 55% of our research and development expenses in connection with certain projects, in amounts of NIS 4 million, NIS 1.2 million and NIS 2.6 million, respectively (approximately $1.2 million, $0.3 million and $0.7 million, $ and ), in the aggregate. To date, we have received from the Innovation Authority NIS 4.4 million (approximately $1.3 million)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collectively referred to as the Innovation Law, in connection with that new funding and any past funding that we had received from the Innovation Authority.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company develops know-how, technology or products and related services using grants provided by the Innovation Authority, the terms of those grants and the Innovation Law, among others, restrict the transfer outside of Israel of (i) such Innovation Authority-supported know-how (including by a way of license for research and development purposes), (ii) manufacturing or manufacturing rights of such products, and (iii) such technologies, without the prior approval of the Innovation Authority. We may not receive those approvals.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set forth under the Innovation Law, to which we are subject (even after repaying grants we have received), include:</w:t>
      </w:r>
    </w:p>
    <w:p>
      <w:pPr>
        <w:spacing w:after="0" w:line="223" w:lineRule="exact"/>
        <w:rPr>
          <w:sz w:val="20"/>
          <w:szCs w:val="20"/>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know-how outside of Israel</w:t>
      </w:r>
      <w:r>
        <w:rPr>
          <w:rFonts w:ascii="Times New Roman" w:cs="Times New Roman" w:eastAsia="Times New Roman" w:hAnsi="Times New Roman"/>
          <w:sz w:val="18"/>
          <w:szCs w:val="18"/>
          <w:color w:val="auto"/>
        </w:rPr>
        <w:t>. Transfer of the know-how that was developed with the funding of the Innovation Authority outside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 manufacturing obligation. </w:t>
      </w:r>
      <w:r>
        <w:rPr>
          <w:rFonts w:ascii="Times New Roman" w:cs="Times New Roman" w:eastAsia="Times New Roman" w:hAnsi="Times New Roman"/>
          <w:sz w:val="18"/>
          <w:szCs w:val="18"/>
          <w:color w:val="auto"/>
        </w:rPr>
        <w:t>The terms of the grants under the Innovation Law require that the manufacturing of products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an event, a notice to the Innovation Authority is required.</w:t>
      </w:r>
    </w:p>
    <w:p>
      <w:pPr>
        <w:spacing w:after="0" w:line="18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reporting obligations</w:t>
      </w:r>
      <w:r>
        <w:rPr>
          <w:rFonts w:ascii="Times New Roman" w:cs="Times New Roman" w:eastAsia="Times New Roman" w:hAnsi="Times New Roman"/>
          <w:sz w:val="18"/>
          <w:szCs w:val="18"/>
          <w:color w:val="auto"/>
        </w:rPr>
        <w:t>. A recipient of a grant or a benefit under the Innovation Law is required to notify the Innovation Authority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enumerated in the Innovation Law.</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tr may not seek appraisal rights), may, at any time within six months following the completion of the tender offer, petition an Israeli court to alter the consideration for the acquisition. See “Articles of Association - Acquisitions under Israeli Law” in Exhibit 2.2 to this annual report.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provide that our directors (other than external directors, to the extent there are any serving at the time) are elected on a staggered basis, such that a potential acquirer cannot readily replace our entire board of directors at a single annual general shareholder meeting.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or the ITA, might be required.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our directors in Israel or the United States, to assert U.S. securities laws claims in Israel, or to serve process on our officers and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Information on the 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legal name is Kornit Digital Ltd., and we were incorporated under the laws of the State of Israel on January 16, 2002. We shipped our first system in 2005. In April 2015, we completed our initial public offering, or IPO. Our ordinary shares began trading on the Nasdaq Global Select Market, under the symbol “KRNT,” on April 2, 2015.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Israeli Companies Law, 5759-1999. Our principal executive offices are located at 10 Ha’Amal Street, Rosh Ha’Ayin 4809246, Israel, and our telephone number is +972-3-908-5800. Our website address is www.kornit.com (the information contained therein or linked thereto shall not be considered incorporated by reference in this annual report).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agent for service of process in the United States is Kornit Digital North America Inc., located at 480 South Dean Street Englewood, NJ 07631, and its telephone number is (262) 518-0200.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company whose ordinary shares are registered under the Exchange Act, we report publicly to the SEC. The SEC maintains an Internet site (http://www.sec.gov) that contains reports and other information regarding issuers that file electronically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Capital Expenditures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 expenditures in the years ended December 31, 2025, 2024 and 2023 were approximately $21.3 million, $15.1 million, and $7.0 million, respectively, and were principally used for the production of equipment for lease in each of 2025, 2024 and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make any capital expenditures for the acquisition of interests in any companies in any of 2023, 2024 or 2025, nor have we done so thus far in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leading global developer and provider of innovative digital solutions for the printed textile industry. We aim to transform the industry by shifting demand generators and fulfillers from outdated and stagnant analog processes to innovative digital processes. Our solutions are designed to enable our customers to remain relevant, reduce waste, and adapt to shifting supply chain dynamics.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focus on the rapidly growing high throughput DTG (direct to garment) and Direct to Fabric segments of the printed textile industry. Our solutions include our proprietary digital printing systems, curing systems, ink, and other consumables, associated software and value-added services. These solutions allow for printing large scale, short to medium runs, of complex images and designs directly on finished garments and fabrics. Our customers include fulfillers and demand generators, such as brands, licensors, and content creators, primarily within the fashion, apparel and home décor segments of the industry.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are offering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blends,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an industrial digital printing solution, the Presto MAX, which targets the on-demand Direct-to-Fabric market. While the DTG market generally involves printing on finished garments, the Direct-to-Fabric market is focused on printing on fabrics that are subsequently converted into finished garments, home décor and other items, including footwear. The Presto MAX, like our predecessor Direct-to-Fabric products, the Presto and Allegro, utilizes our proprietary wet-on-wet printing methodology and houses an integrated drying and curing system. It offers a single-step, eco-friendly, stand-alone industrial Direct-to-Fabric digital textile printing solution.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compared with analog methods of production, our solutions significantly reduce production lead times and enable our customers to produce smaller quantities of individually printed designs more effectively, sustainably, and cost-efficiently.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an attractive business model, with our growing installed base of systems driving recurring sales of ink and other consumables. Our ink and other consumables are specially formulated to enable our systems to operate at the highest throughput level while adhering to high print quality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capitalize on the continued growth of the DTG market by expanding our diverse global customer base, focusing particularly on fast-growing web-to-print businesses. We similarly strive to capture a greater share of the growing market for Direct-to-Fabric, which has emerged as a transformative technology within the apparel industry. Besides reaching new customers, we also seek to increase our sales to existing customers, particularly sales of our ink and other consumables. At the same time, we are pursuing new high-volume customers, including new customers in the screen replacement market,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 We constantly explore the possibility of adding new business models and concepts designed to grow our business and cater to our customers’ needs.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2024 we introduced a new business model, the All-Inclusive Click, or AIC™. In AIC™ transactions, Kornit provides a full solution to its customers, including the printing system, ink and other consumables, service, software and training, and the customers agree to pay a fixed price per impression, subject to a minimum annual commitment, typically a five-year commitment. We seek to increase the portion of new deals done under the AIC™ model, driving an increased level of partnership with our customers, generating annual recurring revenues (ARR), and improving revenue predictability. The AIC™ model reduces capital investment barriers and aligns cost structure to revenues for our customers.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go-to-market strategy for outright sales of our systems consists of a hybrid model of indirect and direct sales, with a trend towards adopting a direct sales model in certain key markets. We have historically generated a significant portion of our sales through a global network of independent agents,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for our systems is performed either by our own service organization, including both direct employees and third parties, or by service engineers employed by our distributors. This varies among the regions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General Textile Industry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Textile is a flexible material formed using various processes, including weaving, knitting, crocheting, or felting. Textile is conventionally used in a broad range of applications including fashion, apparel, footwear and home decor. According to a report published by Statista in October 2025, the value of the global apparel market was approximately $1.8 trillion and is forecasted to grow to $2 trillion by 2029, reflecting a compound annual growth rate (CAGR) of 2.64% between 2025 and 2029. Factors including rising income per capita, favorable demographics and shifting consumer trends are expected to drive long-term demand in the apparel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global printed textile industry involves printing on fabric rolls, finished garments, and unsewn pieces of cut fabric at various stages along the value chain in the production of goods for fashion, apparel, and home decoration. According to Future Market Insights (FMI), the global digital textile printing market is set to experience substantial growth over the forecast period, with a projected compound annual growth rate (CAGR) of 12.5% from 2025 to 2035. This growth is expected to drive the market from $3.8 billion in 2025 to a forecasted $12.3 billion by 2035, indicating strong demand for advanced printing technologies in the textile industry. FMI expects the inkjet printing segment to dominate with a 72.0% market share, while fashion and apparel will lead the end-use application segment with a 48.0%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E-Commerce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e-commerce market has undergone significant growth in the past two decades, expanding in the U.S. from only ~2% of total retail sales in 2003 to 15.9% in early 2025 according to the U.S. census bureau. The shift in retail sales channels has transformed how consumers purchase goods across industries, but many global retail brands have faced pressures as their traditional supply chains were not designed to serve e-commerce markets. Advanced technologies like virtual reality, 3D modeling, and artificial intelligence are being increasingly integrated to enhance online shopping. Concurrently, the creator economy is expanding, with social media and e-commerce platforms enabling creators to monetize their digital content. As of 2025, global e-commerce apparel sales reached an estimated $779.30 billion, and are projected to grow to $1,706.58 billion by 2034, reflecting a CAGR of 9.10% from 2025 to 2034, according to Precedence Research. North America led the global market with the highest market share of e-commerce apparel— 34% in 2024 (Precedence Research).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Media</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Social media platforms, merging media and network categories, have significantly impacted the retail landscape, influencing communication, consumer trends, and brand perception. As of 2025, 5.24 billion users (63.9% of the global population) were active on social media, with over 304 million users in the U.S. alone, according to DataReportal and Statista. This widespread use has enabled small and micro brands, often established by individuals or organizations with social influence, to achieve rapid recognition and growth, challenging traditional players to be more agile and responsive. Additionally, the convergence of gaming and social media, with games like Fortnite, Minecraft, and Roblox, highlights the evolution of online games into robust social media networks and interactive marketplaces, offering an alternative to traditional social media platforms.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need to reduce or contain the ecological footprint of the textile and apparel industry is affecting the entire industrial system. The urgency for change has flowed through from political and environmental activists and scientists, into mainstream government regulators, and business leadership across the globe. A sustainable industrial system requires the formulation of new strategies and thinking, integrated into business and operational frameworks around sustainable manufacturing, supply chain design, sustainability performance measurement and ongoing management. While industrial production is considered part of the problem, it is now also considered as part of the solution. From a practical point of view, companies are focusing their sustainability strategies to include technological improvements that enable cleaner production, pollution prevention, and other sustainable manufacturing practices.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971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Screen printing is the most commonly used printing process for textiles. The two primary methods of screen printing are rotary screen printing and automated carousel screen printing.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762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6064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Rotary Screen Printing: </w:t>
      </w:r>
      <w:r>
        <w:rPr>
          <w:rFonts w:ascii="Times New Roman" w:cs="Times New Roman" w:eastAsia="Times New Roman" w:hAnsi="Times New Roman"/>
          <w:sz w:val="18"/>
          <w:szCs w:val="18"/>
          <w:color w:val="auto"/>
        </w:rPr>
        <w:t>Rotary screen printing is commonly used to print on outerwear, underwear, sportswear, upholstery, and linens. It involves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diagram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154305</wp:posOffset>
            </wp:positionV>
            <wp:extent cx="1585595" cy="1534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559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Automated Carousel Screen Printing: </w:t>
      </w:r>
      <w:r>
        <w:rPr>
          <w:rFonts w:ascii="Times New Roman" w:cs="Times New Roman" w:eastAsia="Times New Roman" w:hAnsi="Times New Roman"/>
          <w:sz w:val="18"/>
          <w:szCs w:val="18"/>
          <w:color w:val="auto"/>
        </w:rPr>
        <w:t>Automated carousel screen printing is commonly used to print on finished garments and cut pieces.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132080</wp:posOffset>
            </wp:positionV>
            <wp:extent cx="5160645" cy="488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606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Printing Processes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digital textile printing market principally includes two types of printing processes: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Direct-to-Garment (DTG): </w:t>
      </w:r>
      <w:r>
        <w:rPr>
          <w:rFonts w:ascii="Times New Roman" w:cs="Times New Roman" w:eastAsia="Times New Roman" w:hAnsi="Times New Roman"/>
          <w:sz w:val="18"/>
          <w:szCs w:val="18"/>
          <w:color w:val="auto"/>
        </w:rPr>
        <w:t>In DTG printing, an inkjet printer prints directly on the textile. DTG printing allows for printing images and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onto finished textiles, such as t-shirts that have already been sewn and dyed. The following chart summarizes the key steps involved in the DTG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122555</wp:posOffset>
            </wp:positionV>
            <wp:extent cx="5160645" cy="540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606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Direct-to-Fabric: </w:t>
      </w:r>
      <w:r>
        <w:rPr>
          <w:rFonts w:ascii="Times New Roman" w:cs="Times New Roman" w:eastAsia="Times New Roman" w:hAnsi="Times New Roman"/>
          <w:sz w:val="18"/>
          <w:szCs w:val="18"/>
          <w:color w:val="auto"/>
        </w:rPr>
        <w:t>In Direct-to-Fabric printing, rolls of fabric pass in-line through wide-format inkjet printers that are utilized to directly print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images and designs onto rolling fabric. The following chart summarizes the key steps involved in the Direct-to-Fabric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112395</wp:posOffset>
            </wp:positionV>
            <wp:extent cx="5160645"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606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which were accelerated due to the COVID-19 pandemic, we believe that these businesses offer a significant and rapidly growing market for digital printing solutions.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b w:val="1"/>
          <w:bCs w:val="1"/>
          <w:color w:val="auto"/>
        </w:rPr>
        <w:t>How Digital Textile Printing Addresses Industry Needs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characteristics of digital textile printing are driving the shift from analog to digital textile printing:</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Manufacturing flexibility. </w:t>
      </w:r>
      <w:r>
        <w:rPr>
          <w:rFonts w:ascii="Times New Roman" w:cs="Times New Roman" w:eastAsia="Times New Roman" w:hAnsi="Times New Roman"/>
          <w:sz w:val="18"/>
          <w:szCs w:val="18"/>
          <w:color w:val="auto"/>
        </w:rPr>
        <w:t>Digital textile printing gives manufacturers the ability to print short runs, with personalization capabilities, in a cost-effective manner with a minimum order quantity of one unit. Unlike screen printing, digital printing costs remain the same when printing a single unit or multiple units. This allows printers to execute orders one by one without needing to accumulate large demand for a design before printing. In a post-COVID-19 world, manufacturing flexibility plays an essential role in building brands’ resilience. Companies must rethink their sourcing strategies while implementing cutting-edge supply chain management, and building in greater flexibility, in order to keep products at pace with customer demand.</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Design flexibility. </w:t>
      </w:r>
      <w:r>
        <w:rPr>
          <w:rFonts w:ascii="Times New Roman" w:cs="Times New Roman" w:eastAsia="Times New Roman" w:hAnsi="Times New Roman"/>
          <w:sz w:val="18"/>
          <w:szCs w:val="18"/>
          <w:color w:val="auto"/>
        </w:rPr>
        <w:t>Digital textile printing enables a larger variety of artwork to be imprinted, without limitations on number of colors per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high-resolution imaging.</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Integration with advanced workflow environments. </w:t>
      </w:r>
      <w:r>
        <w:rPr>
          <w:rFonts w:ascii="Times New Roman" w:cs="Times New Roman" w:eastAsia="Times New Roman" w:hAnsi="Times New Roman"/>
          <w:sz w:val="18"/>
          <w:szCs w:val="18"/>
          <w:color w:val="auto"/>
        </w:rPr>
        <w:t>Digital textile printing is better suited for the transition of the production floor environment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digitization, including connectivity to cloud networking elements and productivity analytics software solutions.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Reduced time between design and production. </w:t>
      </w:r>
      <w:r>
        <w:rPr>
          <w:rFonts w:ascii="Times New Roman" w:cs="Times New Roman" w:eastAsia="Times New Roman" w:hAnsi="Times New Roman"/>
          <w:sz w:val="18"/>
          <w:szCs w:val="18"/>
          <w:color w:val="auto"/>
        </w:rPr>
        <w:t>The digital textile printing process allows for samples to be quickly produced, evaluated,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which permits brand owners to increase the frequency and variety of replenishment cycles in response to fashion trends.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Decreased risk of excess inventory. </w:t>
      </w:r>
      <w:r>
        <w:rPr>
          <w:rFonts w:ascii="Times New Roman" w:cs="Times New Roman" w:eastAsia="Times New Roman" w:hAnsi="Times New Roman"/>
          <w:sz w:val="18"/>
          <w:szCs w:val="18"/>
          <w:color w:val="auto"/>
        </w:rPr>
        <w:t>The costly and time-consuming upfront setup required in analog production methods is avoided when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printing technologies. By enabling the cost-efficient production of a smaller quantity of garments, digital printing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focused on the sale of printed textiles.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Reduced labor and physical space requirements. </w:t>
      </w:r>
      <w:r>
        <w:rPr>
          <w:rFonts w:ascii="Times New Roman" w:cs="Times New Roman" w:eastAsia="Times New Roman" w:hAnsi="Times New Roman"/>
          <w:sz w:val="18"/>
          <w:szCs w:val="18"/>
          <w:color w:val="auto"/>
        </w:rPr>
        <w:t>Digital textile printing requires significantly less labor to print an equivalent output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reduction in process steps. The combination of labor savings and a smaller floor footprint, coupled with lower energy consumption and a lack of environmental impact, enables manufacturers to move production closer to consumers in a cost-effective manner. The textile business is very seasonal and the need to retain employees bears a heavy financial burden. The move to digital printing significantly reduces the need for manpower and allows for a more flexible cost structure.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Sustainability. </w:t>
      </w:r>
      <w:r>
        <w:rPr>
          <w:rFonts w:ascii="Times New Roman" w:cs="Times New Roman" w:eastAsia="Times New Roman" w:hAnsi="Times New Roman"/>
          <w:sz w:val="18"/>
          <w:szCs w:val="18"/>
          <w:color w:val="auto"/>
        </w:rPr>
        <w:t>Digital textile printing significantly reduces industrial water consumption and discharge of toxic chemicals by eliminating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wash screens for color changes and repeated use. We estimate that this results in reduced environmental impact and in turn enables manufacturers to comply with regulatory and brand guidelines at a location of their choosing, in many cases in populated areas which are not industrial in nature. In addition, digital textile printing opens up opportunities to optimize processes and reduce the carbon footprint and energy expense used to decorate garments and fabrics.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DTG solutions utilize our patented wet-on-wet printing methodology that eliminates the common practice of separately coating and drying textiles prior to printing. This methodology also enables printing on a wide range of untreated natural, synthetic, blends and man-made fabrics, including cotton, wool, polyester and lycra, and with throughputs ranging from 40 to approximately 400 garments per hour, depending on system type, garment type and operational capabilities. Our industrial and mass production DTG solutions are suited to the needs of a variety of customers, from smaller industrial operators with limited budgets to mass producers with complex manufacturing requirements. Products in this category are designed to print directly on finished garments such as shirts, sweatshirts, polos, fleeces, and more. Our primary systems within our DTG business include the Atlas MAX Plus, Atlas MAX Poly and Apollo.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2021, we supplemented our original DTG printing solutions with our Kornit MAX technology, which enables exemplary retail print quality and durability standards, together with enhanced production speed. The breakthrough technological innovation has been achieved thanks to new additional process and consumables capabilities, enabling optimal control over print quality and durability on a significantly larger media variety.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Kornit introduced the XDI technology that allows layered 3D printing. This capability is available as part of Kornit’s unique MAX printing engine. Kornit XDi brings a new dimension to digital printing by enabling the printing of multiple layers to create 3D-effects. XDi’s unique premium applications open new markets for our customers and offer creative freedom powered by a simple, single-step, digital and sustainable process. Our customers are now able to do much more with their printing equipment and enter into higher margin premium markets.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2022, we introduced the Atlas MAX Poly, which extended our technological capabilities in high quality printing on polyester even further by leveraging the Kornit MAX technology and incorporating it as part of our proprietary polyester printing process, which is based on the NeoPigment® Olympia ink set. The Atlas MAX Poly harnesses an innovative low temperature curing ink set alongside a new process and consumables to deliver highest quality digital printing on dyed polyester as well as delivering improved productivity rates. These new capabilities expanded our opportunity within the sports and athleisure spaces. This platform is also equipped with Neon applications and a proprietary consumable called ProGuard, which acts as a barrier between the fabric and print and promotes the inhibition of dye migration. In addition, this solution improves print quality on polyester cotton blends.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Apollo was launched in January 2024. The Apollo is a digital mass production platform, designed to be capable of printing up to approximately 400 shirts per hour, and handled by a single operator. The Apollo leverages the MAX technology, and the Eco-Rapid ink set and consumables. The printing technology is boosted by automation of loading and unloading, as well as integrated smart curing. Kornit’s RIP (Raster Image Processor) solution - K-RIP, is integrated into the Apollo, enabling it to print spot colors and specific Pantones with ease. We intend to continue developing and adding additional features to Apollo to further enhance flexibility, quality, and productivity.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Kornit’s energy-efficient Smart Curing solutions includes Orion for mid-level production, and Titan for higher-capacity volumes - both optimized for compatibility with Kornit Atlas MAX systems and based on field-proven solutions developed by Tesoma. The Lunar smart curing platform brings the same capabilities to Kornit’s Apollo solution. These highly efficient curing systems sync production and finish for an end-to-end process that reduces both energy consumption and total cost of ownership (TCO). Smart curing systems allow integration between our different Max platforms to the curing system, increasing print quality, energy efficiency and flexibility.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2023 we launched our Rapid Size Shifter (RSS) Pallet for our Atlas Max platform. RSS is a single adjustable pallet for multiple applications and product sizes. The RSS increases the speed and productivity of on-demand direct-to-garment production with a single pallet platform that addresses a wide range of applications, from T-shirts with or without neck tags and hoodies, to children’s apparel. This solution also reduces the downtime associated with pallet changes and streamlined production for accelerated time-to-market.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we launched the new Atlas MAX Plus system, which uses Kornit’s proven Atlas MAX platform to bring increased productivity of up to 150 garments per hour. With integrated Smart Curing, Rapid Size Shifter pallets, and qualiset, the offering takes smart production capabilities a step forward introducing production flexibility, autonomous calibration, consistency.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industrial digital printing solutions which target the on-demand Direct-to-Fabric market. Our Direct-to-Fabric products are designed to deliver printing on rolls of fabric that are subsequently converted into finished goods. Our Direct-to-Fabric capabilities cater to different market segments such as fashion and home décor. Like our DTG products, our Direct-to-Fabric solutions are designed to print on a wide range of fabrics. Our digital Direct-to-Fabric printing products also use our wet-on-wet patent and are a leading single-step, eco-friendly, stand-alone industrial Direct-to-Fabric digital textile printing solution available on the market. Our system within our Direct-to-Fabric business include the Presto MAX. Our Presto MAX platform brings unique capabilities to the market allowing our customers to digitally print on dyed fabrics, utilizing our white NeoPigment® ink, both as a spot color and as a base. Presto MAX also allows printing using Neon colors to achieve expanded color gamut and a wide variety of applications. Presto MAX also includes Kornit’s innovative XDi technology allowing 3D-effects and enabling our customers to penetrate higher margin premium markets. Additionally, Kornit plans to launch the Qualiset system also as part of the Presto MAX platform, which facilitates automatic machine calibrations ensuring quality and consistency.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series of ink sets for DTG systems, includes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polyester printing system, the Avalanche Poly Pro and the Atlas MAX Poly, and is available in five colors (W+CMYK), with an enhancer for the Avalanche Poly Pro and 7 colors (W+CMYKNyNp) on the Atlas MAX Poly. For our roll-to-roll systems, we offer the NeoPigment® Robusto ink set, which consists of up to nine colors (W+CMYKRGNyNp) in several different configurations.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offer customers maintenance and support services, as well as value-added services and application consulting, aimed at optimizing the number of impressions printed by our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Software 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DTG systems arrive with our QuickP Production software embedded. The software manages the system operation and prepares image files for printing. QuickP Production is a simple to use solution that allows users to control key operating parameters, such as print resolution, perform maintenance and calibration procedures and import image files and prepare them for print.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Apollo, we have included K-RIP, an embedded RIP (Raster Image Processor) solution, which is capable of supporting various types of files, including PDF files, and matches specific colors (such as spot colors and Pantones) with Kornit’s inks. It supports integration with an API workflow, which boosts the ability to automate the production floor.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2025 we commenced final testing of a standalone software solution which includes both the RIP functionality of KRIP and a fleet management solution. This solution is anticipated to serve each of Apollo, Atlas and mixed fleet customers.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Kornit Konnect, our cloud-based, software analytics connectivity platform enables businesses to maximize productivity of their digital printing solutions. Kornit Konnect enables businesses to monitor production, analyze data, become insights-driven and manage their fleet, in order to eliminate blind spots. It includes a fleet management dashboard, data driven benchmarks, actual production costs, and cost structures per job, making it easy for businesses to learn more, react faster and perform better.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2020, we acquired Custom Gateway, a global provider of cloud-based software workflow solutions for both B2B and B2C business models. Custom Gateway’s solution enables Kornit to offer customers an end-to-end solution for on-demand production.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KornitX’s technology, which is based on our acquisition of Custom Gateway, connects front end, web-based demand generators such as on-line stores and on-line brands, as well as licensors with a digitized fulfillment process, enabling a digitized on-demand manufacturing process. KornitX, together with our production solution ecosystem, manages and routes orders to facilitate efficient on-demand production on a mass scale.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service offering consists of system upgrade kits, maintenance and support, consulting and professional services. We continue to expand our services capabilities and aim to increase the number of customers that rely on our service for their systems. As of December 31, 2025, we had service contracts (including systems under warranty) in place with approximately 34% of our industrial and mass production installed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AIC™ - All-Inclusive Click business model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early 2024, we formally introduced the All-Inclusive Click (AIC™) model, which is designed to provide customers with a predictable, scalable, and cost-effective approach to digital printing. Under this model, Kornit retains ownership of the system, while the customer operates the system and is charged a fixed fee per impression produced. The fixed fee paid by customers covers system usage (and license to the accompanying software), ink, consumables, and service, eliminating the need for extensive capital investment. Customers commit to a minimum annual volume of impressions at the fixed price, typically over a five-year contractual period with successive one-year automatic renewals.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customer surpasses its minimum volume commitment, incremental impressions are typically billed at a reduced rate, designed to create an incentive to optimize system usage and scale production. This structure directly aligns our revenue growth with the operational success of customers, in turn enhancing and deepening the relationship.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AIC™ model is targeted at businesses seeking to expand their digital production capabilities without incurring upfront capital expenditure. Additionally, we believe that the model opens new market opportunities by attracting customers who may have previously been hesitant to adopt digital printing due to uncertainty in the unit economics of digital production. Customers exploring this model can now directly compare their existing unit production costs to AIC’s fixed price per impression while only needing to make assumptions on labor costs.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Kornit recognizes revenue from AIC™ arrangements through a combination of lease and non-lease components. The portion allocated to the lease component is recognized on a straight-line basis over the term of the arrangement as the system is made available for use. Revenue associated with the non-lease components, including ink, consumables, software and services, is recognized over time based on actual usage, as measured by impressions generated. This differs from our traditional model, where revenue from system sales is recognized at a point in time upon delivery. These arrangements typically include minimum usage commitments over the contractual term. Systems deployed under the AIC™ model are recorded as property, plant and equipment on our balance sheet and are depreciated over an estimated useful life of seven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AIC™ is currently available for the Apollo, Atlas MAX and Atlas MAX Poly systems.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for Growth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strategy includes three key pillars which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in Growth Markets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growing our customer base by targeting new customers in markets that are adjacent to those in which we have been operating. These markets include geographies where we have identified multiple leading global fulfillers or demand generators which are producing without cost-efficient and sustainable solutions to meet changing consumer preferences. Our strategy of expanding into key markets also includes reallocating our resources selectively to better penetrate the bulk apparel market, athleisure and home décor, in addition to new segments, including footwear and technical apparel.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Maximize Impressions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installed base to the latest technology available, offering customers empowerment programs inclusive of basic and advanced training, with a goal of enabling our customers to increase utilization of their systems. With our move into solution selling, we are focusing on providing our customers with value added services including training programs, proactive services, production consulting and end-to-end workflow improvements. Through these value-added services, we can increase system availability and utilization, end-user product quality, and increase impressions, thereby requiring more ink and other consumables purchases as well as potential investment in new systems as our customers require additional capacity. Our AIC™ model also furthers our strategy of maximizing impressions, as customers have greater access to our systems, with minimal required up-front capital expenditures, and are incentivized to surpass their minimum volume commitment under this model and pay for incremental impressions at a reduced rate, which would optimize system usage. We also hope to capture a greater market share of screen replacement and bulk apparel impressions as part of our strategy for maximizing impressions created with our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Extend our leadership position through acquisitions and strategic partnerships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seek to continue to differentiate ourselves and extend our leadership position. We may supplement our internal efforts with selective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the acquisition of business assets from Hirsch in 2019 helped us transition to a full direct sales model in North America, and our acquisition of Tesoma in 2022 provided us the ability to integrate the curing step of the DTG printing process directly into our solutions via the Apollo.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diverse global customer base consisted of approximately 802 active customers as of December 31, 2025. Our installed base serves a variety of customers, operating through different business models.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Self-Fulfillment</w:t>
      </w:r>
      <w:r>
        <w:rPr>
          <w:rFonts w:ascii="Times New Roman" w:cs="Times New Roman" w:eastAsia="Times New Roman" w:hAnsi="Times New Roman"/>
          <w:sz w:val="18"/>
          <w:szCs w:val="18"/>
          <w:color w:val="auto"/>
        </w:rPr>
        <w:t>. Companies that produce printed textiles and sell their own designs.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Hybrid Printers</w:t>
      </w:r>
      <w:r>
        <w:rPr>
          <w:rFonts w:ascii="Times New Roman" w:cs="Times New Roman" w:eastAsia="Times New Roman" w:hAnsi="Times New Roman"/>
          <w:sz w:val="18"/>
          <w:szCs w:val="18"/>
          <w:color w:val="auto"/>
        </w:rPr>
        <w:t>. Companies that produce printed textiles both in-house and outsource to third party fulfillment providers.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 Party Fulfillment Centers</w:t>
      </w:r>
      <w:r>
        <w:rPr>
          <w:rFonts w:ascii="Times New Roman" w:cs="Times New Roman" w:eastAsia="Times New Roman" w:hAnsi="Times New Roman"/>
          <w:sz w:val="18"/>
          <w:szCs w:val="18"/>
          <w:color w:val="auto"/>
        </w:rPr>
        <w:t>. Companies serving as third party fulfillment for printed textile retailers.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We are subject to various local, state, federal and international laws, regulations, and agencies that affect businesses generally, and our business in particular. These include:</w:t>
      </w:r>
    </w:p>
    <w:p>
      <w:pPr>
        <w:spacing w:after="0" w:line="162"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environmental, health and safety regulations, including conditions set by the Israeli Ministry of Environmental Protection for the operation of our manufacturing and development facilities which use chemicals and produce waste materials, as further detailed below;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and the U.S. Anti-Money Laundering Act, as well as similar laws in Israel, UK and the European Union;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pertaining to the hiring, treatment, safety and discharge of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control regulations related to chemicals and hazardous substances, as described below;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tax regulations, as described under “ITEM 5. Operating and Financial Review and Prospects- Taxation and Israeli Government Programs Applicable to Our Company” below;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regulations for the European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7" w:name="page48"/>
    <w:bookmarkEnd w:id="47"/>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Israeli Environmental, Health and Safety Regulations</w:t>
      </w:r>
      <w:r>
        <w:rPr>
          <w:rFonts w:ascii="Times New Roman" w:cs="Times New Roman" w:eastAsia="Times New Roman" w:hAnsi="Times New Roman"/>
          <w:sz w:val="18"/>
          <w:szCs w:val="18"/>
          <w:color w:val="auto"/>
        </w:rPr>
        <w:t>. Our manufacturing and development facilities use chemicals and produce waste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 us to hold business licenses that may include conditions set by the Israeli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expenditures of significant amounts in the event of non-compliance and/or remediation, whether fines or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need to obtain regulatory permits to operate our systems in their facilities.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Import/Export Control Regulation of Chemicals and Hazardous Substances</w:t>
      </w:r>
      <w:r>
        <w:rPr>
          <w:rFonts w:ascii="Times New Roman" w:cs="Times New Roman" w:eastAsia="Times New Roman" w:hAnsi="Times New Roman"/>
          <w:sz w:val="18"/>
          <w:szCs w:val="18"/>
          <w:color w:val="auto"/>
        </w:rPr>
        <w:t>. The export of our products internationally subjects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may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structure consists of Kornit Digital Ltd., our Israeli parent company, and six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Tesoma GmbH (a German company, whose production activities were recently transferred to our third-party manufacturer) is wholly owned by Kornit Digital Technologies Ltd.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 Gateway, which currently operates under the name Kornit Digital/KornitX, was incorporated on May 5, 2010 under the laws of England and Wales, and is wholly owned by Kornit Digital UK Ltd. Custom Gateway Limited has several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Kornit (Shanghai) Digital Co., Ltd., which was incorporated on December 8, 2021, is wholly owned by Kornit Digital Asia Pacific Limited.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Rosh Ha’Ayin, Israel in an office and research and development facility consisting of approximately 125,658 square feet. The lease for this office, which we entered into with Industrial Building Corporation in 2007, currently expires on December 31, 2028, and we have an option to extend the lease until December 31, 2030.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2022, we announced the official opening of a new, modern, 71,440 square foot, ink manufacturing and storage facility in Kiryat Gat, Israel. We own the property and the building at this facility (subject to a 49-year lease agreement with the ILA, which will renew for an additional 49 years).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U.S. headquarters are located in Englewood, New Jersey. We (through our U.S. subsidiary, Kornit Digital North America, Inc.) are party to a lease agreement with Bonanno Real Estate Group I, L.P. for this headquarters location, which include approximately 15,845 square feet of offices and a warehouse. The lease for this location expires in February 2028. We maintain additional sales, support and marketing offices in: Dusseldorf, Germany; Hong Kong; the United Kingdom and Japan. We also maintain a disaster recovery site in Milwaukee, Wisconsin, where we are able to manufacture the fixation agent for some of our printers and ink.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2022, we entered into a new agreement for the lease of 18,256 square feet, in addition to our existing 14,057 square feet, for our office in Dusseldorf, Germany, which we have been using as an experience center. The lease will expire in 2028, with an option to extend the lease for two additional five-year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4A. </w:t>
      </w:r>
      <w:r>
        <w:rPr>
          <w:rFonts w:ascii="Times New Roman" w:cs="Times New Roman" w:eastAsia="Times New Roman" w:hAnsi="Times New Roman"/>
          <w:sz w:val="18"/>
          <w:szCs w:val="18"/>
          <w:b w:val="1"/>
          <w:bCs w:val="1"/>
          <w:u w:val="single" w:color="auto"/>
          <w:color w:val="auto"/>
        </w:rPr>
        <w:t>Unresolved Staff Comments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Operating and Financial Review and Prospects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section should be read in conjunction with our financial statements for the year ended December 31, 2025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develop, design and market innovative digital printing solutions for the global printed textile industry. Our vision is to facilitate the industry’s transition from analog processes to digital production methods that address contemporary supply, demand and environmental dynamics. We focus on the high throughput DTG, DTG Mass Production and Direct-to-Fabric segments of the printed textile industry. Our solutions include our proprietary digital printing systems, ink, and other consumables, associated software and value-added services that allow for printing large scale short and longer runs of complex images and designs directly on finished garments and fabrics. Our customers include fulfillers and demand generators, such as brands, licensors, and content creators, primarily within the fashion, apparel and home décor segments of the industry.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are driven by sales of our systems and recurring revenues from ink, consumables, services and, increasingly, from our All-Inclusive Click (AIC™) model. Under the AIC™ model, we retain ownership of our systems and generate revenue on a per-impression basis rather than recognizing the majority of revenue at the time of system delivery. As the proportion of systems deployed under this model increases, the composition and timing of revenue recognition, gross margin profile, working capital requirements and cash flows are increasingly influenced by the growth and utilization levels of our installed base.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compared with analog methods of production, our solutions significantly reduce production lead times and enable our customers to produce smaller quantities of individually printed designs more effectively, sustainably, and cost-efficiently. While macroeconomic conditions, customer capacity utilization and foreign exchange movements may affect short-term demand and system utilization levels, growth in our installed base, including both traditionally sold systems and AIC™ deployments, expands our long-term recurring revenue opportunity.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an industrial digital printing solution, the Presto MAX, which targets the on-demand Direct-to-Fabric market. While the DTG market generally involves printing on finished garments, the Direct-to-Fabric market is focused on printing on fabrics that are subsequently converted into finished garments, home décor, and other items. The Presto MAX, like our predecessor Direct-to-Fabric products, the Presto and the Allegro, utilize our proprietary wet-on-wet printing methodology and house an integrated drying and curing system. It offers the sole single-step, eco-friendly, stand-alone industrial Direct-to-Fabric digital textile printing solution available on the market, following its predecessors the Presto and the Allegro. We primarily sell the Presto MAX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MAX we are well positioned to take advantage of the growing trend towards customized fashion, home décor and on-demand fabric printing, where there is an increased focus on sustainable production. We began selling the Presto MAX commercially in 2021, two years after having introduced our Direct-to-Fabric digital textile printing solution, the Presto, in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with a trend towards adopting a direct sales model in certain key markets. We have historically generated a significant portion of our sales through a global network of independent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for our systems is performed either by our own service organization, including both direct employees and third parties, or by service engineers employed by our distributors. This varies among the regions that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model is characterized by an installed base of systems that drive recurring sales of ink and other consumables. Our ink and consumables are formulated to enable our systems to operate at high throughput levels while maintaining print quality. We continue to evaluate additional business models designed to address evolving customer needs.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seek to expand our global customer base, including web-to-print businesses and high-volume production environments. We also focus on increasing sales to existing customers, particularly sales of ink and other consumables. In addition, we pursue opportunities in the screen replacement market through our Apollo platform, which is designed to address high-volume production environments and expand our recurring consumables opportunity. We also evaluate opportunities to extend our serviceable addressable market by introducing new features and functionality that enhance the capabilities of our systems and inks and enable printing on additional media types. These initiatives are supported by continued investment in our sales organization, application development, product innovation and channel relationships.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introduced the AIC™ model in 2024 as an alternative business model designed to expand access to our solutions and increase recurring revenue. In an AIC™ transaction, we provide a full solution to the customer, including the printing system, ink and other consumables, service, software and training, and the customer pays a fixed price per impression. Customers are ordinarily subject to minimum annual commitments, which are intended to provide a baseline level of recurring revenue, subject to customer performance and contractual terms, including termination fees in case of early termination.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expand the use of the AIC™ model in appropriate transactions, with the objective of increasing recurring revenue visibility and strengthening long-term customer relationships.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On November 17, 2025, we announced that our board of directors has authorized a new program for our repurchase of up to $100 million of our ordinary shares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Repurchases under the new program may be made from time to time in the open market or through privately negotiated transactions, subject to market conditions and applicable legal requirements, including an initial creditor notification period under Israeli law, insider trading blackout periods, and Israeli law-based monitoring of our ability to meet our obligations as they become due despite the cash utilized for repurchases. The repurchase authorization reflects our board of directors’ ongoing evaluation of capital allocation priorities, liquidity and prevailing market conditions. Please see “Item 16E Purchases of Equity Securities by the Issuer and Affiliated Purchasers” for more information concerning our share repurchase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229" w:lineRule="exact"/>
        <w:rPr>
          <w:sz w:val="20"/>
          <w:szCs w:val="20"/>
          <w:color w:val="auto"/>
        </w:rPr>
      </w:pPr>
    </w:p>
    <w:p>
      <w:pPr>
        <w:jc w:val="both"/>
        <w:ind w:right="20" w:firstLine="638"/>
        <w:spacing w:after="0" w:line="282" w:lineRule="auto"/>
        <w:rPr>
          <w:sz w:val="20"/>
          <w:szCs w:val="20"/>
          <w:color w:val="auto"/>
        </w:rPr>
      </w:pPr>
      <w:r>
        <w:rPr>
          <w:rFonts w:ascii="Times New Roman" w:cs="Times New Roman" w:eastAsia="Times New Roman" w:hAnsi="Times New Roman"/>
          <w:sz w:val="18"/>
          <w:szCs w:val="18"/>
          <w:color w:val="auto"/>
        </w:rPr>
        <w:t>We supplement our U.S. GAAP financial disclosures with certain key operating and financial metrics that management uses to evaluate performance and monitor trends in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Impressions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number of impressions as a key performance indicator to assess demand for our digital printing solutions and the utilization of our installed base. We believe the number of impressions provides useful insight into the level of printing activity on our systems and, for certain parts of our business, correlates with revenue generated from click-based charges, consumables, service, and other usage-related arrangements. Management monitors impressions to evaluate period-over-period trends in customer activity, identify changes in end-market conditions, assess the effectiveness of our go-to-market and customer support initiatives, and support operating decisions related to capacity planning, service staffing, inventory management for consumables and spare parts, and product development priorities.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Number of impressions is an operating metric and is not a measure of financial performance prepared in accordance with U.S. GAAP. It should not be considered a substitute for revenue, gross profit, operating income, or cash flows from operations, and it may not be comparable to similarly titled measures used by other companies due to differences in definitions, data sources, and measurement methods. In addition, impressions do not directly measure profitability or cash generation and should be considered in conjunction with our U.S. GAAP financial statements and related disclosures.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define an “impression” as a single standard printed image equivalent to a DTG print produced on Kornit technology. This may be recorded by our Konnect software embedded within our digital printing systems (excluding certain strategic customers and legacy systems) and reported through our remote analytics tools and customer reporting processes. For systems that do not have Konnect installed we estimate the number of impressions based on ink and consumables consumption, dividing the total consumed ink by a certain pre-determined amount of ink per impression, and with respect to our Direct-to-Fabric offerings we calculate impressions based on a certain conversion ratio from square meters. Unless otherwise indicated, reported impressions include production from (i) customer-owned or customer-leased installed systems and (ii) systems operated under click-based, pay-per-use, or similar usage arrangements, to the extent we have access to reliable counter data.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Impressions do not represent revenue and should not be viewed as a direct measure of revenue recognized in accordance with ASC 606, Revenue from Contracts with Customers. The relationship between impressions and revenue can vary based on product mix, pricing, contract terms (including fixed-fee arrangements, minimum volume commitments, tiered pricing, and rebates), the mix of customer-owned versus click-based arrangements, and the extent to which impressions are generated under agreements where consumables are purchased from third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total impressions were 242.9 million, compared to 219.7 million for the year ended December 31, 2024. The change was primarily driven by higher utilization within our installed base, including increases in production volumes among commercial customers, as well as the expansion of usage-based arrangements under our AIC™ business model, and increased adoption of digital production for longer runs. We believe the number of impressions provides investors with supplemental information about the activity and utilization of our installed base and, when considered together with our U.S. GAAP results, helps explain drivers of performance in our usage-related revenue streams.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Recurring Revenues</w:t>
      </w:r>
    </w:p>
    <w:p>
      <w:pPr>
        <w:spacing w:after="0" w:line="227"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We define Annual Recurring Revenue (“ARR”) as a non-GAAP operating metric that reflects the annualized value, as of the measurement date, of recurring consideration under customer arrangements that are in effect and provide for ongoing services. We use ARR as a key performance indicator to assess the scale and stability of the recurring portion of our business, evaluate trends in customer adoption and retention, and support near term and long-term budgeting, forecasting, and operational planning.</w:t>
      </w:r>
    </w:p>
    <w:p>
      <w:pPr>
        <w:spacing w:after="0" w:line="180"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ARR primarily reflects commitments under our AIC™ business model, under which customers commit to minimum annual volumes of impressions or, in certain cases, minimum annual payments, at contracted prices, typically over a five-year contractual period with successive one-year automatic renewals. The AIC™ model typically includes payments for system usage, service parts and labor, ink, software, and training as part of a bundled per-impression price.</w:t>
      </w:r>
    </w:p>
    <w:p>
      <w:pPr>
        <w:spacing w:after="0" w:line="180"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ARR is calculated based on the contractual fees associated with minimum committed volumes or payments in effect as of the measurement date, assuming no changes in contract scope or pricing.</w:t>
      </w:r>
    </w:p>
    <w:p>
      <w:pPr>
        <w:spacing w:after="0" w:line="162" w:lineRule="exact"/>
        <w:rPr>
          <w:sz w:val="20"/>
          <w:szCs w:val="20"/>
          <w:color w:val="auto"/>
        </w:rPr>
      </w:pPr>
    </w:p>
    <w:p>
      <w:pPr>
        <w:jc w:val="both"/>
        <w:ind w:right="20" w:firstLine="638"/>
        <w:spacing w:after="0" w:line="312" w:lineRule="auto"/>
        <w:rPr>
          <w:sz w:val="20"/>
          <w:szCs w:val="20"/>
          <w:color w:val="auto"/>
        </w:rPr>
      </w:pPr>
      <w:r>
        <w:rPr>
          <w:rFonts w:ascii="Times New Roman" w:cs="Times New Roman" w:eastAsia="Times New Roman" w:hAnsi="Times New Roman"/>
          <w:sz w:val="17"/>
          <w:szCs w:val="17"/>
          <w:color w:val="auto"/>
        </w:rPr>
        <w:t>ARR reflects contracts that are in effect as of the measurement date, including executed agreements for which services are expected to begin. ARR is updated to reflect changes in contractual commitments, including amendments, revised commitments, and other modifications to customer agreements.</w:t>
      </w:r>
    </w:p>
    <w:p>
      <w:pPr>
        <w:spacing w:after="0" w:line="140"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ARR excludes (i) usage-based or variable fees in excess of committed minimums, (ii) non-recurring revenues such as equipment and hardware sales, professional services, installation, and training, and (iii) optional renewals or extensions that are not contractually committed.</w:t>
      </w:r>
    </w:p>
    <w:p>
      <w:pPr>
        <w:spacing w:after="0" w:line="162"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ARR is a non-GAAP operating metric and does not represent revenue recognized in accordance with Accounting Standards Codification Topic 606, Revenue from Contracts with Customers (“ASC 606”). ARR should not be considered a substitute for, or superior to, revenue or other measures of financial performance prepared in accordance with U.S. GAAP.</w:t>
      </w:r>
    </w:p>
    <w:p>
      <w:pPr>
        <w:spacing w:after="0" w:line="176"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ARR is not intended to represent the total contract value of customer agreements, amounts that will be recognized as revenue in future periods, or amounts billed or expected to be billed to customers. Actual results may differ due to factors such as customer usage, contract modifications, non-renewals, early terminations, credit risk, and macroeconomic conditions.</w:t>
      </w:r>
    </w:p>
    <w:p>
      <w:pPr>
        <w:spacing w:after="0" w:line="176"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ARR was $24.8 million as of December 31, 2025, compared to $13.8 million as of December 31, 2024. The increase in ARR was primarily driven by the addition of new customers under our AIC™ program and reflects continued adoption of our usage-based revenue model. We believe ARR provides investors with useful supplemental information about the recurring component of our business, although it has inherent limitations and should be considered together with our U.S. GAAP financial statements and related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Among the key measures of our performance that it regularly considers, our management utilizes certain non-GAAP financial measures, consisting of non-GAAP operating income (loss) and Adjusted EBITDA. These non-GAAP financial measures reflect adjustments to corresponding GAAP financial measures in order to exclude the impact of certain items.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 specifically, our non-GAAP operating income (loss) takes GAAP net income (loss) and adjusts it to remove the impact of share-based compensation expenses, amortization of intangible assets, restructuring expenses, foreign exchange differences associated with ASC 842; and non-cash deferred tax income.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“Adjusted EBITDA” metric utilizes non-GAAP operating income (loss), which reflects the adjustments to GAAP net income (loss) described in the preceding paragraph, and further adjusts it to exclude depreciation expense.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believes that these non-GAAP financial measures are useful information for investors and shareholders of our company in gauging our results of operations on an ongoing basis after excluding certain expenses that are either non-cash items or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limitations of using these non-GAAP financial measures as performance measures are that they provide a view of our results of operations without including all items indicated above during a period, which may not provide a comparable view of our performance to other companies in our industry. Investors and other readers should consider non-GAAP measures only as supplements to, not as substitutes for or as superior measures to, the measures of financial performance prepared in accordance with GAAP. Our non-GAAP financial metrics, and the related table showing a reconciliation between our results on a GAAP and non-GAAP basis, are provided in the table in the section titled “Non-GAAP Operating Results” at the end of our “Operating Results” in this Item 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Statement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Systems, Ink and Other Consumables, Value Added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revenues from the sale of our systems, as well as from consumables, software and services, and from our AIC™ arrangements, under which customers operate systems that we own and are charged on a per-impression basis, subject to minimum annual commitments. Our installed base generates recurring revenues primarily from the ongoing delivery of consumables, software and services, including under AIC™ arrangements, which together enable the operation of our systems over time. Given relatively stable pricing for consumables, growth in recurring revenues generated from our installed base, driven by usage and impressions, is an important indicator of the execution of our recurring revenue strategy..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service revenues from post-warranty service contracts, spare parts sales to distributors and customers, system upgrades, time-and-material services, software subscriptions and transaction-based revenues.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sell our products both directly and through independent distributors that resell to end customers. Sales through distributors accounted for approximately 11% and 9% of our revenues in 2025 and 2024,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revenues in accordance with ASC 606, Revenue from Contracts with Customers. Under this standard, revenue is recognized when control of the promised goods or services transfers to the customer in an amount that reflects the consideration we expect to receive. This requires identification of the contract and performance obligations, determination and allocation of the transaction price, and recognition of revenue when, or as, performance obligations are satisfied.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account for certain lease revenues from AIC™ transactions in accordance with ASC 842, which usually qualify for operating lease treatment.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allocated to the lease is recognized on a straight-line basis.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provide customer incentive programs, including product discounts, volume-based rebates, and warrants, which are accounted for as variable consideration that is deducted from revenue in the period in which the revenue is recognized. These reductions to revenue are made based upon reasonable and reliable estimates that are determined by historical experience and the specific terms and conditions of the incentive.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seasonal. Historically, either the third or fourth quarter has been our strongest revenue quarter and the first quarter has been our weakest, reflecting customer spending patterns ahead of the year-end holiday season, particularly in the United States and Europe. Because ink and consumables generate higher gross margins than systems, gross margin tends to be higher in stronger utilization quarters and lower in periods when customers reduce system usage and consumables purchases.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AIC™ business model, typically customers commit to minimum annual volumes of impressions over the contractual term. Certain AIC™ arrangements are accounted for in accordance with ASC 842 and generally qualify as operating leases. The arrangements include a lease component (the right to use the device) and non-lease components, including ink, consumables, software and services, which are accounted for as a single performance obligation in accordance with ASC 606.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arrangements that include an annual minimum commitment, the Company allocates the consideration between the lease and non-lease components based on their relative standalone selling prices. The portion allocated to the lease component is recognized on a straight-line basis over the term of the arrangement. Revenue associated with the non-lease components is recognized over time, with progress measured based on actual usage, generally by impressions produced.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customer usage exceeds the minimum commitment, additional revenue is recognized based on excess impressions. Where usage is below the minimum commitment, revenue is recognized to reflect the contractual minimum commitment over the applicable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“Critical Accounting Estimates-Revenue Recognition”.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Breakdown of Revenues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024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geographic breakdown of revenues from sales to customers for the periods indicated: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3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122,277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115,034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51,642</w:t>
            </w:r>
          </w:p>
        </w:tc>
        <w:tc>
          <w:tcPr>
            <w:tcW w:w="26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50,089</w:t>
            </w:r>
          </w:p>
        </w:tc>
        <w:tc>
          <w:tcPr>
            <w:tcW w:w="26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60,706</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20"/>
                <w:szCs w:val="20"/>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208,200</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203,825</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219,786</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changes in the revenues by geographic region set forth in the above table from 2024 to 2025 reflect the general trends for our revenues for 2025 compared to 2024, as described below under “C</w:t>
      </w:r>
      <w:r>
        <w:rPr>
          <w:rFonts w:ascii="Times New Roman" w:cs="Times New Roman" w:eastAsia="Times New Roman" w:hAnsi="Times New Roman"/>
          <w:sz w:val="18"/>
          <w:szCs w:val="18"/>
          <w:b w:val="1"/>
          <w:bCs w:val="1"/>
          <w:i w:val="1"/>
          <w:iCs w:val="1"/>
          <w:color w:val="auto"/>
        </w:rPr>
        <w:t>omparison of the Years Ended December 31, 2025 and 2024-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operations and supply chain employees, and related overhead associated with the manufacturing of our systems. In addition, we manufacture ink and certain other consumables at our own manufacturing facility, and cost of revenues includes the related raw materials, personnel costs and facility overhead. Cost of revenues also includes expenses for service personnel involved in the installation and support of our systems, shipping and handling fees, amortization of intangible assets, and overhead related to the manufacturing process of ink and other consumables. Cost of revenue also includes depreciation associated with the AIC equipment.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is revenues less cost of revenues. Gross margin is gross profit expressed as a percentage of total revenues. Our gross margin has historically fluctuated from period to period as a result of changes in revenue mix, including the relative proportion of systems sales, and revenues derived from ink and other consumables, each of which carries different margin characteristics, and, more recently, revenues generated under our AIC™ model.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maintenance and support services for our systems, including post-warranty service contracts and upgrade offerings. Expansion of maintenance and support services may increase recurring service revenues and improve the utilization of our service organization. Service revenues generally carry margin characteristics that differ from systems and ink and consumables revenues, and changes in the mix of service revenues may affect overall gross margin depending on relative contribution levels and cost structure.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expenses are classified into three categories: research and development expenses, net,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largest component of our research and development expenses, net of government grants, is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personnel expenses for our research and development employees. Research and development expenses also include, purchases of laboratory supplies; expenses related to beta testing of our systems; amortization of intangible assets; and allocated overhead costs for facilities, including rent payments under our facilities leases. We record all research and development expenses as they are incurred, except for development expenses, which are capitalized in accordance with ASC 350-40. Our current research and development efforts are primarily focused on our next generation of Direct-to-Fabric and DTG systems. We are also investing in the development of new ink formulas for our new systems, in order to expand the range of fabrics on which we can print and improve color quality and diversification of our high-resolution images and designs. In addition, we are improving our software solutions to simplify workflows in the printing process and support the broader adoption of digital production by offering a more integrated solution from web order intake through graphic job preparation and execution.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largest component of our sales and marketing expenses is salaries and related personnel expenses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sales and other sales-support employees. Sales and marketing expenses also include trade shows, other advertising and promotions, including distributor open houses and media advertising; sales-based commissions, allowance for credit loss and allocated overhead costs for facilities, including rent payments under our facilities leases. We market our solutions using a combination of internal marketing professionals and our network of channel partners.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The largest component of our general and administrative expenses is salaries and related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our executive officers, financial staff, information technology staff, and human resources staff. General and administrative costs also include fees for accounting and legal services, insurance and costs for facilities, including rent payments under our facilities leases, partially allocated to other departments.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income, net consists of interest income, foreign currency exchange gains or losses and bank fees. Foreign currency exchange changes reflect gains or losses related to changes in the value of our non-U.S. dollar denominated financial assets, primarily cash and cash equivalents, and trade payables and receivables. As of December 31, 2025,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upon our average investment balances and market interest rates during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corporate tax rate in Israel has been 23% for 2018 and all subsequent years. However, as discussed in greater detail below under “Taxation and Israeli Government Programs Applicable To Our Company - Israeli Tax Considerations and Government Programs,” we and our wholly owned Israeli subsidiary, Kornit Digital Technologies Ltd., which we refer to as Kornit Technologies, are entitled to various tax benefits under the Israeli Law for the Encouragement of Capital Investments, 1959, or the Investment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consolidate the two separate results of our Israeli operations only for tax purposes such that net operating loss carryforwards of Kornit Technologies generated from 2014 onwards can be used to offset our taxable income. Kornit Technologies currently has enough carryforward net operating losses to offset our taxable income.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Beginning in January 2019, and with respect to its taxable results from 2019 onwards, our Israeli subsidiary further elected to apply the terms of the Investments Law as per its “Preferred Technological Enterprise,” or PTE, status. In each of 2023, 2024, and 2025, our effective tax rate was the blended rate of our Israeli tax and those of our non-Israeli subsidiaries in their respective jurisdictions of organization.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our audited financial statements for the years ended December 31, 2025, 2024, and 2023 and related notes and the information contained in “ITEM 18. Financial Statements”. Our financial statements have been prepared in accordance with US GAAP</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Period-to-Period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this section we provide data, as well as discussion and analysis, with respect to our results of operations for the last two years. While our statements of operations in Item 18 of this annual report cover each of the three years ended December 31, 2025, 2024, and 2023, the data, and discussion and analysis, in this Item 5.A do not address the year ended December 31, 2023, or a comparison of our results of operations for that year compared with our results of operations for the year ended December 31, 2024. In order to view that data, and discussion and analysis, please see “ITEM 5. Operating and Financial Review and Prospects - A. Operating Results - Comparison of Period-to-Period Results of Operations - Comparison of the Years Ended December 31, 2023 and 2024” in our Annual Report on Form 20-F for the year ended December 31, 2024, which we filed with the SEC on March 27,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jc w:val="both"/>
        <w:ind w:right="20" w:firstLine="638"/>
        <w:spacing w:after="0" w:line="282" w:lineRule="auto"/>
        <w:rPr>
          <w:sz w:val="20"/>
          <w:szCs w:val="20"/>
          <w:color w:val="auto"/>
        </w:rPr>
      </w:pPr>
      <w:r>
        <w:rPr>
          <w:rFonts w:ascii="Times New Roman" w:cs="Times New Roman" w:eastAsia="Times New Roman" w:hAnsi="Times New Roman"/>
          <w:sz w:val="18"/>
          <w:szCs w:val="18"/>
          <w:color w:val="auto"/>
        </w:rPr>
        <w:t>The following tables present a comparison of the various components of our results of operations for the years ended December 31, 2025 and 2024, both in absolute amounts and as percentages of our revenues in those respective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80" w:type="dxa"/>
            <w:vAlign w:val="bottom"/>
            <w:vMerge w:val="continue"/>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4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156,086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148,086</w:t>
            </w: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52,114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55,739</w:t>
            </w:r>
          </w:p>
        </w:tc>
        <w:tc>
          <w:tcPr>
            <w:tcW w:w="0" w:type="dxa"/>
            <w:vAlign w:val="bottom"/>
          </w:tcPr>
          <w:p>
            <w:pPr>
              <w:spacing w:after="0"/>
              <w:rPr>
                <w:sz w:val="1"/>
                <w:szCs w:val="1"/>
                <w:color w:val="auto"/>
              </w:rPr>
            </w:pPr>
          </w:p>
        </w:tc>
      </w:tr>
      <w:tr>
        <w:trPr>
          <w:trHeight w:val="23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67,468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61,697</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48,466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50,366</w:t>
            </w: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115,934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112,063</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47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92,266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41,578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58,722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58,413</w:t>
            </w: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30,385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29,086</w:t>
            </w:r>
          </w:p>
        </w:tc>
        <w:tc>
          <w:tcPr>
            <w:tcW w:w="0" w:type="dxa"/>
            <w:vAlign w:val="bottom"/>
          </w:tcPr>
          <w:p>
            <w:pPr>
              <w:spacing w:after="0"/>
              <w:rPr>
                <w:sz w:val="1"/>
                <w:szCs w:val="1"/>
                <w:color w:val="auto"/>
              </w:rPr>
            </w:pPr>
          </w:p>
        </w:tc>
      </w:tr>
      <w:tr>
        <w:trPr>
          <w:trHeight w:val="23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(34,572)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4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21,919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22,350</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taxes on income</w:t>
            </w:r>
          </w:p>
        </w:tc>
        <w:tc>
          <w:tcPr>
            <w:tcW w:w="47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(13,518)</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7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8" w:name="page59"/>
    <w:bookmarkEnd w:id="58"/>
    <w:p>
      <w:pPr>
        <w:ind w:left="8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98"/>
        </w:trPr>
        <w:tc>
          <w:tcPr>
            <w:tcW w:w="8480" w:type="dxa"/>
            <w:vAlign w:val="bottom"/>
          </w:tcPr>
          <w:p>
            <w:pPr>
              <w:spacing w:after="0"/>
              <w:rPr>
                <w:sz w:val="17"/>
                <w:szCs w:val="17"/>
                <w:color w:val="auto"/>
              </w:rPr>
            </w:pPr>
          </w:p>
        </w:tc>
        <w:tc>
          <w:tcPr>
            <w:tcW w:w="2160" w:type="dxa"/>
            <w:vAlign w:val="bottom"/>
            <w:gridSpan w:val="4"/>
          </w:tcPr>
          <w:p>
            <w:pPr>
              <w:jc w:val="right"/>
              <w:ind w:right="100"/>
              <w:spacing w:after="0" w:line="198" w:lineRule="exact"/>
              <w:rPr>
                <w:sz w:val="20"/>
                <w:szCs w:val="20"/>
                <w:color w:val="auto"/>
              </w:rPr>
            </w:pPr>
            <w:r>
              <w:rPr>
                <w:rFonts w:ascii="Times New Roman" w:cs="Times New Roman" w:eastAsia="Times New Roman" w:hAnsi="Times New Roman"/>
                <w:sz w:val="18"/>
                <w:szCs w:val="18"/>
                <w:b w:val="1"/>
                <w:bCs w:val="1"/>
                <w:color w:val="auto"/>
              </w:rPr>
              <w:t>(as a % of revenues)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75.0%</w:t>
            </w: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r>
      <w:tr>
        <w:trPr>
          <w:trHeight w:val="237"/>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w:t>
            </w:r>
          </w:p>
        </w:tc>
        <w:tc>
          <w:tcPr>
            <w:tcW w:w="720" w:type="dxa"/>
            <w:vAlign w:val="bottom"/>
          </w:tcPr>
          <w:p>
            <w:pPr>
              <w:spacing w:after="0"/>
              <w:rPr>
                <w:sz w:val="20"/>
                <w:szCs w:val="20"/>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32.4</w:t>
            </w: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r>
      <w:tr>
        <w:trPr>
          <w:trHeight w:val="25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55.7</w:t>
            </w:r>
          </w:p>
        </w:tc>
        <w:tc>
          <w:tcPr>
            <w:tcW w:w="7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w:t>
            </w:r>
          </w:p>
        </w:tc>
        <w:tc>
          <w:tcPr>
            <w:tcW w:w="3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18.1</w:t>
            </w:r>
          </w:p>
        </w:tc>
        <w:tc>
          <w:tcPr>
            <w:tcW w:w="72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28.2</w:t>
            </w: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r>
      <w:tr>
        <w:trPr>
          <w:trHeight w:val="237"/>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14.6</w:t>
            </w:r>
          </w:p>
        </w:tc>
        <w:tc>
          <w:tcPr>
            <w:tcW w:w="720" w:type="dxa"/>
            <w:vAlign w:val="bottom"/>
          </w:tcPr>
          <w:p>
            <w:pPr>
              <w:spacing w:after="0"/>
              <w:rPr>
                <w:sz w:val="20"/>
                <w:szCs w:val="20"/>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rPr>
              <w:t>(16.6)</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rPr>
              <w:t>(18.3)</w:t>
            </w:r>
          </w:p>
        </w:tc>
        <w:tc>
          <w:tcPr>
            <w:tcW w:w="220" w:type="dxa"/>
            <w:vAlign w:val="bottom"/>
            <w:gridSpan w:val="2"/>
          </w:tcPr>
          <w:p>
            <w:pPr>
              <w:spacing w:after="0"/>
              <w:rPr>
                <w:sz w:val="17"/>
                <w:szCs w:val="17"/>
                <w:color w:val="auto"/>
              </w:rPr>
            </w:pPr>
          </w:p>
        </w:tc>
      </w:tr>
      <w:tr>
        <w:trPr>
          <w:trHeight w:val="24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21"/>
                <w:szCs w:val="2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taxes on income</w:t>
            </w: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Revenues increased by $4.4 million, or 2.1%, to $208.2 million in 2025 from $203.8 million in 2024, which is net of $3.3 million in 2024, in fair value of the warrants associated with revenues recognized from Amazon.</w:t>
      </w:r>
    </w:p>
    <w:p>
      <w:pPr>
        <w:spacing w:after="0" w:line="162"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The increase in revenues was primarily driven by a 5.4% increase in product revenues to $156.1 million in 2025 from $148.1 million in 2024, partially offset by a 6.5% decrease in services revenues to $52.1 million in 2025 from $55.7 million in 2024. The increase in product revenues was primarily driven by growth in AIC™-related revenues, partially offset by lower systems revenues and a decrease in ink and other consumables revenues.</w:t>
      </w:r>
    </w:p>
    <w:p>
      <w:pPr>
        <w:spacing w:after="0" w:line="176"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Systems revenues were impacted by the ongoing strategic shift toward our AIC™ model, which resulted in a portion of system-related economics being recognized over time rather than at the point of system delivery. Services revenues were impacted by lower upgrade sales and lower time-and-materials parts sales, reflecting improved stability of the Max platform.</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increased by $3.9 million, or 3.5%, to $115.9 million in 2025 from $112.1 million in 2024. Gross profit increased by $0.5 million, or 0.5%, to $92.3 million in 2025 from $91.8 million in 2024. Gross margin decreased to 44.3% in 2025 compared with 45.0% in 2024. The increase in gross profit and the decrease in gross margin mainly reflect changes in product mix.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1"/>
                <w:szCs w:val="21"/>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(3,847)</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58,722</w:t>
            </w:r>
          </w:p>
        </w:tc>
        <w:tc>
          <w:tcPr>
            <w:tcW w:w="12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58,413</w:t>
            </w:r>
          </w:p>
        </w:tc>
        <w:tc>
          <w:tcPr>
            <w:tcW w:w="12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29,086</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126,838</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60.9</w:t>
            </w:r>
          </w:p>
        </w:tc>
        <w:tc>
          <w:tcPr>
            <w:tcW w:w="28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129,077</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63.4</w:t>
            </w:r>
          </w:p>
        </w:tc>
        <w:tc>
          <w:tcPr>
            <w:tcW w:w="2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net. </w:t>
      </w:r>
      <w:r>
        <w:rPr>
          <w:rFonts w:ascii="Times New Roman" w:cs="Times New Roman" w:eastAsia="Times New Roman" w:hAnsi="Times New Roman"/>
          <w:sz w:val="18"/>
          <w:szCs w:val="18"/>
          <w:color w:val="auto"/>
        </w:rPr>
        <w:t>Research and development, or R&amp;D, expenses, net of government grants, decreased by 9.3% in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2024. The decrease in net R&amp;D expenses was due primarily to the reduction in work force (as described in “Item 6.D. Employees” below), as well as a decrease in depreciation as compared with 2024, despite the impact of foreign exchange movements on labor expenses, reflecting the strengthening of the New Israeli Shekel and the Euro against the U.S. dollar. As a percentage of total revenues, our R&amp;D expenses decreased to 18.1% in 2025 from 20.4% in 2024.</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0.5% in 2025 compared with 2024. This increase was due primarily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to maintain sales and marketing expenses at a consistent level as we focus on executing our growth strategy and supporting penetration of the screen business. As a percentage of total revenues, our sales and marketing expenses decreased to 28.2% in 2025 from 28.7% in 2024.</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4.5% in 2025 compared with 2024. The increase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impact of foreign exchange movements on labor expenses, reflecting the strengthening of the New Israeli Shekel and the Euro – currencies in which most of our labor expenses are incurred, against the U.S. dollar, the currency in which these expenses are reported in our financial statements. As a percentage of total revenues, general and administrative expenses increased to 14.6% in 2025, compared with 14.3%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27"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Financial income, net, totaled $22 million in 2025 compared with $22.4 million in 2024. The $0.4 million decrease was due primarily to lower average balances and interest rates on our bank deposits and marketable securities. Financial expenses in 2025 declined to $1.1 million from $1.7 million in 2024 due mainly to lower exchange rate differences expenses partly increase of bank charges.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Taxes on income amounted to $0.9 million in 2025, compared with $1.8 million in 2024. The change primarily reflects the recognition of prior-year related tax credits during 2025. For more information, please see Note 14 to our consolidated financial statements that appear in Item 18 of this Annual Report.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For more information concerning our income tax expenses, please see the risk factor in Item 3.D above that begins “</w:t>
      </w:r>
      <w:r>
        <w:rPr>
          <w:rFonts w:ascii="Times New Roman" w:cs="Times New Roman" w:eastAsia="Times New Roman" w:hAnsi="Times New Roman"/>
          <w:sz w:val="18"/>
          <w:szCs w:val="18"/>
          <w:b w:val="1"/>
          <w:bCs w:val="1"/>
          <w:i w:val="1"/>
          <w:iCs w:val="1"/>
          <w:color w:val="auto"/>
        </w:rPr>
        <w:t>We may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additional tax liabilities in the future as a result of audits of our tax returns.</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Results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The following non-GAAP financial measures for the fiscal years ended December 31, 2025 and 2024—consisting of Non-GAAP Operating Income and Adjusted EBITDA— exclude certain items as shown in the reconciliation table below. Our management believes these non-GAAP financial measures provide useful supplemental information to investors and shareholders in evaluating our results of operations and underlying business performance.</w:t>
      </w:r>
    </w:p>
    <w:p>
      <w:pPr>
        <w:spacing w:after="0" w:line="180"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are among the primary metrics management uses for planning and forecasting future periods. In addition, they are used internally to understand, manage and evaluate our business and to make operating decisions.</w:t>
      </w:r>
    </w:p>
    <w:p>
      <w:pPr>
        <w:spacing w:after="0" w:line="162"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These non-GAAP financial measures are not intended to be considered in isolation or as a substitute for comparable GAAP financial measures and should be considered together with our consolidated financial statements prepared in accordance with GAAP. In addition, these non-GAAP financial measures may differ from similarly titled measures used by other companies and therefore may not be comparable.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each non-GAAP financial measure to the most directly comparable GAAP financial measure is presented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Revenues</w:t>
            </w:r>
          </w:p>
        </w:tc>
        <w:tc>
          <w:tcPr>
            <w:tcW w:w="5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203,825</w:t>
            </w:r>
          </w:p>
        </w:tc>
        <w:tc>
          <w:tcPr>
            <w:tcW w:w="0" w:type="dxa"/>
            <w:vAlign w:val="bottom"/>
          </w:tcPr>
          <w:p>
            <w:pPr>
              <w:spacing w:after="0"/>
              <w:rPr>
                <w:sz w:val="1"/>
                <w:szCs w:val="1"/>
                <w:color w:val="auto"/>
              </w:rPr>
            </w:pPr>
          </w:p>
        </w:tc>
      </w:tr>
      <w:tr>
        <w:trPr>
          <w:trHeight w:val="21"/>
        </w:trPr>
        <w:tc>
          <w:tcPr>
            <w:tcW w:w="39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(16,800)</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on income</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(21,919)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(22,350)</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5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47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Taxation and Israeli Government Programs Applicable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 Considerations and Government Programs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summary of the material Israeli tax laws applicable to us, and certain Israeli government programs that benefit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Corporate Tax Structure in Israel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Israeli companies are generally subject to corporate tax on their taxable income. Since 2018, the corporate tax rate has been 23%.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generally subject to the prevailing corporate tax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Industry (Taxes), 5729-1969</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Industry (Taxes), 5729-1969, generally referred to as the Industry Encouragement Law, provides several tax benefits for “Industrial Companies”.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which is held by an Industrial Company whose principal activity in any given tax year is industrial production.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tax benefits, among others, are available to Industrial Companies: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patents and rights to use a patent or know-how that were purchased in good faith and are used for the development or promotion of the Industrial Enterprise, over an eight-year period commencing on the year in which such rights were first exercised;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controlled by it;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 commencing in the year of the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Eligibility for benefits under the Industry Encouragement Law is not subject to receipt of prior approval from any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continue to qualify as an Industrial Company or that the benefits described above will be available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Capital Investments, 5719-1959</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is a summary of the Investment Law following its most recent amendments: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Subsequent to the 2005 Amendment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 Authority for a pre-ruling confirming that it is in compliance with the provisions of the Investment Law, as amended.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Tax benefits are available under the 2005 Amendment to production facilities (or other eligible facilities) which are generally required to derive 25% or more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ending in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years from the year the company first chose to have the tax benefits apply.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to Israeli shareholders out of income attributed to a Benefited Enterprise (or out of dividends received from a company whose income is attributed to a Benefited Enterprise) are generally subject to withholding tax at source at the rate of 15% (in the case of non-Israeli shareholders - subject to the receipt in advance of a valid certificate from the ITA allowing for a reduced tax rate, 15%, or such lower rate as may be provided in an applicable tax treaty).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ITA allowing for a reduced tax rate). In the case of a Foreign Investors’ Company (as such term is defined in the Investment Law), the 12-year limitation on reduced withholding tax on dividends does not apply.</w:t>
      </w:r>
    </w:p>
    <w:p>
      <w:pPr>
        <w:spacing w:after="0" w:line="19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During the years 2010 to 2019, we were entitled to a tax exemption for undistributed income (“Trapped Profits”) and a reduced tax rate under the Benefited Enterprise programs under the Investment Law. Our company enjoyed these tax benefits until 2019. On November 15, 2021, a new amendment of the Investment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a relief of 30%-60% on the amount of tax which should have been paid on distributable earnings in order to encourage companies to pay the reduced taxes during the next 12 months (the “Temporary Order”). In November 2022, we applied the Temporary Order to our exempt profits accrued prior to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under the 2011 Amendment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respectively,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benefits under the 2011 Amendment also include accelerated depreciation and amortization for tax purposes.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paid to Israeli shareholders out of preferred income attributed to a Preferred Enterprise or to a Special Preferred Enterprise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New Tax benefits under the 2017 Amendment that became effective on January 1, 2017.</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2017 Amendment provides new tax benefits for two types of “Technology Enterprises”, as described below, and is in addition to the other existing tax beneficial programs under the Investment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Innovation (previously known as the Israeli Office of the Chief Scientist), referred to as the Israel Innovation Authority (“IIA”) .</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and our Israeli subsidiary meet the conditions for “Preferred Technological Enterprises”, and accordingly are eligible for the tax rate of 12% on income that qualifies as “Preferred Technology Income”, as defined in the Law. The tax rate for Preferred Technological Enterprises located in development zone A is 7.5%.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$35 million in cash and cash equivalents, $368 million in short term deposits and $87 million in marketable securities, which, in the aggregate, total $491 million.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requirements have principally been for working capital, capital expenditures and acquisitions, and in 2025 and 2024, our cash was also used for repurchasing our ordinary shares. Historically, we have funded our working capital requirements, primarily for inventory, trade receivable and capital expenditures, from cash flows provided by our operating activities, investments in our equity securities, and cash and cash equivalents on hand. We have funded our acquisitions from the proceeds of our public offerings, including, most recently, our November 2021 follow-on offering, and from cash on hand.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both 2025 and 2024, our capital expenditures included investments in equipment under lease, while other expenditures were directed toward improvements and expansion of our worldwide locations and corporate facilities, as well as investments in and improvements to our information technology infrastructure.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most significant elements of our working capital requirements are for inventory, trade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three-month period based on anticipated customer demand. During the recent military conflicts involving Israel that lasted from October 2023 until October 2025 (disregarding the war against Iran that commenced in February 2026), in order to hedge against the potential discontinuation of supply of inventory from our main facilities, we increased our inventory levels in the primary global regions in which our sales occur. Our trade receivable decreased in 2025 primarily due to collection efforts. Our trade payables decreased in 2025 due mainly to an increased reliance on existing inventory to fulfill sales and improved planning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our current business plans, we believe that our cash flows from operating activities and our existing cash resources will be sufficient to fund our projected cash requirements for at least the next 12 months.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 including acquisitions. We believe that our current cash reserves will suffice for any such acquisitions, although there can be no assurance that we will not need to seek additional equity or debt financing in order to cover the cost of such potential acquisitions.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below a summary of our consolidated statement of cash flows for the last two years. While our statements of cash flows in Item 18 of this annual report include cash flow data for each of the three years ended December 31, 2025, 2024, and 2023, the data and discussion contained in this Item 5.B is limited to a comparison of our liquidity and capital resources- including cash flows- for the years ended December 31, 2025 and 2024. For a discussion of our cash flows for the year ended December 31, 2023, and a comparison of those cash flows with those for the year ended December 31, 2024, please see “ITEM 5. Operating and Financial Review and Prospects- B. Liquidity and Capital Resources” in our Annual Report on Form 20-F for the year ended December 31, 2024, which we filed with the SEC on March 27,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for our last two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4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24,629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2,953</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31,488</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(84,815)</w:t>
            </w:r>
          </w:p>
        </w:tc>
      </w:tr>
      <w:tr>
        <w:trPr>
          <w:trHeight w:val="655"/>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 the year ended December 31, 2025, was $24.4 million.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 2025 reflected a net loss of $13.5 million, as adjusted for non-cash expense items, including share-based compensation of $21.9 million, restructuring expenses and other charges of $0.9 million, and depreciation and amortization of $11.9 million.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flows were also positively impacted by a decrease in trade receivables of $4.7 million, primarily reflecting improved collections and timing of customer payments, and a cash flow decrease in inventory of $9.7 million, driven by inventory optimization efforts and lower production levels. These changes were partially offset by an increase in prepaid expenses and other current assets of $4.5 million and an increase in deposits and other long-term assets of $5.5 million, primarily reflecting timing of payments, as well as a decrease in trade payables of $3.8 million, reflecting timing of supplier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trade receivables, net reflects lower days sales outstanding, or DSO, of 114 days for the year ended December 31, 2025, compared with 116 days for the year ended December 31,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trade payables was primarily due to the timing of payments to suppliers and was partially offset by an increase in accrued expenses and other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 the year ended December 31, 2024, was $48.7 million.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2024 reflected a net loss of $16.8 million, as adjusted to eliminate non-cash expense line items, such as share-based compensation expenses of $21.8 million, restructuring and other charges of $1.2 million, depreciation and amortization of $13.0 million, and the fair value of warrants deducted from revenues of $3.3 million, and a decrease of trade receivable of $28.2 million, a decrease in inventory of $3.0 million, and an increase in trade payables of $2.2 million. These changes were only partly offset by a decrease in accrued expenses and other liabilities of $9.0 million.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trade receivable reflects a higher portion of receivables with extended payment terms, with days sales outstanding, or DSO, increasing to 116 days for the year ended December 31, 2024, compared with 155 days for the year ended December 31,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accrued expenses and other liabilities, as well as in trade payables, and the increase in inventory, were due primarily to lower business activities, including reduced systems sales throughout the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w:t>
      </w:r>
      <w:r>
        <w:rPr>
          <w:rFonts w:ascii="Times New Roman" w:cs="Times New Roman" w:eastAsia="Times New Roman" w:hAnsi="Times New Roman"/>
          <w:sz w:val="18"/>
          <w:szCs w:val="18"/>
          <w:color w:val="auto"/>
        </w:rPr>
        <w:t>5</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in the year ended December 31, 2025, was $3.1 million. Net cash provided by investing activities for the year ended December 31, 2025 was primarily attributable to proceeds from marketable securities of $247.1 million, only partly offset, by $162.5 million investments in short-term bank deposits, $60.2 million investments in marketable securities and purchase of property, plant and equipment, including equipment under lease, of $21.3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w:t>
      </w:r>
      <w:r>
        <w:rPr>
          <w:rFonts w:ascii="Times New Roman" w:cs="Times New Roman" w:eastAsia="Times New Roman" w:hAnsi="Times New Roman"/>
          <w:sz w:val="18"/>
          <w:szCs w:val="18"/>
          <w:color w:val="auto"/>
        </w:rPr>
        <w:t>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in the year ended December 31, 2024, was $31.5 million. Net cash provided by investing activities for the year ended December 31, 2024, was primarily attributable to proceeds from short-term bank deposits and marketable securities of $109.3 million, only partly offset, by $62.7 million investments in marketable securities and purchase of property, plant and equipment, including equipment under lease, of $15.9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227"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$27.1 million for the year ended December 31, 2025 and was primarily attributable to the repurchase of ordinary shares in an amount of $26.1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w:t>
      </w:r>
      <w:r>
        <w:rPr>
          <w:rFonts w:ascii="Times New Roman" w:cs="Times New Roman" w:eastAsia="Times New Roman" w:hAnsi="Times New Roman"/>
          <w:sz w:val="18"/>
          <w:szCs w:val="18"/>
          <w:color w:val="auto"/>
        </w:rPr>
        <w:t>4</w:t>
      </w:r>
    </w:p>
    <w:p>
      <w:pPr>
        <w:spacing w:after="0" w:line="227"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$84.8 million for the year ended December 31, 2024 and was primarily attributable to the repurchase of ordinary shares in an amount of $84.1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Liquidity</w:t>
      </w:r>
    </w:p>
    <w:p>
      <w:pPr>
        <w:spacing w:after="0" w:line="22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We have cash requirements arising from our contractual obligations, including operating lease commitments and purchase commitments with suppliers, which are expected to be settled in the ordinary course of business. As of December 31, 2025, our lease obligations are reflected as operating lease liabilities on our consolidated balance sheet and will result in ongoing cash outflows over the term of the leases. In addition, we may experience near-term cash outflows associated with the deployment of systems under our AIC™ model, as we retain ownership of the systems and incur upfront costs, including manufacturing and installation. These outflows are expected to be recovered over time through recurring payments based on usage and minimum contractual commitments. We believe that our existing cash balances, together with cash generated from operations, will be sufficient to meet our short-term and long-term cash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net” and “ITEM 5. Operating and Financial Review and Prospects- A. Operating Results- Comparison of Period to Period Results of Operations- Comparison of the Years Ended December 31, 2025 and 2024- Operating Expenses-- Research and Development, net” and the corresponding portions of our Annual Report on Form 20-F for the year ended December 31, 2024, which we filed with the SEC on March 27,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may be affected by various trends and factors discussed in “ITEM 3.D Risk Factors,” including “</w:t>
      </w:r>
      <w:r>
        <w:rPr>
          <w:rFonts w:ascii="Times New Roman" w:cs="Times New Roman" w:eastAsia="Times New Roman" w:hAnsi="Times New Roman"/>
          <w:sz w:val="18"/>
          <w:szCs w:val="18"/>
          <w:b w:val="1"/>
          <w:bCs w:val="1"/>
          <w:i w:val="1"/>
          <w:iCs w:val="1"/>
          <w:color w:val="auto"/>
        </w:rPr>
        <w:t>If the market for digital textile printing does not develop as we anticipate, our sales may not grow as quickly as expected and our share price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decline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 xml:space="preserve">Macro-economic headwinds caused by inflation, relatively high interest rates and limited credit availability have been adversely impacting our revenues and profitability, and may continue to do so”, </w:t>
      </w:r>
      <w:r>
        <w:rPr>
          <w:rFonts w:ascii="Times New Roman" w:cs="Times New Roman" w:eastAsia="Times New Roman" w:hAnsi="Times New Roman"/>
          <w:sz w:val="18"/>
          <w:szCs w:val="18"/>
          <w:color w:val="auto"/>
        </w:rPr>
        <w:t>and in “ITEM 4.B Business Overview-Industry Overview.”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 trends that could potentially impact our results of operations and financial condition include changes in political, military or economic conditions in Israel and in the Middle East (which could limit our ability to ship products from Israel and our shipping costs due to rises in fuel prices, to the extent the current military conflict of the United States and Israel with Iran lasts for an extended period of time), and (given the rising level of cyber-attacks globally and targeting of Israeli companies), any potential cyber-attack on our IT systems. We believe that any such trends could have a material effect on our results of operations, liquidity, or financial condition, or could cause our reported financial information not to be necessarily indicative of future operating results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significant accounting policies are the basis for the most significant judgments and estimates used in the preparation of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revenues from the sale of systems, consumables and services. We sell our products directly to end users and indirectly through independent distributors that resell our products to end customers. We recognize revenue under the core principle that the transfer of control of goods or services to customers is depicted in an amount that reflects the consideration to which we expect to be entitled. Accordingly, we identify a contract with a customer, identify the performance obligations in the contract, determine the transaction price, allocate the transaction price to each performance obligation in the contract and recognize revenue when, or as, we satisfy a performance obligation.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products, which consist primarily of systems and consumables, are recognized at the point in time when control has transferred to the customer in accordance with the agreed-upon delivery terms.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services are derived mainly from the sale of print heads, spare parts, upgrade kits, software subscriptions and service contracts. Revenues from print heads, spare parts and upgrade kits are recognized at the point in time when control has transferred in accordance with the agreed-upon delivery terms. Service contracts and software subscriptions are recognized over time, on a straight-line basis, over the term of the service.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All-Inclusive Click (AIC™) arrangements, customers operate systems that we retain ownership of and are charged based on usage, typically on a per-impression basis subject to minimum annual commitments. Revenue associated with the system is recognized over time as the system is made available for use, while revenue associated with ink, consumables and services is recognized based on actual customer usage in accordance with the terms of the underlying agreements. To the extent that customer usage exceeds the minimum commitment, additional revenue is recognized based on the excess impressions produced. Where usage is below the minimum commitment during interim periods, revenue recognition reflects the contractual minimum commitment over the applicable period.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arrangements that include multiple performance obligations, such as the sale of a system together with a service contract, installation or training, we account for each performance obligation separately when it is distinct. The transaction price is allocated to each distinct performance obligation on a relative stand-alone selling price, or SSP, basis, and revenue is recognized for each performance obligation when control has transferred or services have been rendered. In most cases, we establish SSP based on observable prices of services sold separately in comparable circumstances to similar customers and, for products, based on our best estimate of the price at which we would sell the product on a stand-alone basis. We reassess SSP periodically or when facts and circumstances 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account for training and installation as separate performance obligations due to their immateriality in the context of our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revenues from training and installation are recognized upon delivery of our systems.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provide customer incentive programs in the form of product discounts, volume-based rebates and warrants, which are accounted for as variable consideration and deducted from revenue in the period in which the related revenue is recognized. These reductions to revenue are estimated based on historical experience and the specific terms and conditions of the incentive arrangements.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cases in which old systems are traded in as part of sales of new systems, the fair value of the traded-in systems is recorded as inventory, provided that such value is recoverable.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purchase price of an acquisition is allocated to the underlying assets acquired and liabilities assumed based upon their estimated fair values at the date of acquisition. We determine the estimated fair values of assets acquired and liabilities assumed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 Under ASC 350, Intangible —Goodwill and Other, goodwill is not amortized, but rather is subject to an annual impairment test.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test goodwill for impairment as of December 31 of each year, or more frequently if events or changes in circumstances indicate that this asset may be impaired. For the purposes of impairment testing, we have determined that we have one reporting unit. When performing the annual goodwill impairment testing, we either conduct a qualitative assessment to determine whether it is more likely than not that the asset is impaired, or we elect to bypass this qualitative assessment and perform a quantitative test for impairment.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qualitative assessment, we consider both positive and negative factors, including macroeconomic conditions, industry events, financial performance and other changes, and make a determination of whether it is more likely than not that the fair value of goodwill is less than its carrying amount. If, after assessing the qualitative factors, we determine it is more likely than not the asset is impaired, we then perform a quantitative test in which the estimated fair value of the reporting unit is compared with its carrying amount, including goodwill.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quantitative analysis is necessary, we compare the fair value of our reporting unit to our carrying value. We determine the estimated fair value based on different approaches including income approach (discounted cash flows) and market approach (EV to EBITDA). Market approach and income approach are common measures used to value businesses in our industry.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carrying value, goodwill is considered not to be impaired and no additional steps are necessary. However, if the carrying amount exceeds estimated fair value, an impairment loss is recognized in an amount equal to the excess, limited to the amount of goodwill allocated to the reporting unit.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 volumes deteriorate in the near future, discount rates increase significantly, or we do not meet our projected performance, we could have impairments to record in the next twelve months, and such impairments could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determined on a first-in, first-out basis. Inventory costs consist of materials, direct labor and overhead. We periodically assess inventory for excess or obsolescence and reduce the carrying value by an amount equal to the difference between its cost and estimated net realizable value based on assumptions about future demand and historical sales patterns. This valuation requires us to make judgments, based on currently available information, about the likely method of disposition, such as through sales, and the expected recoverable value of each disposition category. These assumptions about the future disposition of inventory are inherently uncertain, and changes in our estimates and assumptions may cause us to realize material write-downs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$47.2 million of inventory, of which $28.9 million consisted of raw materials and components and $18.3 million consisted of completed systems, ink and other consumables. We recorded inventory write-offs of $4.4 million, $4.6 million and $22.0 million for the years ended December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Directors, Senior Management and Employees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annual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16"/>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Assaf Zipori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Gazit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Product Officer</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Yaaqov Mann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Technology Officer</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(who are not also executive officers)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r>
      <w:tr>
        <w:trPr>
          <w:trHeight w:val="257"/>
        </w:trPr>
        <w:tc>
          <w:tcPr>
            <w:tcW w:w="5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Yuval Cohen</w:t>
            </w:r>
            <w:r>
              <w:rPr>
                <w:rFonts w:ascii="Times New Roman" w:cs="Times New Roman" w:eastAsia="Times New Roman" w:hAnsi="Times New Roman"/>
                <w:sz w:val="29"/>
                <w:szCs w:val="29"/>
                <w:color w:val="auto"/>
                <w:vertAlign w:val="superscript"/>
              </w:rPr>
              <w:t>(3)</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r>
      <w:tr>
        <w:trPr>
          <w:trHeight w:val="256"/>
        </w:trPr>
        <w:tc>
          <w:tcPr>
            <w:tcW w:w="5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Ofer Ben-Zur</w:t>
            </w:r>
            <w:r>
              <w:rPr>
                <w:rFonts w:ascii="Times New Roman" w:cs="Times New Roman" w:eastAsia="Times New Roman" w:hAnsi="Times New Roman"/>
                <w:sz w:val="29"/>
                <w:szCs w:val="29"/>
                <w:color w:val="auto"/>
                <w:vertAlign w:val="superscript"/>
              </w:rPr>
              <w:t>(3)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shd w:val="clear" w:color="auto" w:fill="CCEEFF"/>
          </w:tcPr>
          <w:p>
            <w:pPr>
              <w:spacing w:after="0"/>
              <w:rPr>
                <w:sz w:val="22"/>
                <w:szCs w:val="22"/>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7"/>
        </w:trPr>
        <w:tc>
          <w:tcPr>
            <w:tcW w:w="5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Naama Halevi Davidov</w:t>
            </w:r>
            <w:r>
              <w:rPr>
                <w:rFonts w:ascii="Times New Roman" w:cs="Times New Roman" w:eastAsia="Times New Roman" w:hAnsi="Times New Roman"/>
                <w:sz w:val="29"/>
                <w:szCs w:val="29"/>
                <w:color w:val="auto"/>
                <w:vertAlign w:val="superscript"/>
              </w:rPr>
              <w:t>(1)(3)</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7"/>
        </w:trPr>
        <w:tc>
          <w:tcPr>
            <w:tcW w:w="5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Stephen Nigro</w:t>
            </w:r>
            <w:r>
              <w:rPr>
                <w:rFonts w:ascii="Times New Roman" w:cs="Times New Roman" w:eastAsia="Times New Roman" w:hAnsi="Times New Roman"/>
                <w:sz w:val="29"/>
                <w:szCs w:val="29"/>
                <w:color w:val="auto"/>
                <w:vertAlign w:val="superscript"/>
              </w:rPr>
              <w:t>(1)(2)(3)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shd w:val="clear" w:color="auto" w:fill="CCEEFF"/>
          </w:tcPr>
          <w:p>
            <w:pPr>
              <w:spacing w:after="0"/>
              <w:rPr>
                <w:sz w:val="22"/>
                <w:szCs w:val="22"/>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7"/>
        </w:trPr>
        <w:tc>
          <w:tcPr>
            <w:tcW w:w="54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Dov Ofer</w:t>
            </w:r>
            <w:r>
              <w:rPr>
                <w:rFonts w:ascii="Times New Roman" w:cs="Times New Roman" w:eastAsia="Times New Roman" w:hAnsi="Times New Roman"/>
                <w:sz w:val="13"/>
                <w:szCs w:val="13"/>
                <w:color w:val="auto"/>
              </w:rPr>
              <w:t>(1)(2)(3)</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6"/>
        </w:trPr>
        <w:tc>
          <w:tcPr>
            <w:tcW w:w="5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Gabi Seligsohn</w:t>
            </w:r>
            <w:r>
              <w:rPr>
                <w:rFonts w:ascii="Times New Roman" w:cs="Times New Roman" w:eastAsia="Times New Roman" w:hAnsi="Times New Roman"/>
                <w:sz w:val="29"/>
                <w:szCs w:val="29"/>
                <w:color w:val="auto"/>
                <w:vertAlign w:val="superscript"/>
              </w:rPr>
              <w:t>(2)(3)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shd w:val="clear" w:color="auto" w:fill="CCEEFF"/>
          </w:tcPr>
          <w:p>
            <w:pPr>
              <w:spacing w:after="0"/>
              <w:rPr>
                <w:sz w:val="22"/>
                <w:szCs w:val="22"/>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Nasdaq Listing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Ronen Samuel </w:t>
      </w:r>
      <w:r>
        <w:rPr>
          <w:rFonts w:ascii="Times New Roman" w:cs="Times New Roman" w:eastAsia="Times New Roman" w:hAnsi="Times New Roman"/>
          <w:sz w:val="18"/>
          <w:szCs w:val="18"/>
          <w:color w:val="auto"/>
        </w:rPr>
        <w:t>has served as our Chief Executive Officer since August 2018 and as a director since August 2019. Prior to joining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Assaf Zipori </w:t>
      </w:r>
      <w:r>
        <w:rPr>
          <w:rFonts w:ascii="Times New Roman" w:cs="Times New Roman" w:eastAsia="Times New Roman" w:hAnsi="Times New Roman"/>
          <w:sz w:val="18"/>
          <w:szCs w:val="18"/>
          <w:color w:val="auto"/>
        </w:rPr>
        <w:t>has served as our Chief Financial Officer since December 2025. Prior to joining our company, Mr. Zipori served as Global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Nano Dimension Ltd. (Nasdaq: NNDM), a leader in digital manufacturing solutions. From April 2021 to November 2025, Mr. Zipori held several senior finance leadership positions at Markforged Holding Corporation, including Chief Financial Officer, Acting Chief Financial Officer, and Vice President of Corporate Development and Strategy. From March 2019 to November 2019, he served as Vice President of Corporate Development at Yotpo Ltd., an eCommerce marketing platform, and from September 2016 to November 2019, he served as Director of Corporate Development and Ventures at Amdocs Limited. From January 2015 to August 2016, Mr. Zipori served as Chief Financial Officer at Component Control, Inc. Earlier in his career, he served as Director of Corporate Development &amp; Alliances at Retailix Ltd., Manager at KPMG LLP, and Consultant at Ernst &amp; Young LLP. Mr. Zipori holds a B.B.A. from Pace University and an M.S. in Finance from Baruch College.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Daniel Gazit </w:t>
      </w:r>
      <w:r>
        <w:rPr>
          <w:rFonts w:ascii="Times New Roman" w:cs="Times New Roman" w:eastAsia="Times New Roman" w:hAnsi="Times New Roman"/>
          <w:sz w:val="18"/>
          <w:szCs w:val="18"/>
          <w:color w:val="auto"/>
        </w:rPr>
        <w:t>has served as our Chief Product Officer since November 2022. Daniel joined Kornit as Vice President and General Manager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Direct-to-Fabric business in 2019, and later led the Global Customer success organization. Daniel has more than 20 years’ experience leading large-scale customer facing and operational organizations in the high-tech industry. Prior to joining Kornit, Daniel held the position of VP Professional Service and Delivery at TEOCO and served as the Vice President of Global Services at Comverse. His prior experience includes various business, technical and operational leadership positions in global high-tech organizations. Daniel holds a B.Sc. in industrial engineering and management from Tel-Aviv University.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Yaaqov Mann </w:t>
      </w:r>
      <w:r>
        <w:rPr>
          <w:rFonts w:ascii="Times New Roman" w:cs="Times New Roman" w:eastAsia="Times New Roman" w:hAnsi="Times New Roman"/>
          <w:sz w:val="18"/>
          <w:szCs w:val="18"/>
          <w:color w:val="auto"/>
        </w:rPr>
        <w:t>has served as our Chief Technology Officer since January 2020, prior to which he had held the position of VP Consumables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development since September 2017. Yaaqov Mann joined Kornit in 2004 as an R&amp;D Chemist and has held core technology roles. As one of Kornit’s founders he brings over 17 years of experience in the field of Inkjet Technology. Yaaqov has played a critical role in the design and the execution of core projects and processes in the company. During his tenure at Kornit, he has managed and led R&amp;D Chemistry, technology groups, transfer to production, print heads and QA as well as led Kornit’s Ink plant design. Prior to his executive position, Yaaqov held several managerial positions including Business Development of Consumables and Director of Global Application, an area he established in Kornit. Yaaqov holds a B.Sc. Chemistry and Executive MBA - both from Bar Ilan University in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Yuval Cohen </w:t>
      </w:r>
      <w:r>
        <w:rPr>
          <w:rFonts w:ascii="Times New Roman" w:cs="Times New Roman" w:eastAsia="Times New Roman" w:hAnsi="Times New Roman"/>
          <w:sz w:val="18"/>
          <w:szCs w:val="18"/>
          <w:color w:val="auto"/>
        </w:rPr>
        <w:t>has served as the Chairman of our board of directors since August 2011. Mr. Cohen is the founding and managing partner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Chairman of the board of directors of each of Radware Ltd. (Nasdaq: RDWR) and Cellcom Israel Ltd. (TASE: CEL), and as a member of the board of directors of Stratasys Ltd. (Nasdaq: SSYS). He also serves on the board of directors of several privately held portfolio companies of Fortissimo Capital. Mr. Cohen holds a B.Sc. in Industrial Engineering from Tel Aviv University in Israel and an M.B.A. from Harvard Business School.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Ofer Ben-Zur </w:t>
      </w:r>
      <w:r>
        <w:rPr>
          <w:rFonts w:ascii="Times New Roman" w:cs="Times New Roman" w:eastAsia="Times New Roman" w:hAnsi="Times New Roman"/>
          <w:sz w:val="18"/>
          <w:szCs w:val="18"/>
          <w:color w:val="auto"/>
        </w:rPr>
        <w:t>is a co-founder of our company and has served as director since 2002. From April 2014 to July 2016, Mr. Ben-Zur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an M.Sc. in Mechanical Engineering from Tel Aviv University, and an M.B.A. from Bradford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3" w:name="page74"/>
    <w:bookmarkEnd w:id="73"/>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Naama Halevi Davidov </w:t>
      </w:r>
      <w:r>
        <w:rPr>
          <w:rFonts w:ascii="Times New Roman" w:cs="Times New Roman" w:eastAsia="Times New Roman" w:hAnsi="Times New Roman"/>
          <w:sz w:val="18"/>
          <w:szCs w:val="18"/>
          <w:color w:val="auto"/>
        </w:rPr>
        <w:t>has served as a member of our board of directors since August 2023. She served as Chief Financial Officer of XM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2022. In addition, Dr. Halevi Davidov has served as a member of the board of directors of Kaltura (Nasdaq: KLTR) since July 2021, and as a member of the board of directors of Actelis Networks (Nasdaq: ASNS) since May 2022; Over the past 20 years, Dr. Halevi Davidov has served as a CFO for several global technology companies. Dr. Halevi Davidov is a Certified Public Accountant in Israel. She holds a Ph.D. in Strategy from Tel Aviv University, an M.B.A from Tel Aviv University and B.A in Accounting and Economics from Tel Aviv University.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Nigro </w:t>
      </w:r>
      <w:r>
        <w:rPr>
          <w:rFonts w:ascii="Times New Roman" w:cs="Times New Roman" w:eastAsia="Times New Roman" w:hAnsi="Times New Roman"/>
          <w:sz w:val="18"/>
          <w:szCs w:val="18"/>
          <w:color w:val="auto"/>
        </w:rPr>
        <w:t>has served as a member of our board of directors since August 2019, after having served as a strategic advisor to our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Dov Ofer </w:t>
      </w:r>
      <w:r>
        <w:rPr>
          <w:rFonts w:ascii="Times New Roman" w:cs="Times New Roman" w:eastAsia="Times New Roman" w:hAnsi="Times New Roman"/>
          <w:sz w:val="18"/>
          <w:szCs w:val="18"/>
          <w:color w:val="auto"/>
        </w:rPr>
        <w:t>has served as a member of our board of directors since March 2015 and is a member of our audit and compensation committees.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Mr. Ofer previously served as chairman of Magen Eco-Energy RCA Ltd. Currently, Mr. Ofer serves as chairman of Maytronics Ltd., Chairman of Scodix Ltd., Chairman of Stratasys Ltd. (Nasdaq: SSYS) and Director of Copprint. He holds a B.A. in Economics from the Hebrew University in Israel as well as an M.B.A. from the University of California Berkeley.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Gabi Seligsohn </w:t>
      </w:r>
      <w:r>
        <w:rPr>
          <w:rFonts w:ascii="Times New Roman" w:cs="Times New Roman" w:eastAsia="Times New Roman" w:hAnsi="Times New Roman"/>
          <w:sz w:val="18"/>
          <w:szCs w:val="18"/>
          <w:color w:val="auto"/>
        </w:rPr>
        <w:t>has served as a member of our board of directors since May 2015. He also served as our Chief Executive Officer from April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July 2018, and led our successful IPO in April 2015. From August 2006 until August 2013, Mr. Seligsohn served as the President and Chief Executive Officer of Nova Measuring Instruments Ltd., or Nova (Nasdaq: NVMI), a designer, developer and producer of optical metrology solutions. From 1998 until 2006, Mr. Seligsohn served in several leadership positions in Nova. Mr. Seligsohn currently serves as a senior advisor to PSG private equity and works as an advisor to several privately held technology companies. He holds an LL.B. from the University of Reading.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Concerning Election of Directors; Family Relationships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seven directors. We are not a party to, and are not aware of, any voting agreements among our shareholders. In addition, there are no family relationships among our executive officers or senior management members.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cash compensation recorded and equity-based compensation and other compensation expensed by us and our subsidiaries for our directors and executive officers with respect to the year ended December 31, 2025 was6.1million. The foregoing sum includes approximately $0.3 million set aside or accrued to provide pension, severance, retirement or similar benefits or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forgoing aggregate compensation includes cash fees recorded and equity compensation expensed for our former chief financial officer, Lauri Hanover, who served during 2025 from the start of the year through December 3, 2025, and for our current chief financial officer, Assaf Zippori, who served in that role only from December 3, 2025 through the end of the year.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grant dates, number of options, RSUs, and performance-based vesting restricted share units, or PSUs, and related exercise prices and expiration dates of options and RSUs granted to our directors and executive officers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8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8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Options</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12, 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68,009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164,582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2035</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15, 2025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48,150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22, 2025</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24,326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non-employee directors receive annual cash fees and per-meeting cash fees for their service on our board and its committees as follows:</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in an amount of $45,000, and $95,000 for the chairman of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 - audit: $20,000; compensation: $15,000; any other committee - up to $15,000;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retainer - audit: $10,000; compensation: $7,500; any other committee: up to a maximum of $7,500.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commencing with our 2020 annual general meeting of shareholders, we provide for annual RSU grants to our non-employee directors. The number of RSUs granted to each director is linked to a fixed value- $115,000 for each non-employee director. The actual number of RSUs to be granted each year with the foregoing $115,000 value is determined based on the closing price of our ordinary shares on the Nasdaq Global Select Market on the date of our annual shareholder meeting. Our RSU grant agreements for non-employee directors are subject to the following additional terms:</w:t>
      </w:r>
    </w:p>
    <w:p>
      <w:pPr>
        <w:spacing w:after="0" w:line="180"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granted to each non-employee director as of the date of each annual shareholder meeting;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their entirety on the earlier of (x) the first anniversary of the grant or (y) the next annual general meeting of shareholders, provided the director continues to serve as a director of our company at such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to the extent then unvested, become fully vested (a) immediately prior to the consummation of a Change of Control (as defined under our 2015 Plan or 2025 Plan, as applicable, which are described below) in which the director is required to resign from or is otherwise terminated from service as a director, or (b) upon termination of service of such director occurring immediately after the consummation of a Change of Control; and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otherwise subject to the terms of the 2015 Plan (for grants through 2024) or the 2025 Plan (for grants during or after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outlines the compensation granted to our five most highly compensated office holders during or with respect to the year ended December 31, 2025, in the disclosure format of Regulation 21 of the Israeli Securities Regulations (Periodic and Immediate Reports), 1970. We refer to the five individuals for whom disclosure is provided herein as our “Covered Executives.”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Regarding Covered Executives</w:t>
            </w:r>
            <w:r>
              <w:rPr>
                <w:rFonts w:ascii="Times New Roman" w:cs="Times New Roman" w:eastAsia="Times New Roman" w:hAnsi="Times New Roman"/>
                <w:sz w:val="29"/>
                <w:szCs w:val="29"/>
                <w:b w:val="1"/>
                <w:bCs w:val="1"/>
                <w:color w:val="auto"/>
                <w:vertAlign w:val="superscript"/>
              </w:rPr>
              <w:t>(1)</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4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Benefits 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Equity-Based</w:t>
            </w:r>
          </w:p>
        </w:tc>
        <w:tc>
          <w:tcPr>
            <w:tcW w:w="1140" w:type="dxa"/>
            <w:vAlign w:val="bottom"/>
          </w:tcPr>
          <w:p>
            <w:pPr>
              <w:spacing w:after="0"/>
              <w:rPr>
                <w:sz w:val="24"/>
                <w:szCs w:val="24"/>
                <w:color w:val="auto"/>
              </w:rPr>
            </w:pPr>
          </w:p>
        </w:tc>
      </w:tr>
      <w:tr>
        <w:trPr>
          <w:trHeight w:val="22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4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82"/>
        </w:trPr>
        <w:tc>
          <w:tcPr>
            <w:tcW w:w="4620" w:type="dxa"/>
            <w:vAlign w:val="bottom"/>
            <w:gridSpan w:val="2"/>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Name and Principal Position</w:t>
            </w:r>
            <w:r>
              <w:rPr>
                <w:rFonts w:ascii="Times New Roman" w:cs="Times New Roman" w:eastAsia="Times New Roman" w:hAnsi="Times New Roman"/>
                <w:sz w:val="29"/>
                <w:szCs w:val="29"/>
                <w:b w:val="1"/>
                <w:bCs w:val="1"/>
                <w:color w:val="auto"/>
                <w:vertAlign w:val="superscript"/>
              </w:rPr>
              <w:t>(2)</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4"/>
                <w:szCs w:val="24"/>
                <w:color w:val="auto"/>
              </w:rPr>
            </w:pPr>
          </w:p>
        </w:tc>
        <w:tc>
          <w:tcPr>
            <w:tcW w:w="134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134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1500" w:type="dxa"/>
            <w:vAlign w:val="bottom"/>
          </w:tcPr>
          <w:p>
            <w:pPr>
              <w:jc w:val="center"/>
              <w:ind w:right="110"/>
              <w:spacing w:after="0" w:line="27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(5)</w:t>
            </w: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thousands, US dollars)</w:t>
            </w:r>
          </w:p>
        </w:tc>
        <w:tc>
          <w:tcPr>
            <w:tcW w:w="114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Ronen Samuel, Chief Executive Officer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438</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2,720</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Yaaqov Mann, Chief Technology Officer</w:t>
            </w:r>
          </w:p>
        </w:tc>
        <w:tc>
          <w:tcPr>
            <w:tcW w:w="840" w:type="dxa"/>
            <w:vAlign w:val="bottom"/>
          </w:tcPr>
          <w:p>
            <w:pPr>
              <w:spacing w:after="0"/>
              <w:rPr>
                <w:sz w:val="18"/>
                <w:szCs w:val="18"/>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34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848</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Ilan Elad, President KDAM</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595</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Tomer Artzi, President KDAP</w:t>
            </w:r>
          </w:p>
        </w:tc>
        <w:tc>
          <w:tcPr>
            <w:tcW w:w="840" w:type="dxa"/>
            <w:vAlign w:val="bottom"/>
          </w:tcPr>
          <w:p>
            <w:pPr>
              <w:spacing w:after="0"/>
              <w:rPr>
                <w:sz w:val="18"/>
                <w:szCs w:val="18"/>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Lauri Hanover, Chief Financial Officer</w:t>
            </w:r>
            <w:r>
              <w:rPr>
                <w:rFonts w:ascii="Times New Roman" w:cs="Times New Roman" w:eastAsia="Times New Roman" w:hAnsi="Times New Roman"/>
                <w:sz w:val="29"/>
                <w:szCs w:val="29"/>
                <w:b w:val="1"/>
                <w:bCs w:val="1"/>
                <w:color w:val="auto"/>
                <w:vertAlign w:val="superscript"/>
              </w:rPr>
              <w:t>(6)</w:t>
            </w:r>
          </w:p>
        </w:tc>
        <w:tc>
          <w:tcPr>
            <w:tcW w:w="8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299</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reported in the table are in terms of cost to us, as recorded in our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Covered Executives listed in the table were our full-time employees during 2025. Cash compensation amounts denominated in currencies other than the U.S. dollar were converted into U.S. dollars at the average conversion rate for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jc w:val="both"/>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 and benefits, risk insurance (e.g., life, disability, accident), convalescence pay, payments for social security, housing and education, tax gross-up payments and other benefits and perquisites consistent with our guidelines.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incentive and variable compensation payments which were paid or accrued with respect to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financial statements for the year ended December 31, 2025 with respect to equity-based compensation. Assumptions and key variables used in the calculation of such amounts are described in paragraph (u) of Note 2 to our audited financial statements, which are included in “ITEM 18. Financial Statements” of this annual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 Hanover served as our Chief Financial Officer through early December 2025, and the amounts set forth in the above table reflect her compensation during or with respect to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Share Incentive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2012, our board of directors adopted and our shareholders approved our 2012 Share Incentive Plan, or the 2012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no longer grant equity awards under the 2012 Plan because it was superseded by the 2015 Plan (for purposes of granting new awards) and it subsequently expired in October 2022, although awards that were previously granted under the 2012 Plan remain outstanding. The 2012 Plan provided for the grant of options, restricted shares, RSUs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2025, there were no equity awards that remained outstanding under the 2012 Plan, although ordinary shares issued upon exercise or settlement of awards previously granted under the 2012 Plan may still be outstanding, in which case they are subject to the terms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Incentive Compensation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2015, we adopted our 2015 Incentive Compensation Plan, or the 2015 Plan. The 2015 Plan provides for the grant of share options, share appreciation rights, restricted share awards, RSUs, cash-based awards, other share-based awards and dividend equivalents to our company’s and our affiliates’ respective employees, non-employee directors, and consultants. From and after the effective date of the 2025 Plan (as described below), no further grants or awards have been made under the 2015 Plan, as all ordinary shares available for issuance under the 2015 Plan were transferred to the initial pool of ordinary shares under the 2025 Plan. Nevertheless, outstanding awards under the 2015 Plan remain subject to the terms of the 2015 Plan. Generally, shares that are forfeited, cancelled, terminated or expire unexercised, settled in cash in lieu of issuance of shares under the 2015 Plan or the 2012 Plan shall be available for issuance pursuant to new awards under the 2025 Plan. In addition, any shares tendered or withheld to pay the exercise price, purchase price of an award, or any withholding taxes under the 2015 Plan or 2012 Plan shall be available for issuance pursuant to new awards under the 2025 Plan.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options to purchase 507,324 ordinary shares and 1,102,568 unvested RSUs (a portion of which are subject to performance based vesting conditions), outstanding under the 2015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 the 2015 Plan is administered by our compensation committee, which has full authority in all matters related to the discharge of its responsibilities and the exercise of its authority under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2015 Israeli Sub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2015 Israeli Sub Plan provides for the grant by us of awards pursuant to Sections 102 and 3(i) of the Ordinance, and the rules and regulations promulgated thereunder. The 2015 Israeli Sub Plan was effective with respect to awards granted as of 30 days from the date we submitted it to the ITA. The 2015 Israeli Sub Plan provides for the grant of awards to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our adoption of the 2025 Plan in December 2024 (as described below), we no longer make grants under the 2015 Israeli Sub Plan, although outstanding awards under the 2015 Israel Sub Plan continue to be governed by that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U.S. Sub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our adoption of the 2025 Plan in December 2024 (as described below), we no longer make grants under the 2015 U.S. Sub Plan, although outstanding awards under the 2015 U.S. Sub Plan continue to be governed by that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the 2015 Plan would have expired in March 2025, in December 2024, our board of directors adopted our 2025 Share Incentive Plan, or the 2025 Plan. Outstanding grants under the 2012 Plan and 2015 Plan, under which an aggregate of 1,609,892 remaining ordinary shares may be issued (as of December 31, 2025), remain subject to those plans even after the expiration of those plans, but all ordinary shares that were unallocated to prior grants under the 2015 Plan as of the effectiveness of the 2025 Plan, or that subsequently become available under the 2012 Plan or 2015 Plan due to the expiration, cancellation, forfeiture or other surrender of outstanding grants under the 2012 Plan or 2015 Plan, have become or will become available for new grants under the 2025 Plan.</w:t>
      </w:r>
    </w:p>
    <w:p>
      <w:pPr>
        <w:spacing w:after="0" w:line="185"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Upon its effectiveness, the 2025 Plan had a total of 2,122,421 ordinary shares reserved and initially available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(i) 1,450,289 ordinary shares that were rolled over from the 2015 Plan (which shares were unused under the 2015 Plan as of the effectiveness of the 2025 Plan) and (ii) 672,132 newly reserved ordinary shares.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8" w:name="page79"/>
    <w:bookmarkEnd w:id="78"/>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In addition to the foregoing 2,122,421 ordinary shares initially available under the 2025 Plan, up to 2,752,644 ordinary shares, in the aggregate, that underlay outstanding awards under the 2012 Plan and 2015 Plan as of the adoption of the 2025 Plan, could, (i) if the related award was to expire or be canceled, terminated, forfeited, repurchased or settled in cash in lieu of issuance of shares, for any reason, without having been exercised, or (ii) if permitted by us, was to be tendered to pay (x) the exercise price of an award or (y) withholding tax obligations, was, in any such case, to become available for issuance under the 2025 Plan. Similarly, ordinary shares reserved under the 2025 Plan itself that become subject to an award and are ultimately not issued (for any of the foregoing reasons) will become available once again under the 2025 Plan. Shares delivered pursuant to “substitute awards” (awards granted in assumption or substitution of awards granted by a company acquired by us) shall not reduce the shares available for issuance under the 2025 Plan.</w:t>
      </w:r>
    </w:p>
    <w:p>
      <w:pPr>
        <w:spacing w:after="0" w:line="192"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keeping with the recommendation of institutional shareholder and proxy advisory groups, the 2025 Plan does not contain an “evergreen” provision that provides for an automatic annual increase in the number of ordinary shares available under the plan. Instead, we plan to increase the pool of shares available under the 2025 Plan on an as-needed basis, without surpassing, in a substantial way, the recommended limit of 10% dilution from all of the 2012 Plan, 2015 Plan and 2025 Plan, in the aggregate, to our shareholders on a fully-diluted basis.</w:t>
      </w:r>
    </w:p>
    <w:p>
      <w:pPr>
        <w:spacing w:after="0" w:line="180"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As of December 31, 2025, we had options to purchase 159,380 ordinary shares and 3,296,567 unvested RSUs (a portion of which are subject to performance-based vesting conditions) outstanding under the 2025 Plan. As of December 31, 2025, 532,477 ordinary shares remained available for future issuance under the 2025 Plan.</w:t>
      </w:r>
    </w:p>
    <w:p>
      <w:pPr>
        <w:spacing w:after="0" w:line="176"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Effective as of January 1, 2026, our board of directors increased the number of ordinary shares available for future issuance under the 2025 Plan by 1,500,000 shares, in order to enable us to continue to grant equity incentives to our officers, directors, employees and services providers.</w:t>
      </w:r>
    </w:p>
    <w:p>
      <w:pPr>
        <w:spacing w:after="0" w:line="160"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A duly authorized committee of our Board (which, based on prior authorization by our Board, is our compensation committee),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absence of any such committee, the Board itself, will administer the 2025 Plan. Under the 2025 Plan, the administrator has the authority, subject to applicable law, to interpret the terms of the 2025 Plan and any award agreements or awards granted thereunder, designate recipients of awards, determine and amend the terms of awards and take all actions and make all other determinations necessary for the administration of the 2025 Plan.</w:t>
      </w:r>
    </w:p>
    <w:p>
      <w:pPr>
        <w:spacing w:after="0" w:line="180"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2025 Plan provides for granting awards under various tax regimes, including, without limitation, in compliance with Section 102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Israeli Tax Ordinance, or the Ordinance and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7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2025 Plan provides for the grant of share options (including nonqualified stock options), ordinary shares, restricted shares,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and other share-based awards to employees, directors, officers, consultants, advisors and any other persons or entities who provides services to the company or any parent, subsidiary or affiliate thereof, subject to the terms and conditions of the 2025 Plan. Options granted under the 2025 Plan to our employees who are U.S. residents may only be non-qualified stock options.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jc w:val="both"/>
        <w:ind w:firstLine="63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Grant and Exercise. </w:t>
      </w:r>
      <w:r>
        <w:rPr>
          <w:rFonts w:ascii="Times New Roman" w:cs="Times New Roman" w:eastAsia="Times New Roman" w:hAnsi="Times New Roman"/>
          <w:sz w:val="18"/>
          <w:szCs w:val="18"/>
          <w:color w:val="auto"/>
        </w:rPr>
        <w:t>All awards granted pursuant to the 2025 Plan will be evidenced by an award agreement in a form approved,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the administrator in its sole discretion. Unless otherwise determined by the administrator and stated in the award agreement, and subject to the conditions of the 2025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 The exercise period of an award will be ten years from the date of grant of the award, unless otherwise determined by the administrator and stated in the award agreement.</w:t>
      </w:r>
    </w:p>
    <w:p>
      <w:pPr>
        <w:spacing w:after="0" w:line="185"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In the event of termination of a grantee’s employment or service with the Company or any of its affiliates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reason of death, disability or retirement), different rules apply as to the length of time during which all vested and exercisable awards held by such grantee as of the date of termination may be exercised after such date of termination. In the case of termination due to death during employment or service for the Company or any of its affiliates, or within the three month period (or such longer period of time as determined by the Board, in its discretion) after the date of termination, any outstanding awards shall automatically vest (to the extent not yet vested).</w:t>
      </w:r>
    </w:p>
    <w:p>
      <w:pPr>
        <w:spacing w:after="0" w:line="185"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Any awards which are unvested as of the date of such termination (other than in the case of death, as described above) or which are vested but not then exercised within the applicable period following such date, will terminate and the shares covered by such awards shall again be available for issuance under the 2025 Plan.</w:t>
      </w:r>
    </w:p>
    <w:p>
      <w:pPr>
        <w:spacing w:after="0" w:line="176"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Notwithstanding any of the foregoing, if a grantee’s employment or services with us or any of our affiliates is terminated for “cause” (as defined in the 2025 Plan), all outstanding awards held by such grantee (whether vested or unvested) will terminate on the date of such termination and the shares covered by such awards shall again be available for issuance under the 2025 Plan. In the case of termination for cause, any shares issued upon exercise or (if applicable) vesting of awards, shall be deemed to be irrevocably offered for sale to us.</w:t>
      </w:r>
    </w:p>
    <w:p>
      <w:pPr>
        <w:spacing w:after="0" w:line="178"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Adjustments due to Transactions. </w:t>
      </w:r>
      <w:r>
        <w:rPr>
          <w:rFonts w:ascii="Times New Roman" w:cs="Times New Roman" w:eastAsia="Times New Roman" w:hAnsi="Times New Roman"/>
          <w:sz w:val="18"/>
          <w:szCs w:val="18"/>
          <w:color w:val="auto"/>
        </w:rPr>
        <w:t>The 2025 Plan provides for appropriate adjustments to be made to the plan and to outstanding awards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in the event of a share split, reverse share split, share dividend, distribution, recapitalization, combination, reclassification of our shares, or any similar recapitalization events.</w:t>
      </w:r>
    </w:p>
    <w:p>
      <w:pPr>
        <w:spacing w:after="0" w:line="175" w:lineRule="exact"/>
        <w:rPr>
          <w:sz w:val="20"/>
          <w:szCs w:val="20"/>
          <w:color w:val="auto"/>
        </w:rPr>
      </w:pPr>
    </w:p>
    <w:p>
      <w:pPr>
        <w:jc w:val="both"/>
        <w:ind w:right="20" w:firstLine="638"/>
        <w:spacing w:after="0" w:line="266" w:lineRule="auto"/>
        <w:rPr>
          <w:sz w:val="20"/>
          <w:szCs w:val="20"/>
          <w:color w:val="auto"/>
        </w:rPr>
      </w:pPr>
      <w:r>
        <w:rPr>
          <w:rFonts w:ascii="Times New Roman" w:cs="Times New Roman" w:eastAsia="Times New Roman" w:hAnsi="Times New Roman"/>
          <w:sz w:val="18"/>
          <w:szCs w:val="18"/>
          <w:color w:val="auto"/>
        </w:rPr>
        <w:t>In the event of any type of merger, consolidation, similar transaction with or into another corporation, exchange of shares, a business combination, a reorganization, a spin-off or other corporate divestiture or division, or other similar occurrences, any adjustments as determined by the compensation committee may be made without the need for a consent of any holder of an award.</w:t>
      </w:r>
    </w:p>
    <w:p>
      <w:pPr>
        <w:spacing w:after="0" w:line="176"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With respect to the distribution of a cash dividend to all holders of ordinary shares, the compensation committee shall have the authority to determine, without award holder consent, that the exercise price of any award that is outstanding and unexercised on the record date of such distribution, shall be reduced by an amount equal to the per share gross dividend amount distributed by us. The compensation committee may determine that the exercise price following such reduction shall be not less than the par value of a share. The approval of our shareholders will need to be obtained for that reduction in exercise price.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0" w:name="page81"/>
    <w:bookmarkEnd w:id="80"/>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the event of a sale of all, or substantially all, of our ordinary shares or assets, a merger, consolidation amalgamation, or similar transaction, or certain changes in the composition of the board of directors, or liquidation or dissolution, or such other transaction or circumstances that the Board determines to be a relevant transaction, then the compensation committee shall make determinations with respect to the treatment of awards as it deems appropriate.</w:t>
      </w:r>
    </w:p>
    <w:p>
      <w:pPr>
        <w:spacing w:after="0" w:line="178"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may suspend, terminate, modify or amend the 2025 Plan at any time; provided that no termination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of the 2025 Plan shall affect any then outstanding award unless expressly provided by the board. Shareholder approval of any amendment to the 2025 Plan will be obtained to the extent necessary to comply with applicable law. The administrator at any time and from time to time may modify or amend any award theretofore granted under the 2025 Plan, including any award agreement, whether retroactively or prospectively.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Dilution Under Share Incentive Plans</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The following table presents equity incentive data for our Company as of December 31, 2025, as adjusted for additional ordinary shares added to the pool for the 2025 Plan as of January 1, 2026 (but does not include ordinary shares potentially issuable under the ESPP, to the extent we activate that plan in the future, as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of Fully</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Fully</w:t>
            </w: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Capital</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Added to</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Allocated</w:t>
            </w: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2025 Plan</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to All Plans</w:t>
            </w:r>
          </w:p>
        </w:tc>
      </w:tr>
      <w:tr>
        <w:trPr>
          <w:trHeight w:val="216"/>
        </w:trPr>
        <w:tc>
          <w:tcPr>
            <w:tcW w:w="336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Available Under 2012</w:t>
            </w:r>
          </w:p>
        </w:tc>
        <w:tc>
          <w:tcPr>
            <w:tcW w:w="33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Available Under</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 Jan. 1,</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All</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in Total (%</w:t>
            </w:r>
          </w:p>
        </w:tc>
      </w:tr>
      <w:tr>
        <w:trPr>
          <w:trHeight w:val="245"/>
        </w:trPr>
        <w:tc>
          <w:tcPr>
            <w:tcW w:w="238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Plan and 2015 Plan</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2025 Plan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2026*</w:t>
            </w:r>
          </w:p>
        </w:tc>
        <w:tc>
          <w:tcPr>
            <w:tcW w:w="200" w:type="dxa"/>
            <w:vAlign w:val="bottom"/>
          </w:tcPr>
          <w:p>
            <w:pPr>
              <w:spacing w:after="0"/>
              <w:rPr>
                <w:sz w:val="21"/>
                <w:szCs w:val="21"/>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 of Shares)</w:t>
            </w: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Dilution)</w:t>
            </w:r>
          </w:p>
        </w:tc>
      </w:tr>
      <w:tr>
        <w:trPr>
          <w:trHeight w:val="194"/>
        </w:trPr>
        <w:tc>
          <w:tcPr>
            <w:tcW w:w="106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(a)</w:t>
            </w:r>
          </w:p>
        </w:tc>
        <w:tc>
          <w:tcPr>
            <w:tcW w:w="1320" w:type="dxa"/>
            <w:vAlign w:val="bottom"/>
            <w:tcBorders>
              <w:top w:val="single" w:sz="8" w:color="auto"/>
            </w:tcBorders>
            <w:gridSpan w:val="3"/>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w:t>
            </w:r>
          </w:p>
        </w:tc>
        <w:tc>
          <w:tcPr>
            <w:tcW w:w="118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w:t>
            </w: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1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 Outstanding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RSUs Under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 2012</w:t>
            </w: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2012 Plan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Options &amp;</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Plan and</w:t>
            </w: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2015</w:t>
            </w: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 2025</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RSUs Under</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(f) Total</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(j)</w:t>
            </w:r>
          </w:p>
        </w:tc>
      </w:tr>
      <w:tr>
        <w:trPr>
          <w:trHeight w:val="245"/>
        </w:trPr>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2015 Plan</w:t>
            </w: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9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2025 Plan</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 (c+f+g)</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(h/i)</w:t>
            </w:r>
          </w:p>
        </w:tc>
      </w:tr>
      <w:tr>
        <w:trPr>
          <w:trHeight w:val="216"/>
        </w:trPr>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507,324</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532,477</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1,846,055</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5,488,424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52,495,646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5%**</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January 1, 2026, our board of directors increased the number of ordinary shares available for future issuance under the 2025 Plan by 1,500,000 shares. Following that increase, the total number of ordinary shares available under all of our equity incentive plans increased to 2,032,644, constituting 10.5% of our issued and outstanding ordinary shares on a fully diluted basis.</w:t>
      </w:r>
    </w:p>
    <w:p>
      <w:pPr>
        <w:spacing w:after="0" w:line="176" w:lineRule="exact"/>
        <w:rPr>
          <w:sz w:val="20"/>
          <w:szCs w:val="20"/>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over the course of 2026, as outstanding RSU grants vest and settle for underlying ordinary shares, this percentage will fall below 10%, as the number of shares underlying outstanding RSUs under the 2025 Plan will decrease, while the number of outstanding shares will increase.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adopted an employee share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 There have not been any automatic increases to the number of shares available for issuance under the ESPP since it was adopted.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ESPP is to be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our ordinary shares determined by dividing (1) the employee’s payroll deductions accumulated prior to such exercise date and retained in the employee’s account as of the exercise date by (2) the applicable purchase price. The applicable purchase price is to be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we have not implemented or enabled purchases of ordinary shares by our employees under our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articles, our board of directors must consist of at least five and not more than nine directors, including, to the extent applicable, at least two external directors who may be required to be appointed under the Companies Law. As of the date of this report, our board of directors consists of seven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election to be exempt from the external director requirement under the Companies Law, each of our directors is assigned to one of the three, staggered classes of our board of directors, as follows:</w:t>
      </w:r>
    </w:p>
    <w:p>
      <w:pPr>
        <w:spacing w:after="0" w:line="162"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Dov Ofer and Ofer Ben-Zur, and their terms will expire at our annual general meeting of shareholders to be held in 2028 and when their successors are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Naama Halevi Davidov and Gabi Seligsohn, and their terms expire at our annual general meeting of shareholders to be held in 2026 and when their successors are elected and qualified;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Yuval Cohen, Stephen Nigro and Ronen Samuel, and their terms expire at our annual general meeting of shareholders to be held in 2027 and when their successors are elected and qualified.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six of our directors, consisting of Yuval Cohen, Ofer Ben-Zur, Stephen Nigro, Dov Ofer, Gabi Seligsohn and Naama Halevi Davidov, constituting a majority of the members of the board, are independent under the Nasdaq Listing Rules. The definition of independent director under the Nasdaq Listing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Companies Law and our articles, besides nominees who are chosen by our board of directors, nominees for director may also be proposed by any shareholder holding at least 1% of our outstanding voting power. For a company such as ours listed on an exchange outside of Israel, Companies Law regulations provide that a matter relating to the appointment or removal of a director may only be requested by one or more shareholders holding at least 5% of the voting rights. Our articles currently allow a shareholder holding 1% or more of our voting power to request inclusion of an agenda item, however, so currently we are unable to utilize the 5% threshold for a director appointment or removal request set by the Companies Law regulations. Under our articles, any 1%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When we are subject to, or choose to be bound by, the requirement to elect external directors, they are elected for an initial term of three years and may be elected for additional three-year terms under the circumstances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the boards of directors of companies whose shares are publicly traded, including companies with shares traded in the United States, are generally required to include at least two members who qualify as external directors. In August 2019, we elected to be governed by the exemption from maintaining external directors on our board under the Companies Law (as described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spacing w:after="0" w:line="180" w:lineRule="exact"/>
        <w:rPr>
          <w:sz w:val="20"/>
          <w:szCs w:val="20"/>
          <w:color w:val="auto"/>
        </w:rPr>
      </w:pPr>
    </w:p>
    <w:p>
      <w:pPr>
        <w:jc w:val="both"/>
        <w:ind w:left="98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the Board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audit committee consists of three members: Naama Halevi Davidov (Chairperson), Dov Ofer, and Stephen Nigro.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members of our audit committee meet the requirements for financial literacy under the applicable rules and regulations of the SEC and Nasdaq corporate governance rules. Our board of directors has determined that Dov Ofer qualifies as an audit committee financial expert, as defined by the SEC rules, and has the requisite financial experience, as defined by the Nasdaq corporate governance rules.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Role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independent registered public accounting firm and recommending the engagement, compensation or termination of engagement of our independent registered public accounting firm to the board of directors and shareholders in accordance with Israeli law;</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pre-approving the terms of audit, audit-related and all permitted non-audit services provided by the independent registered public accounting firm.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yearly or periodic work plan proposed by the internal auditor;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audit controls and internal auditor’s performance, including whether the internal auditor has sufficient resources and tools to fulfill his or her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our company regarding accounting, internal accounting controls or auditing matters and the confidential, anonymous submission by company employees of concerns regarding questionable accounting or auditing matters, and the protection to be provided to such complaining employees.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part of its capacity in overseeing risk management activities and monitoring management’s policies and procedures, our audit committee also plays a significant strategic role in coordinating our cyber risk initiatives and policies and confirming their efficacy.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and Compensation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consists of three members: Dov Ofer (Chairman), Stephen Nigro and Gabi Seligsohn.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76" w:lineRule="exact"/>
        <w:rPr>
          <w:sz w:val="20"/>
          <w:szCs w:val="20"/>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periodic updates to the compensation policy and assessing implementation of the compensation policy;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compensation terms of executive officers, directors and employees that require approval of the compensation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subject to the approval of the board and under special circumstances, override a determination of the company’s shareholders regarding certain compensation related issues.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foregoing requirements, following the recommendation of our compensation committee, our board and our shareholders last approved our updated compensation policy in July 2023 and August 2023, respectively. Following those approvals, the compensation policy (in updated form, if applicable) will need to be recommended by the compensation committee and presented for the approval of the board and shareholders, every three years, in accordance with the requirements of the Companies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Role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 compensation committee charter that sets forth the responsibilities of the compensation committee,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set forth in the compensation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including the approval of the adoption of such plans, amending and interpreting such plans, and making awards to eligible persons under the plans;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is responsible for formulating policy, devising strategy, and ensuring governed execution concerning all ESG matters.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oversight of ESG-related risks and opportunities, the board may assign responsibility for oversight of matters most applicable to representatives of middle and senior management to relevant departments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External directors (when we are required to have them serving on our board of directors) are entitled to remuneration subject to the provisions and limitations set forth in the regulations promulgated under the Companies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the board of directors of an Israeli public company must appoint an internal auditor recommended by the audit committee. An internal auditor may not be:</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relative of a person) who holds 5% or more of the company’s outstanding shares or voting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relative of a person) who has the power to appoint a director or the general manager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 holder (including a director) of the company (or a relative thereof);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Hila Barr - Hoisman of Brightman Almagor &amp; Zohar (Deloitte) serves as our internal auditor.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Directors and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codifies the fiduciary duties that office holders owe to a company. Each person listed in the table under “Directors and Senior Management” is an office holder of our company under the Companies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advisability of a given action brought for his or her approval or performed by virtue of his or her position;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any such 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The duty of loyalty includes a duty to:</w:t>
      </w:r>
    </w:p>
    <w:p>
      <w:pPr>
        <w:spacing w:after="0" w:line="225" w:lineRule="exact"/>
        <w:rPr>
          <w:sz w:val="20"/>
          <w:szCs w:val="20"/>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or her duties to the company and his or her other duties or personal affairs;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herself or others;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an Office Holder and Approval of Certain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80"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Controlling Shareholders and Approval of Certain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 one of the following requirements:</w:t>
      </w:r>
    </w:p>
    <w:p>
      <w:pPr>
        <w:spacing w:after="0" w:line="194" w:lineRule="exact"/>
        <w:rPr>
          <w:sz w:val="20"/>
          <w:szCs w:val="20"/>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Duties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76"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225" w:lineRule="exact"/>
        <w:rPr>
          <w:rFonts w:ascii="Times New Roman" w:cs="Times New Roman" w:eastAsia="Times New Roman" w:hAnsi="Times New Roman"/>
          <w:sz w:val="18"/>
          <w:szCs w:val="18"/>
          <w:color w:val="auto"/>
        </w:rPr>
      </w:pPr>
    </w:p>
    <w:p>
      <w:pPr>
        <w:ind w:left="660" w:right="2980" w:hanging="4"/>
        <w:spacing w:after="0" w:line="500" w:lineRule="auto"/>
        <w:tabs>
          <w:tab w:leader="none" w:pos="9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 A shareholder also has a general duty to refrain from discriminating against other shareholders.</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6" w:lineRule="exact"/>
        <w:rPr>
          <w:sz w:val="20"/>
          <w:szCs w:val="20"/>
          <w:color w:val="auto"/>
        </w:rPr>
      </w:pPr>
    </w:p>
    <w:p>
      <w:pPr>
        <w:jc w:val="both"/>
        <w:ind w:left="980" w:hanging="324"/>
        <w:spacing w:after="0" w:line="258"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both"/>
        <w:ind w:left="980" w:hanging="324"/>
        <w:spacing w:after="0" w:line="266"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62" w:lineRule="exact"/>
        <w:rPr>
          <w:sz w:val="20"/>
          <w:szCs w:val="20"/>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provided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 third party, to the extent such a breach arises out of the negligent conduct of the office holder;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or forfeit levied against the office 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permit us to exculpate, indemnify and insure our office holders to the fullest extent permitted or to be permitted by the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633 employees, with 359 located in Israel, 110 in the United States, 125 in Europe and 39 in Asia Pacific. The following table shows the breakdown of our workforce of employees and subcontractors by category of activity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Area of Activity</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126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operations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183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0"/>
                <w:szCs w:val="20"/>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840"/>
              <w:spacing w:after="0" w:line="203" w:lineRule="exact"/>
              <w:rPr>
                <w:sz w:val="20"/>
                <w:szCs w:val="20"/>
                <w:color w:val="auto"/>
              </w:rPr>
            </w:pPr>
            <w:r>
              <w:rPr>
                <w:rFonts w:ascii="Times New Roman" w:cs="Times New Roman" w:eastAsia="Times New Roman" w:hAnsi="Times New Roman"/>
                <w:sz w:val="18"/>
                <w:szCs w:val="18"/>
                <w:color w:val="auto"/>
                <w:w w:val="88"/>
              </w:rPr>
              <w:t>715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18"/>
        <w:spacing w:after="0" w:line="28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annual report on Form 20-F for the year ended December 31, 2024, there was an inadvertent error as to the allocation of our employees in various areas of activity as of December 31, 2024, which has been corrected in this table.</w:t>
      </w:r>
    </w:p>
    <w:p>
      <w:pPr>
        <w:spacing w:after="0" w:line="162" w:lineRule="exact"/>
        <w:rPr>
          <w:sz w:val="20"/>
          <w:szCs w:val="20"/>
          <w:color w:val="auto"/>
        </w:rPr>
      </w:pPr>
    </w:p>
    <w:p>
      <w:pPr>
        <w:jc w:val="both"/>
        <w:ind w:firstLine="566"/>
        <w:spacing w:after="0" w:line="256" w:lineRule="auto"/>
        <w:rPr>
          <w:sz w:val="20"/>
          <w:szCs w:val="20"/>
          <w:color w:val="auto"/>
        </w:rPr>
      </w:pPr>
      <w:r>
        <w:rPr>
          <w:rFonts w:ascii="Times New Roman" w:cs="Times New Roman" w:eastAsia="Times New Roman" w:hAnsi="Times New Roman"/>
          <w:sz w:val="18"/>
          <w:szCs w:val="18"/>
          <w:color w:val="auto"/>
        </w:rPr>
        <w:t>The decreases in the number of our employees from 2023 to 2024, and again from 2024 to 2025, were primarily related to our strategic plan to increase our profitability, in part by downsizing our workforce in those years. The decreases in employees were primarily focused on areas in which we viewed our staffing as misaligned with the decline in revenues in recent years (prior to 2025, in which our revenues increased once again). Consequently, we decreased the sizes of our sales and marketing and general and administrative departments significantly in 2024, and to a lesser extent our marketing, some sales positions and general and administrative departments, in 2025), while also steadily reducing our manufacturing and operations, and research and development departments in 2024 (and, to a lesser extent, in 2025), to be proportionate with our needs.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employees have a work council. The work council must be consulted about specific employee related issues and has the right to make proposals to management according to the German Works Constitution Act (BetrVG).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never experienced any labor-related work stoppages or strikes and believe our relationships with our employees are good.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implemented an employee culture of Diversity, Equity and Inclusion, or DEI, where we seek to create a gender-equitable, welcoming and comfortable work environment in which our employees can express themselves freely and feel supported to achieve their best.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please refer to “ITEM 6.B. Compensation” and “ITEM 7.A. Major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Major Shareholders and Related Party Transactions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February 17, 2026 by:</w:t>
      </w:r>
    </w:p>
    <w:p>
      <w:pPr>
        <w:spacing w:after="0" w:line="225" w:lineRule="exact"/>
        <w:rPr>
          <w:sz w:val="20"/>
          <w:szCs w:val="20"/>
          <w:color w:val="auto"/>
        </w:rPr>
      </w:pPr>
    </w:p>
    <w:p>
      <w:pPr>
        <w:ind w:left="5540" w:right="2900" w:hanging="4884"/>
        <w:spacing w:after="0" w:line="783" w:lineRule="auto"/>
        <w:tabs>
          <w:tab w:leader="none" w:pos="9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ordinary shares;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17, 2026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c/o Kornit Digital Ltd., 12 Ha’Amal Street, Rosh -Ha’Ayin 4809246, Israel.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percentages set forth below are based on 46,340,477 ordinary shares outstanding (which excludes 5,626,182 Treasury shares) as of February 17,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8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Disciplined Growth Investors, Inc.</w:t>
            </w:r>
            <w:r>
              <w:rPr>
                <w:rFonts w:ascii="Times New Roman" w:cs="Times New Roman" w:eastAsia="Times New Roman" w:hAnsi="Times New Roman"/>
                <w:sz w:val="29"/>
                <w:szCs w:val="29"/>
                <w:color w:val="auto"/>
                <w:vertAlign w:val="superscript"/>
              </w:rPr>
              <w:t>(1)</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3,034,591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56"/>
        </w:trPr>
        <w:tc>
          <w:tcPr>
            <w:tcW w:w="8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Granahan Investment Management LLC</w:t>
            </w:r>
            <w:r>
              <w:rPr>
                <w:rFonts w:ascii="Times New Roman" w:cs="Times New Roman" w:eastAsia="Times New Roman" w:hAnsi="Times New Roman"/>
                <w:sz w:val="29"/>
                <w:szCs w:val="29"/>
                <w:color w:val="auto"/>
                <w:vertAlign w:val="superscript"/>
              </w:rPr>
              <w:t>(2)</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2,569,663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8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(3)</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3,945,982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56"/>
        </w:trPr>
        <w:tc>
          <w:tcPr>
            <w:tcW w:w="8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Artisan Partners Limited Partnership</w:t>
            </w:r>
            <w:r>
              <w:rPr>
                <w:rFonts w:ascii="Times New Roman" w:cs="Times New Roman" w:eastAsia="Times New Roman" w:hAnsi="Times New Roman"/>
                <w:sz w:val="29"/>
                <w:szCs w:val="29"/>
                <w:color w:val="auto"/>
                <w:vertAlign w:val="superscript"/>
              </w:rPr>
              <w:t>(4)</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2,647,804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8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(5)</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2,339,199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56"/>
        </w:trPr>
        <w:tc>
          <w:tcPr>
            <w:tcW w:w="8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Senvest Management, LLC</w:t>
            </w:r>
            <w:r>
              <w:rPr>
                <w:rFonts w:ascii="Times New Roman" w:cs="Times New Roman" w:eastAsia="Times New Roman" w:hAnsi="Times New Roman"/>
                <w:sz w:val="29"/>
                <w:szCs w:val="29"/>
                <w:color w:val="auto"/>
                <w:vertAlign w:val="superscript"/>
              </w:rPr>
              <w:t>(6)</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4,141,355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8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Chicago Capital LLC </w:t>
            </w:r>
            <w:r>
              <w:rPr>
                <w:rFonts w:ascii="Times New Roman" w:cs="Times New Roman" w:eastAsia="Times New Roman" w:hAnsi="Times New Roman"/>
                <w:sz w:val="29"/>
                <w:szCs w:val="29"/>
                <w:color w:val="auto"/>
                <w:vertAlign w:val="superscript"/>
              </w:rPr>
              <w:t>(7)</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2,476,363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Yuval Cohen</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21,853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Naama Halevi Davidov</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11,383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Ofer Ben-Zur</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11,383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Assaf Zipori</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Nigro</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20,395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Ofer</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17,553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56,395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5"/>
        </w:trPr>
        <w:tc>
          <w:tcPr>
            <w:tcW w:w="842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Ronen Samuel</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
                <w:szCs w:val="1"/>
                <w:color w:val="auto"/>
              </w:rPr>
              <w:t>298,205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r>
      <w:tr>
        <w:trPr>
          <w:trHeight w:val="197"/>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(8)</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
        </w:trPr>
        <w:tc>
          <w:tcPr>
            <w:tcW w:w="8420" w:type="dxa"/>
            <w:vAlign w:val="bottom"/>
            <w:gridSpan w:val="2"/>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Daniel Gazit</w:t>
            </w:r>
          </w:p>
        </w:tc>
        <w:tc>
          <w:tcPr>
            <w:tcW w:w="1560" w:type="dxa"/>
            <w:vAlign w:val="bottom"/>
            <w:gridSpan w:val="2"/>
            <w:shd w:val="clear" w:color="auto" w:fill="CCEEFF"/>
          </w:tcPr>
          <w:p>
            <w:pPr>
              <w:jc w:val="right"/>
              <w:ind w:right="460"/>
              <w:spacing w:after="0" w:line="19" w:lineRule="exact"/>
              <w:rPr>
                <w:sz w:val="20"/>
                <w:szCs w:val="20"/>
                <w:color w:val="auto"/>
              </w:rPr>
            </w:pPr>
            <w:r>
              <w:rPr>
                <w:rFonts w:ascii="Times New Roman" w:cs="Times New Roman" w:eastAsia="Times New Roman" w:hAnsi="Times New Roman"/>
                <w:sz w:val="2"/>
                <w:szCs w:val="2"/>
                <w:color w:val="auto"/>
              </w:rPr>
              <w:t>35,965</w:t>
            </w:r>
          </w:p>
        </w:tc>
        <w:tc>
          <w:tcPr>
            <w:tcW w:w="1260" w:type="dxa"/>
            <w:vAlign w:val="bottom"/>
            <w:gridSpan w:val="2"/>
            <w:shd w:val="clear" w:color="auto" w:fill="CCEEFF"/>
          </w:tcPr>
          <w:p>
            <w:pPr>
              <w:jc w:val="right"/>
              <w:ind w:right="160"/>
              <w:spacing w:after="0" w:line="19" w:lineRule="exact"/>
              <w:rPr>
                <w:sz w:val="20"/>
                <w:szCs w:val="20"/>
                <w:color w:val="auto"/>
              </w:rPr>
            </w:pPr>
            <w:r>
              <w:rPr>
                <w:rFonts w:ascii="Times New Roman" w:cs="Times New Roman" w:eastAsia="Times New Roman" w:hAnsi="Times New Roman"/>
                <w:sz w:val="2"/>
                <w:szCs w:val="2"/>
                <w:color w:val="auto"/>
              </w:rPr>
              <w:t>*</w:t>
            </w:r>
          </w:p>
        </w:tc>
      </w:tr>
      <w:tr>
        <w:trPr>
          <w:trHeight w:val="197"/>
        </w:trPr>
        <w:tc>
          <w:tcPr>
            <w:tcW w:w="8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(9)</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
        </w:trPr>
        <w:tc>
          <w:tcPr>
            <w:tcW w:w="842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Yaaqov Mann</w:t>
            </w:r>
          </w:p>
        </w:tc>
        <w:tc>
          <w:tcPr>
            <w:tcW w:w="1560" w:type="dxa"/>
            <w:vAlign w:val="bottom"/>
            <w:gridSpan w:val="2"/>
          </w:tcPr>
          <w:p>
            <w:pPr>
              <w:jc w:val="right"/>
              <w:ind w:right="460"/>
              <w:spacing w:after="0" w:line="19" w:lineRule="exact"/>
              <w:rPr>
                <w:sz w:val="20"/>
                <w:szCs w:val="20"/>
                <w:color w:val="auto"/>
              </w:rPr>
            </w:pPr>
            <w:r>
              <w:rPr>
                <w:rFonts w:ascii="Times New Roman" w:cs="Times New Roman" w:eastAsia="Times New Roman" w:hAnsi="Times New Roman"/>
                <w:sz w:val="2"/>
                <w:szCs w:val="2"/>
                <w:color w:val="auto"/>
              </w:rPr>
              <w:t>108,636</w:t>
            </w:r>
          </w:p>
        </w:tc>
        <w:tc>
          <w:tcPr>
            <w:tcW w:w="1260" w:type="dxa"/>
            <w:vAlign w:val="bottom"/>
            <w:gridSpan w:val="2"/>
          </w:tcPr>
          <w:p>
            <w:pPr>
              <w:jc w:val="right"/>
              <w:ind w:right="160"/>
              <w:spacing w:after="0" w:line="19" w:lineRule="exact"/>
              <w:rPr>
                <w:sz w:val="20"/>
                <w:szCs w:val="20"/>
                <w:color w:val="auto"/>
              </w:rPr>
            </w:pPr>
            <w:r>
              <w:rPr>
                <w:rFonts w:ascii="Times New Roman" w:cs="Times New Roman" w:eastAsia="Times New Roman" w:hAnsi="Times New Roman"/>
                <w:sz w:val="2"/>
                <w:szCs w:val="2"/>
                <w:color w:val="auto"/>
              </w:rPr>
              <w:t>*</w:t>
            </w:r>
          </w:p>
        </w:tc>
      </w:tr>
      <w:tr>
        <w:trPr>
          <w:trHeight w:val="197"/>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(10)</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0"/>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(10 persons)</w:t>
            </w:r>
          </w:p>
        </w:tc>
        <w:tc>
          <w:tcPr>
            <w:tcW w:w="1560" w:type="dxa"/>
            <w:vAlign w:val="bottom"/>
            <w:gridSpan w:val="2"/>
            <w:shd w:val="clear" w:color="auto" w:fill="CCEEFF"/>
          </w:tcPr>
          <w:p>
            <w:pPr>
              <w:jc w:val="right"/>
              <w:ind w:right="120"/>
              <w:spacing w:after="0" w:line="260" w:lineRule="exact"/>
              <w:rPr>
                <w:sz w:val="20"/>
                <w:szCs w:val="20"/>
                <w:color w:val="auto"/>
              </w:rPr>
            </w:pPr>
            <w:r>
              <w:rPr>
                <w:rFonts w:ascii="Times New Roman" w:cs="Times New Roman" w:eastAsia="Times New Roman" w:hAnsi="Times New Roman"/>
                <w:sz w:val="18"/>
                <w:szCs w:val="18"/>
                <w:color w:val="auto"/>
              </w:rPr>
              <w:t>581,768*</w:t>
            </w:r>
            <w:r>
              <w:rPr>
                <w:rFonts w:ascii="Times New Roman" w:cs="Times New Roman" w:eastAsia="Times New Roman" w:hAnsi="Times New Roman"/>
                <w:sz w:val="29"/>
                <w:szCs w:val="29"/>
                <w:color w:val="auto"/>
                <w:vertAlign w:val="superscript"/>
              </w:rPr>
              <w:t>(11)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ordinary shares.</w:t>
      </w:r>
    </w:p>
    <w:p>
      <w:pPr>
        <w:spacing w:after="0" w:line="225" w:lineRule="exact"/>
        <w:rPr>
          <w:sz w:val="20"/>
          <w:szCs w:val="20"/>
          <w:color w:val="auto"/>
        </w:rPr>
      </w:pPr>
    </w:p>
    <w:p>
      <w:pPr>
        <w:jc w:val="both"/>
        <w:ind w:left="38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150 South Fifth Street, Suite 2550, Minneapolis, MN 55402. The information in this row is provided as of December 31, 2025, based on a statement of beneficial ownership on Schedule 13G filed by Disciplined Growth Investors, Inc. with the SEC on February 17, 2026.</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Wyman Street, Suite 460, Waltham, MA 02451. The information in this row is provided as of December 31, 2025, based on a statement of beneficial ownership on Schedule 13G filed by Granahan Investment Management LLC with the SEC on February 17, 2026. This shareholder possesses sole dispositive power with respect to all 2,569,663 shares, and sole voting power with respect to 1,970,645 of the shares, beneficially owned by it. The subject shares are owned by various investment advisory clients of Granahan Investment Management LLC, which is deemed to be a beneficial owner of those shares due to its discretionary power to make investment decisions and/or its ability to vote with respect to those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50" w:gutter="0" w:footer="0" w:header="0"/>
        </w:sectPr>
      </w:pPr>
    </w:p>
    <w:bookmarkStart w:id="95" w:name="page96"/>
    <w:bookmarkEnd w:id="95"/>
    <w:p>
      <w:pPr>
        <w:jc w:val="both"/>
        <w:ind w:left="380" w:hanging="372"/>
        <w:spacing w:after="0" w:line="254"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1585 Broadway New York, NY 10036. The information in this row is provided as of December 31, 2025, based on Amendment No. 4 to a statement of beneficial ownership on Schedule 13G filed by Morgan Stanley with the SEC on February 12, 2026. Morgan Stanley possesses shared dispositive power with respect to all of these ordinary shares, and shared voting power with respect to 3,893,539 of these ordinary shares. The ordinary shares included in the beneficial ownership of this shareholder are beneficially owned, or may be deemed to be beneficially owned, by Morgan Stanley Capital Services LLC, a wholly-owned subsidiary of Morgan Stanley, and/or certain additional operating units of Morgan Stanley, its subsidiaries or affiliates whose ownership is included in Morgan Stanley’s beneficial ownership report. These ordinary shares reported as beneficially owned do not include ordinary shares, if any, beneficially owned by any operating units of Morgan Stanley whose ownership of securities is disaggregated from that of certain operating units of Morgan Stanley, its subsidiaries and affiliates.</w:t>
      </w:r>
    </w:p>
    <w:p>
      <w:pPr>
        <w:spacing w:after="0" w:line="19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875 E. Wisconsin Ave., Suite 800, Milwaukee, WI 53202. The information in this row is provided as of December 31, 2025, based on a statement of beneficial ownership on Schedule 13G filed by Artisan Partners Limited Partnership with the SEC on February 3, 2026. The shares reported for this shareholder have been acquired on behalf of discretionary clients of Artisan Partners Limited Partnership, or APLP. Artisan Partners Holdings LP is the sole limited partner of APLP and the sole member of Artisan Investments GP LLC; Artisan Investments GP LLC is the general partner of APLP; Artisan Partners Asset Management Inc. is the general partner of Artisan Partners Holdings LP. APLP and its affiliated entities possess shared dispositive power with respect to all 2,647,804 of the subject shares and shared voting power with respect to 2,345,989 of such shares.</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50 Hudson Yards, New York, NY 10001. The information in this row is provided as of September 30, 2025, based on a statement of beneficial ownership on Schedule 13G filed by BlackRock, Inc. with the SEC on October 17, 2025. BlackRock, Inc. reported sole voting power over 2,312,191 shares and sole dispositive power over 2,339,199 shares. The ordinary shares. included in the beneficial ownership of this shareholder are beneficially owned, or may be deemed to be beneficially owned, by certain business units of BlackRock, Inc. and its subsidiaries and affiliates. They do not include ordinary shares, if any, beneficially owned by other business units whose ownership of securities is disaggregated from that of the subject reporting business units.</w:t>
      </w:r>
    </w:p>
    <w:p>
      <w:pPr>
        <w:spacing w:after="0" w:line="191" w:lineRule="exact"/>
        <w:rPr>
          <w:rFonts w:ascii="Times New Roman" w:cs="Times New Roman" w:eastAsia="Times New Roman" w:hAnsi="Times New Roman"/>
          <w:sz w:val="18"/>
          <w:szCs w:val="18"/>
          <w:color w:val="auto"/>
        </w:rPr>
      </w:pPr>
    </w:p>
    <w:p>
      <w:pPr>
        <w:jc w:val="both"/>
        <w:ind w:left="380" w:hanging="372"/>
        <w:spacing w:after="0" w:line="229" w:lineRule="auto"/>
        <w:tabs>
          <w:tab w:leader="none" w:pos="380" w:val="left"/>
        </w:tabs>
        <w:numPr>
          <w:ilvl w:val="0"/>
          <w:numId w:val="6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address of this shareholder is 540 Madison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New York 10022. The information in this row is provided as of December 31, 2025, based on a report of institutional investment manager on Form 13F filed by Senvest Management, LLC with the SEC on February 12, 2026. The ordinary shares reported in this row are held in the account of Senvest Master Fund, LP and Senvest Technology Partners Master Fund, LP, which are collectively referred to as the Senvest Investment Vehicles. Senvest Management, LLC may be deemed to beneficially own the securities held by the Senvest Investment Vehicles by virtue of Senvest Management, LLC’s position as investment manager of the Senvest Investment Vehicles. Mr. Richard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the subject ordinary shares.</w:t>
      </w:r>
    </w:p>
    <w:p>
      <w:pPr>
        <w:spacing w:after="0" w:line="203" w:lineRule="exact"/>
        <w:rPr>
          <w:rFonts w:ascii="Times New Roman" w:cs="Times New Roman" w:eastAsia="Times New Roman" w:hAnsi="Times New Roman"/>
          <w:sz w:val="36"/>
          <w:szCs w:val="36"/>
          <w:color w:val="auto"/>
          <w:vertAlign w:val="superscript"/>
        </w:rPr>
      </w:pPr>
    </w:p>
    <w:p>
      <w:pPr>
        <w:ind w:left="380" w:hanging="372"/>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135 South LaSalle Street, Suite 4200, Chicago, IL 60603. The information in this row is provided as of December 31, 2025, based on a report of institutional investment manager on Form 13F filed by Chicago Capital, LLC with the SEC on January 26, 2026.</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101,494 ordinary shares, (ii) 147,191 ordinary shares issuable upon exercise of options that have vested or will vest within 60 days of February 17, 2026 (comprised of: 37,500 options at a $28.15 exercise price, with an expiration date of August 22, 2029; 10,350 options at a $57.79 exercise price, with an expiration date of August 12, 2030; 5,005 options at a $122.19 exercise price, with an expiration date of August 12, 2031; 20,803 options at a $35.51 exercise price, with an expiration date of August 11, 2032; 18,816 options at a $22.02 exercise price, with an expiration date of December 29, 2032; 30,328 options at a $23.00 exercise price, with an expiration date of August 12, 2033; and 24,389 options at a $16.48 exercise price, with an expiration date of August 12, 2034), and (iii) 49,520 shares underlying RSUs that have vested or will vest within 60 days of February 17, 2026.</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6,978 ordinary shares, (ii) 7,000 ordinary shares issuable upon exercise of options (at a $105.06 exercise price, with an expiration date of January 31, 2032) that have vested or will vest within 60 days of February 17, 2026, and (iii) 21,987 shares underlying RSUs that have vested or will vest within 60 days of February 17, 2026.</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25,680 ordinary shares, (ii) 20,279 ordinary shares issuable upon exercise of options that have vested or will vest within 60 days of February 17, 2026 (comprised of: 3,279 options at a $18.80 exercise price, with an expiration date of August 8, 2028; and 17,000 options at a $105.06 exercise price, with an expiration date of January 31, 2032), and (iii) 62,677 shares underlying RSUs that have vested or will vest within 60 days of February 17, 2026.</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273,114 actual ordinary shares, 174,470 additional ordinary shares underlying options, and 134,184 additional ordinary shares underlying RSUs, which options and RSUs have vested or will vest, and therefore may be exercised by, or settled for (as applicable), our directors and executive officers, within 60 days of February 17,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color w:val="auto"/>
        </w:rPr>
        <w:t>Recent Significant Changes in the Percentage Ownership of Major Shareholders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each of Wasatch Advisors Inc. and Granahan Investment Management, LLC reported that its beneficial ownership had decreased below 5% during 2023, thereby causing it to cease to be a major shareholder of ours. In addition, Artisan Partners Limited Partnership reported a decrease in its beneficial ownership over the course of 2023, whereby it held 7.8% of our outstanding shares as of February 2024, while Senvest Management, LLC reported an increase in its beneficial ownership in 2023, with its holdings comprising 9.2% of our outstanding shares as of February 2024. A new major shareholder, Morgan Stanley, acquired ordinary shares in 2023 that constituted 6.6% of our outstanding ordinary shares as of February</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2024. In March 2024, Chicago Capital LLC reported that its beneficial ownership had increased to 5.2% as of February 28, 2024, thereby causing it to become a new major shareholder of ours.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each of Artisan Partners Limited Partnership, Senvest Management, LLC and Morgan Stanley reported changes to its beneficial ownership of our ordinary shares over the course of 2024. Based on those reports, Artisan Partners Limited Partnership’s beneficial ownership decreased to 7.4%, while the beneficial ownership of Senvest Management, LLC and Morgan Stanley increased slightly, to 9.3% and 7.9%, respectively, of our outstanding ordinary shares (each such percentage reflects ownership as of February 28,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2025, BlackRock, Inc. reported that it had become a new major shareholder, disclosing beneficial ownership of approximately 5.1% of our outstanding ordinary shares as of September 30, 2025.</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2026, Chicago Capital LLC reported beneficial ownership of shares constituting approximately 5.3% of our issued and outstanding ordinary shares (as of February 17, 2026), whereby it remained a major shareholder of ours. In February 2026, each of Disciplined Growth Investors, Inc. and Granahan Investment Management LLC reported greater than 5% holdings of our ordinary shares (6.5% and 5.5% respectively, as of February 17, 2026), thereby becoming new major shareholders of our company. In addition, in late 2025 and/or February 2026, each of the following existing major shareholders— Morgan Stanley, Artisan Partners Limited Partnership, Blackrock, Inc., and Senvest Management, LLC— reported holdings that remained above 5% of our issued and outstanding shares, which constitute (as of February 17, 2026) approximately 8.5%, 5.7%, 5.0% and 8.9% of our issued and outstanding shares.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the foregoing, there have been no recent significant changes in the percentage ownership of major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a review of the information provided to us by our transfer agent, as of February 17, 2026, there were three holders of record of our ordinary shares, of which one record holder, holding approximately 99.9%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2025,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Arrangements with, and Compensation of,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RSUs and PSUs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our inception we have granted options to purchase our ordinary shares to our officers and certain of our directors, and, commencing in 2018 (following approval by our shareholders), we began awarding annual RSU grants to our non-employee directors, and we also award them to our executive officers.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Our equity grant agreements for our officers also provide, in certain cases, for acceleration of vesting in the event of certain merger, acquisition, or change of control transactions. In 2021 and 2022, following shareholder approvals, we granted RSUs as well as performance based RSUs, or PSUs, to our chief executive officer (as described below under “Compensation Arrangement for CEO”).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 for CEO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our 2022 special general meeting of shareholders, held on December 29, 2022, our shareholders approved (following approval by our compensation committee and board of directors) an updated compensation package for our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Ronen Samuel. We have provided below the updated compensation figures for the CEO, as adjusted, based on that approval by our shareholders: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 Salary: NIS 1.51 million (approximately $438,396)</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Target Annual Bonus (% Base Salary): 100%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Target Total Cash (Base + Bonus): $876,792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Long-Term Incentive/ Equity Target Value: $2,500,000 annually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Target Total Direct Compensation: $3,376,792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package includes the following specific elements:</w:t>
      </w:r>
    </w:p>
    <w:p>
      <w:pPr>
        <w:spacing w:after="0" w:line="221"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Total Shareholder Return (TSR) PSUs</w:t>
      </w:r>
      <w:r>
        <w:rPr>
          <w:rFonts w:ascii="Times New Roman" w:cs="Times New Roman" w:eastAsia="Times New Roman" w:hAnsi="Times New Roman"/>
          <w:sz w:val="18"/>
          <w:szCs w:val="18"/>
          <w:color w:val="auto"/>
        </w:rPr>
        <w:t>: PSUs valued at approximately $1,250,000 are granted to the CEO annually.</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number of TSR PSUs to be granted each year with the foregoing $1,250,000 value are determined based on a valuation methodology generally used for such awards (e.g., Monte Carlo method) as of the date of the relevant annual shareholder meeting or as of the relevant anniversary of the date of the meeting.</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the TSR PSUs is dependent upon the performance of our TSR, as measured by our Company’s share price, relative to the performance of the S&amp;P 500 index, which determination is made for a two-year (30% weight) and three year (70% weight) period of time, upon the two-year and three-year anniversaries of each grant date, with the TSR PSUs either partially or fully vesting (if either/both performance conditions are met at or above the threshold level) or expiring (if the performance conditions are not met) on the three-year anniversary of each grant date;</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“double trigger” vesting and acceleration of vesting due to termination of the CEO in certain circumstances.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payout on the TSR PSUs (i.e., how many vest), will be determined based on our performance relative to a payout curve, with threshold and maximum performance levels, whereby the payout can be anywhere from zero to in excess of the payout target,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Kornit TSR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Percentile Rank</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w:t>
            </w:r>
          </w:p>
        </w:tc>
      </w:tr>
      <w:tr>
        <w:trPr>
          <w:trHeight w:val="257"/>
        </w:trPr>
        <w:tc>
          <w:tcPr>
            <w:tcW w:w="5520" w:type="dxa"/>
            <w:vAlign w:val="bottom"/>
            <w:tcBorders>
              <w:top w:val="single" w:sz="8" w:color="auto"/>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&lt; 35</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220" w:type="dxa"/>
            <w:vAlign w:val="bottom"/>
            <w:tcBorders>
              <w:top w:val="single" w:sz="8" w:color="CCEEFF"/>
            </w:tcBorders>
            <w:shd w:val="clear" w:color="auto" w:fill="CCEEFF"/>
          </w:tcPr>
          <w:p>
            <w:pPr>
              <w:spacing w:after="0"/>
              <w:rPr>
                <w:sz w:val="22"/>
                <w:szCs w:val="22"/>
                <w:color w:val="auto"/>
              </w:rPr>
            </w:pPr>
          </w:p>
        </w:tc>
        <w:tc>
          <w:tcPr>
            <w:tcW w:w="5500" w:type="dxa"/>
            <w:vAlign w:val="bottom"/>
            <w:tcBorders>
              <w:top w:val="single" w:sz="8" w:color="auto"/>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rPr>
              <w:t>0%</w:t>
            </w:r>
          </w:p>
        </w:tc>
      </w:tr>
      <w:tr>
        <w:trPr>
          <w:trHeight w:val="256"/>
        </w:trPr>
        <w:tc>
          <w:tcPr>
            <w:tcW w:w="574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4"/>
              </w:rPr>
              <w:t>35</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Percentile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(Threshold)</w:t>
            </w:r>
          </w:p>
        </w:tc>
      </w:tr>
      <w:tr>
        <w:trPr>
          <w:trHeight w:val="257"/>
        </w:trPr>
        <w:tc>
          <w:tcPr>
            <w:tcW w:w="574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b w:val="1"/>
                <w:bCs w:val="1"/>
                <w:color w:val="auto"/>
                <w:w w:val="95"/>
              </w:rPr>
              <w:t>55</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Percentile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100% (Target)**</w:t>
            </w:r>
          </w:p>
        </w:tc>
      </w:tr>
      <w:tr>
        <w:trPr>
          <w:trHeight w:val="256"/>
        </w:trPr>
        <w:tc>
          <w:tcPr>
            <w:tcW w:w="574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4"/>
              </w:rPr>
              <w:t>75</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Percentile</w:t>
            </w:r>
          </w:p>
        </w:tc>
        <w:tc>
          <w:tcPr>
            <w:tcW w:w="550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574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6"/>
              </w:rPr>
              <w:t>&gt; 75</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 (Maximum)</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Subject to linear interpolation</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payout requires above median performance and the applicable payout will be capped at target if our company’s absolute TSR performance for the relevant measurement period is negative, irrespective of our company’s percentile ranking for such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RSUs valued at approximately $625,000 are granted to the CEO annually.</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number of RSUs to be granted each August 12 with the foregoing $625,000 value is based on the 30-day volume weighted average price of Kornit’s ordinary shares over the 30-day period preceding each such grant date.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over a four-year period, with 25% of the RSUs vesting upon the first anniversary of the grant date and an additional 6.25% of the RSUs vesting upon the conclusion of each of the next 12 quarters thereafter, subject to the CEO’s continuous employment.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“double trigger” vesting and acceleration of vesting due to termination of the CEO in certain circumstances.</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Options valued at approximately $625,000 (the number of options to be granted each August 12 to be determined based on the binomial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methodology as of the date of grant) are granted to the CEO annually.</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have an exercise price equal to the closing price of Kornit’s ordinary shares on the grant date;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Mr. Samuel’s continued employment as our CEO, the options vest over a four-year period, with 25% of the options vesting upon the first anniversary of the grant date and an additional 6.25% of the options vesting upon the conclusion of each of the next 12 quarters thereafter, subject to the CEO’s continuous employment;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“double trigger” vesting and acceleration of vesting due to termination of the CEO in certain circumstances;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have a ten-year term, at the conclusion of which any unexercised options would expire.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Condition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terms for our CEO are subject, in the case of annual bonus and long-term incentive/equity compensation, to a potential repayment obligation to our Company or cancellation (as applicable), under certain circumstances, as described in our compensation policy. In particular, in the event of an accounting restatement, we would be entitled to recover from the CEO a bonus payment in the amount by which it exceeds the bonus amount that would have been paid under the financial statements, as restated. In the case of performance-based equity compensation,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TSR PSUs, which vest based on the performance of our share price (in comparison to the S&amp;P 500 index companies), which itself derives in part from our reported financial results, we may cancel vested TSR PSUs to the extent that our share price following the accounting restatement drops below the level at which it minimally would have had to be in order for the TSR PSUs to have vested. If the subject TSR PSUs have been settled for underlying shares and the shares have been sold on the market already, we may seek monetary recovery to the extent the TSR PSUs would not have vested originally based on our share price following the accounting restatement.</w:t>
      </w:r>
    </w:p>
    <w:p>
      <w:pPr>
        <w:spacing w:after="0" w:line="188"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Our right to recoup an excess payment/equity grant to our CEO applies to cash and equity incentive compensation paid during the three completed fiscal years immediately preceding the date on which we are required to prepare the accounting restatement or the CEO engaged in the misconduct. In order to recoup any such amounts, we must make a claim for recoupment prior to the second anniversary of the fiscal year end of the restated financial statements (as per the terms of our compensation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Hedging/Pledging Restrictions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ensure that the equity portion of our CEO’s compensation package serves solely to motivate our CEO to create value for our shareholders, our CEO is prohibited from creating “short” positions or engaging in other hedging activity with respect to our ordinary shares, which restrictions are based on our insider trading policy, and apply equally to our CEO. For a similar reason, our CEO will generally be prohibited from pledging the equity to be granted to him as collateral for a loan that may be received by him.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Financial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our financial statements at the end of this annual report, starting at page F-1,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Sales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total export sales by our company for each of the fiscal years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Export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219,400</w:t>
            </w:r>
          </w:p>
        </w:tc>
        <w:tc>
          <w:tcPr>
            <w:tcW w:w="160" w:type="dxa"/>
            <w:vAlign w:val="bottom"/>
            <w:shd w:val="clear" w:color="auto" w:fill="CCEEFF"/>
          </w:tcPr>
          <w:p>
            <w:pPr>
              <w:spacing w:after="0"/>
              <w:rPr>
                <w:sz w:val="18"/>
                <w:szCs w:val="18"/>
                <w:color w:val="auto"/>
              </w:rPr>
            </w:pPr>
          </w:p>
        </w:tc>
      </w:t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Total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75"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Export sales, as presented, are defined as sales to customers located outside of Israel (where our headquarters are located).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a part of the ordinary course of our business. Currently, and in the recent past, other than as described below,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Lawsuits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15, 2023, a securities class action complaint was filed by a shareholder of Kornit in U.S. federal court in New Jersey, naming our company, our chief executive officer, Ronen Samuel, and our former chief financial officer, Alon Rozner, as defendants. The complaint asserted claims under Sections 10(b) and 20(a) of the Exchange Act, and Rule 10b-5 promulgated thereunder, and sought unspecified damages. The complaint alleged misrepresentations by our company in our Exchange Act disclosures which caused our ordinary shares to trade at artificially inflated prices during the period between February 2021 and July 2022.</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17, 2023, an additional securities class action complaint was filed by a shareholder of Kornit in U.S. federal court in New Jersey, naming our company, our directors during the subject period (described below), our chief executive officer, Ronen Samuel, our former chief financial officer, Alon Rozner, the underwriters for our November 2021 follow-on public offering and Amazon (which sold shares in that public offering) as defendants. The complaint asserted claims under Sections 11, 12(a)(2) and 15 of the Securities Act, Sections 10(b) and 20(a) of the Exchange Act, and Rule 10b-5 promulgated under the Exchange Act, and sought unspecified damages. The complaint alleged false and misleading statements by our company in our registration statement and prospectus supplement for the November 2021 follow-on offering and in our Exchange Act disclosures which caused our ordinary shares to be sold in that offering, and to trade in an ongoing manner, at artificially inflated prices during the period between August 2021 and July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two actions were consolidated on August 30, 2023, and a consolidated complaint was filed on October 27, 2023. The amended complaint asserted claims under both the Securities Act and Exchange Act on behalf of putative classes of Kornit shareholders who acquired shares between February 17, 2021, and July 5, 2022, or purchased in our November 2021 follow-on public offering. The amended complaint seeks unspecified damages.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Defendants moved to dismiss the consolidated complaint on December 21, 2023. At oral argument on August 15, 2024, the court dismissed the complaint in its entirety, without prejudice, allowing plaintiffs to replead. Plaintiffs filed an amended complaint on November 8, 2024, which continues to assert claims against the Company, Mr. Samuel and Mr. Rozner, and the underwriters for the November 2021 offering, but no longer named any other defendants. On January 24, 2025, the defendants moved to dismiss the amended complaint.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early September 2025, the court heard oral argument on the defendants’ motions to dismiss. At the argument, the court dismissed most of the alleged misstatements from the case, and dismissed the Securities Act claims and the underwriter defendants from the case, but allowed the plaintiffs’ Exchange Act claims to proceed as to five specific statements relating to Kornit’s service contracts, position as a company, and financial results. On December 4, 2025, defendants filed a motion for judgment on the pleadings as to one of the statements remaining in the case. The motion is fully briefed and currently pending before the court.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lawsuits are without merit and have been defending against these cases vigorously. As of the date hereof, we are unable to estimate a range of loss, if any, that could result were there to be adverse final decisions in these cases, and estimated liabilities have not been recorded by us in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reduce the trading price of our ordinary shares substantially for an extended period of time, we may potentially use a portion of our cash reserves toward share repurchases, as we did with our $100 million share repurchase program approved in September 2024 and our new $100 million share repurchase program approved in November 2025. We view that as a way of returning value to our shareholders.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in Exhibit 2.2 to this annual report, “Description of Kornit Digital Ltd. Ordinary Shares- Dividend and Liquidation Rights” for an explanation concerning the payment of dividends under Israeli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The Offer and Listing</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Listing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been quoted on the Nasdaq Global Select Market under the symbol “KRNT” since April 2,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25, 2026, the closing sales price of our ordinary shares on the Nasdaq Global Select Market was $15.07.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“Listing Details”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Articles of Association</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10.B of Form 20-F has been provided in Exhibit 2.2 to this annual report. The content of Exhibit 2.2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contract within the two years prior to the date of this annual report, other than contracts entered into in the ordinary course of business, or as otherwise described below in this ITEM 10.C.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Amazon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agreed-upon prices which are subject to volume. We also agreed to provide maintenance services and extended warranties to Amazon at agreed-upon prices.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Purchase Agreement provides for an “end of life” program. We are required to notify Amazon 12 months in advance if we intend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was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Agreements and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In January 2017, we entered into a transaction agreement with Amazon pursuant to which we issued to Amazon a warrant to purchase our ordinary shares. That warrant vested and was exercised, in its entirety, and all underlying shares were sold by Amazon prior to 2023. On September 14, 2020, we and Amazon entered into a new transaction agreement, or the New Transaction Agreement, pursuant to which we issued to an affiliate of Amazon a warrant, or the New Warrant, to acquire up to 3,401,028 of our ordinary shares, or the New Warrant Shares, at a purchase price of $59.26 per share, which is based on the 30-trading day VWAP prior to the execution of the New Transaction Agreement. The New Warrant also provides for cashless (net) exercise.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Warrant Shares underlying the New Warrant are subject to vesting as a function of payments of up to an aggregate of $400 million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Amazon and its affiliates over a five-year period for two different categories of product lines and services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Existing Product</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New Product Lines</w:t>
            </w:r>
          </w:p>
        </w:tc>
      </w:tr>
      <w:tr>
        <w:trPr>
          <w:trHeight w:val="245"/>
        </w:trPr>
        <w:tc>
          <w:tcPr>
            <w:tcW w:w="5860" w:type="dxa"/>
            <w:vAlign w:val="bottom"/>
          </w:tcPr>
          <w:p>
            <w:pPr>
              <w:spacing w:after="0"/>
              <w:rPr>
                <w:sz w:val="21"/>
                <w:szCs w:val="21"/>
                <w:color w:val="auto"/>
              </w:rPr>
            </w:pPr>
          </w:p>
        </w:tc>
        <w:tc>
          <w:tcPr>
            <w:tcW w:w="3820" w:type="dxa"/>
            <w:vAlign w:val="bottom"/>
            <w:gridSpan w:val="4"/>
          </w:tcPr>
          <w:p>
            <w:pPr>
              <w:ind w:left="2180"/>
              <w:spacing w:after="0"/>
              <w:rPr>
                <w:sz w:val="20"/>
                <w:szCs w:val="20"/>
                <w:color w:val="auto"/>
              </w:rPr>
            </w:pPr>
            <w:r>
              <w:rPr>
                <w:rFonts w:ascii="Times New Roman" w:cs="Times New Roman" w:eastAsia="Times New Roman" w:hAnsi="Times New Roman"/>
                <w:sz w:val="18"/>
                <w:szCs w:val="18"/>
                <w:b w:val="1"/>
                <w:bCs w:val="1"/>
                <w:color w:val="auto"/>
              </w:rPr>
              <w:t>Lines and Services</w:t>
            </w:r>
          </w:p>
        </w:tc>
        <w:tc>
          <w:tcPr>
            <w:tcW w:w="16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and Services</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Amount</w:t>
            </w:r>
          </w:p>
        </w:tc>
        <w:tc>
          <w:tcPr>
            <w:tcW w:w="2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million</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million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Vesting Shares</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1,943,445</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1,457,583</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Vesting Shares per $5 Million Payment</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38,869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48,587</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 to any product line that has not been purchased by Amazon before the date of the issuance of the New Warrant and may be purchased by Amazon in the future. “New” products include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New Warrant Shares issuable upon exercise of the New Warrant are subject to customary anti-dilution adjustments.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New Warrant also limits Amazon’s beneficial ownership to 4.999% of our outstanding shares unless Amazon waives this limit upon 61 days’ notice, in which case Amazon’s beneficial ownership is then limited to 9.999% of our outstanding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New Transaction Agreement includes customary representations, warranties and covenants of our company and Amazon. The New Transaction Agreement restricts any transfer of the New Warrant and New Warrant Shares issuable thereunder, except under certain circumstances set forth in the New Transaction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New Transaction Agreement, the registration rights that applied under the Original Transaction Agreement to Original Warrant Shares are deemed to apply to the New Warrant Shares as well.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New Warrant Shares issued under the New Warrant or that remain unexercised under the New Warrant represent less than 2% of our outstanding shares.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additional New Warrant Shares that vested over the course of the year ended December 31, 2025. As of December 31, 2025, 1,943,445 New Warrant Shares had vested and were issuable under the New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Material Contracts</w:t>
      </w:r>
    </w:p>
    <w:p>
      <w:pPr>
        <w:spacing w:after="0" w:line="225"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Material Contract</w:t>
      </w:r>
      <w:r>
        <w:rPr>
          <w:sz w:val="20"/>
          <w:szCs w:val="20"/>
          <w:color w:val="auto"/>
        </w:rPr>
        <w:tab/>
      </w:r>
      <w:r>
        <w:rPr>
          <w:rFonts w:ascii="Times New Roman" w:cs="Times New Roman" w:eastAsia="Times New Roman" w:hAnsi="Times New Roman"/>
          <w:sz w:val="17"/>
          <w:szCs w:val="17"/>
          <w:b w:val="1"/>
          <w:bCs w:val="1"/>
          <w:color w:val="auto"/>
        </w:rPr>
        <w:t>Location of Description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56"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-296545</wp:posOffset>
            </wp:positionV>
            <wp:extent cx="7132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180" w:space="560"/>
            <w:col w:w="550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Ltd. Compensation Policy</w:t>
            </w:r>
          </w:p>
        </w:tc>
        <w:tc>
          <w:tcPr>
            <w:tcW w:w="69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“ITEM 6.C. Board Practices-Board Committees-Compensation Committee</w:t>
            </w:r>
          </w:p>
        </w:tc>
      </w:tr>
      <w:tr>
        <w:trPr>
          <w:trHeight w:val="234"/>
        </w:trPr>
        <w:tc>
          <w:tcPr>
            <w:tcW w:w="4340" w:type="dxa"/>
            <w:vAlign w:val="bottom"/>
            <w:shd w:val="clear" w:color="auto" w:fill="CCEEFF"/>
          </w:tcPr>
          <w:p>
            <w:pPr>
              <w:spacing w:after="0"/>
              <w:rPr>
                <w:sz w:val="20"/>
                <w:szCs w:val="20"/>
                <w:color w:val="auto"/>
              </w:rPr>
            </w:pPr>
          </w:p>
        </w:tc>
        <w:tc>
          <w:tcPr>
            <w:tcW w:w="69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and Compensation Policy.”</w:t>
            </w: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type w:val="continuous"/>
        </w:sectPr>
      </w:pPr>
    </w:p>
    <w:p>
      <w:pPr>
        <w:ind w:left="180" w:right="160" w:hanging="161"/>
        <w:spacing w:after="0" w:line="282" w:lineRule="auto"/>
        <w:rPr>
          <w:sz w:val="20"/>
          <w:szCs w:val="20"/>
          <w:color w:val="auto"/>
        </w:rPr>
      </w:pPr>
      <w:r>
        <w:rPr>
          <w:rFonts w:ascii="Times New Roman" w:cs="Times New Roman" w:eastAsia="Times New Roman" w:hAnsi="Times New Roman"/>
          <w:sz w:val="18"/>
          <w:szCs w:val="18"/>
          <w:color w:val="auto"/>
        </w:rPr>
        <w:t>OEM Supply Agreement, dated December 3, 2015, between us and FujiFilm Dimatix, Inc.</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“ITEM 3.D. Risk Factors- Risks Related to Our Business and Our Industry-Risk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-296545</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020" w:space="720"/>
            <w:col w:w="5500"/>
          </w:cols>
          <w:pgMar w:left="320" w:top="877" w:right="339" w:bottom="1440" w:gutter="0" w:footer="0" w:header="0"/>
          <w:type w:val="continuous"/>
        </w:sect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Manufacturing Services Agreement, dated as of May 2015, between us and Flex</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“ITEM 3.D. Risk Factors- Risks Related to Our Business and Our Industry-Risk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-296545</wp:posOffset>
            </wp:positionV>
            <wp:extent cx="7132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420" w:space="320"/>
            <w:col w:w="5500"/>
          </w:cols>
          <w:pgMar w:left="320" w:top="877" w:right="339" w:bottom="1440" w:gutter="0" w:footer="0" w:header="0"/>
          <w:type w:val="continuous"/>
        </w:sect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Manufacturing Services Agreement, dated as of February 26, 2019, between us and Sanmina-SCI Israel Medical Systems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“ITEM 3.D. Risk Factors- Risks Related to Our Business and Our Industry-Risk factor titled “If our relationships with suppliers...”</w:t>
      </w:r>
    </w:p>
    <w:p>
      <w:pPr>
        <w:spacing w:after="0" w:line="171" w:lineRule="exact"/>
        <w:rPr>
          <w:sz w:val="20"/>
          <w:szCs w:val="20"/>
          <w:color w:val="auto"/>
        </w:rPr>
      </w:pPr>
    </w:p>
    <w:p>
      <w:pPr>
        <w:sectPr>
          <w:pgSz w:w="11900" w:h="16838" w:orient="portrait"/>
          <w:cols w:equalWidth="0" w:num="2">
            <w:col w:w="5500" w:space="240"/>
            <w:col w:w="550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Office and Parking Space Lease Agreement, dated as of December 17, 2007</w:t>
            </w:r>
          </w:p>
        </w:tc>
        <w:tc>
          <w:tcPr>
            <w:tcW w:w="5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“ITEM 4.D. Property, Plant and Equipment.”</w:t>
            </w: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between us and Industrial Building Corporation, as amended</w:t>
            </w:r>
          </w:p>
        </w:tc>
        <w:tc>
          <w:tcPr>
            <w:tcW w:w="5760" w:type="dxa"/>
            <w:vAlign w:val="bottom"/>
            <w:shd w:val="clear" w:color="auto" w:fill="CCEEFF"/>
          </w:tcPr>
          <w:p>
            <w:pPr>
              <w:spacing w:after="0"/>
              <w:rPr>
                <w:sz w:val="20"/>
                <w:szCs w:val="20"/>
                <w:color w:val="auto"/>
              </w:rPr>
            </w:pPr>
          </w:p>
        </w:tc>
      </w:tr>
      <w:tr>
        <w:trPr>
          <w:trHeight w:val="216"/>
        </w:trPr>
        <w:tc>
          <w:tcPr>
            <w:tcW w:w="5480" w:type="dxa"/>
            <w:vAlign w:val="bottom"/>
          </w:tcPr>
          <w:p>
            <w:pPr>
              <w:spacing w:after="0"/>
              <w:rPr>
                <w:sz w:val="18"/>
                <w:szCs w:val="18"/>
                <w:color w:val="auto"/>
              </w:rPr>
            </w:pPr>
          </w:p>
        </w:tc>
        <w:tc>
          <w:tcPr>
            <w:tcW w:w="5760" w:type="dxa"/>
            <w:vAlign w:val="bottom"/>
          </w:tcPr>
          <w:p>
            <w:pPr>
              <w:spacing w:after="0"/>
              <w:rPr>
                <w:sz w:val="18"/>
                <w:szCs w:val="18"/>
                <w:color w:val="auto"/>
              </w:rPr>
            </w:pPr>
          </w:p>
        </w:tc>
      </w:tr>
      <w:tr>
        <w:trPr>
          <w:trHeight w:val="198"/>
        </w:trPr>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 dated December 2017 between Bonanno Real Estate Group I, L.P.</w:t>
            </w:r>
          </w:p>
        </w:tc>
        <w:tc>
          <w:tcPr>
            <w:tcW w:w="576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“ITEM 4.D. Property, Plant and Equipment.”</w:t>
            </w: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Kornit Digital North America, Inc.</w:t>
            </w:r>
          </w:p>
        </w:tc>
        <w:tc>
          <w:tcPr>
            <w:tcW w:w="5760" w:type="dxa"/>
            <w:vAlign w:val="bottom"/>
            <w:shd w:val="clear" w:color="auto" w:fill="CCEEFF"/>
          </w:tcPr>
          <w:p>
            <w:pPr>
              <w:spacing w:after="0"/>
              <w:rPr>
                <w:sz w:val="20"/>
                <w:szCs w:val="20"/>
                <w:color w:val="auto"/>
              </w:rPr>
            </w:pPr>
          </w:p>
        </w:tc>
      </w:tr>
      <w:tr>
        <w:trPr>
          <w:trHeight w:val="871"/>
        </w:trPr>
        <w:tc>
          <w:tcPr>
            <w:tcW w:w="54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right"/>
              <w:ind w:right="5390"/>
              <w:spacing w:after="0"/>
              <w:rPr>
                <w:sz w:val="20"/>
                <w:szCs w:val="20"/>
                <w:color w:val="auto"/>
              </w:rPr>
            </w:pPr>
            <w:r>
              <w:rPr>
                <w:rFonts w:ascii="Times New Roman" w:cs="Times New Roman" w:eastAsia="Times New Roman" w:hAnsi="Times New Roman"/>
                <w:sz w:val="18"/>
                <w:szCs w:val="18"/>
                <w:color w:val="auto"/>
                <w:w w:val="96"/>
              </w:rPr>
              <w:t>100</w:t>
            </w:r>
          </w:p>
        </w:tc>
      </w:tr>
    </w:tbl>
    <w:p>
      <w:pPr>
        <w:sectPr>
          <w:pgSz w:w="11900" w:h="16838" w:orient="portrait"/>
          <w:cols w:equalWidth="0" w:num="1">
            <w:col w:w="11240"/>
          </w:cols>
          <w:pgMar w:left="320" w:top="877"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ownership or voting of our ordinary shares by non-residents of Israel is not restricted in any way by our articles or by the laws of the State of Israel, other than for citizens of countries which are in a state of war with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Taxes Applicable to Non-Israeli Resident Shareholders.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2025) unless the benefiting provisions of an applicable treaty applies.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non-Israeli 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ITA may require from shareholders who are not liable for Israeli tax to sign declarations in forms specified by that authority or obtain a specific exemption from the ITA to confirm their status as non-Israeli residents, and, in the absence of such declarations or exemptions, may require the purchaser of the shares to withhold taxes at source.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Non-Israeli Shareholders on Receipt of Dividends.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 Preferred Enterprise, or such reduced rate as may be provided under an applicable tax treaty (subject to the receipt in advance of a valid certificate from the ITA allowing for a reduced tax rate, or such lower tax rate as may be provided in an applicable tax treaty).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162"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Tax.</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Individuals who are subject to tax in Israel (whether any such individual is an Israeli resident or non-Israeli resident) are also subject to an additional tax at a rate of 3% on annual income exceeding NIS 721,560 for 2025, which amount is generally linked to the annual change in the Israeli consumer price index (with the exception that based on Israeli new legislation, such amount, and certain other statutory amounts, will not be linked to the Israeli consumer price index for the years 2025-2027), including, but not limited to, dividends, interest and capital gain. According to new legislation, in effect as of January 1, 2025, an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2% excess tax is imposed on Capital-Sourced Income (defined as income from any source other than employment income, business income or income from “personal effort”), to the extent that the Individual’s Capital Sourced Income exceeds the specified threshold of NIS 721,560 (and regardless of the employment/business income amount of such individual). This new excess tax applies, among other things, to income from capital gains, dividends, interest, rental income, or the sale of real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U.S. Federal Income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0"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as compensation for the performance of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our ordinary shares as part of a “hedging,” “integrated”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ordinary shares in connection with a trade or business conducted outside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consult your tax advisor with respect to the U.S. federal, state, local and foreign tax consequences of acquiring, owning and disposing of our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Treasury Regulations that apply to taxable years beginning on or after December 28, 2021 may in some circumstances prohibit a U.S. Holder from claiming a foreign tax credit unless the taxes are creditable under the U.S.-Israel Tax Treaty and the holder is eligible for benefits under the U.S.-Israel Tax Treaty and elects its application. Holders should consult their own tax advisors about the impact of, and any exception available to, the special sourcing rule described in this paragraph, and the desirability of making, and the method of making, such an election.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Israeli tax is imposed on the sale or other disposition of our ordinary shares, your amount realized will include the gross amount of the proceeds of the sale or other disposition before deduction of the Israeli tax. You should consult your tax adviser as to whether the Israeli tax on gains may be creditable against your U.S. federal income tax on foreign-source income from other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non-U.S. corporation will be classified as a PFIC for federal income tax purposes in any taxable year in which, after applying certain look through rules, either</w:t>
      </w:r>
    </w:p>
    <w:p>
      <w:pPr>
        <w:spacing w:after="0" w:line="162"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and the nature of our business, we believe that we were not classified as a PFIC for the taxable year ended December 31, 2025.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a decline in the value of our ordinary shares may result in our becoming a PFIC. Accordingly,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2026, provided that such U.S. Holder is eligible to make, and successfully makes, either a “mark-to-market” election or a qualified electing fund election described below for the taxable year in which its holding period begins.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should consult their tax advisors regarding whether we are a PFIC and the potential application of the PFIC rules.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Foreign Currency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Net Investment Income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Tax and Information Reporting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file with the SEC, within 120 days after the end of each subsequent fiscal year, an annual report on Form 20-F containing financial statements which will be examined and reported on, with an opinion expressed, by an independent public accounting firm. We also furnish to the SEC reports on Form 6-K containing quarterly unaudited financial information for the first three quarters of each fiscal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and other information regarding issuers that file electronically with the SEC. Our filings with the SEC are also available to the public through the SEC’s website at http://www.sec.gov. As permitted under Nasdaq Listing Rule 5250(d)(1) (C), we post our annual reports filed with the SEC on our website at http://www.kornit.com. We will furnish hard copies of such reports to our shareholders upon request free of charge. The information contained on our website is not part of this or any other report filed with or furnished to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Quantitative and Qualitative Disclosures About Market Risks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our international operations, currency exchange rates impact our financial performance. In 2025, approximately 85% of our revenues were denominated in U.S. dollars, 10% of our revenues were denominated in Euros and 5% of our revenues were denominated in Great Britain Pounds. Conversely, in 2025, approximately 19% of our purchases of raw materials and components of our systems and ink and other consumables were denominated in either NIS or in NIS prices that are linked to U.S. dollars. Similarly, a majority of our operating costs, which were largely comprised of labor costs, were denominated in NIS, due to our operations in Israel. Accordingly, our results of operations may be materially affected by fluctuations in the value of the U.S. dollar relative to the NIS and the Euro.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the changes in the exchange rates of the U.S. dollar against the NIS and the Euro: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 in Average</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Exchange Rate</w:t>
            </w: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the NIS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Euro</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figures above represent the change in the average exchange rate in the given year compared with the average exchange rate in the immediately preceding year. Negative figures represent depreciation of the U.S. dollar compared to the NIS or Euro (as applicable) and positive figures represent appreciation of the U.S. dollar compared to the NIS or Euro (as applicable). We estimate that a 10% increase or 10% decrease in the value of the NIS against the U.S. dollar would have decreased or increased our net income by approximately $(7.6 million) or $6.3 million in 2025, $(5.9 million) or $4.8 million in 2024, and $(8.5 million) or $7.0 million in 2023, respectively. We estimate that a 10% increase or 10% decrease in the value of the Euro against the U.S. dollar would have increased or decreased our net income by approximately $1.8 million or $(1.5 million) in 2025, $0.1 million or $(0.2 million) in 2024, and $0.9 million or $(1.2 million) in 2023,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to the U.S. dollar at the date of the transaction or the average exchange rate during the reporting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2025, 2024 and 2023, we entered into forward and option contracts to hedge against the risk of overall changes in future cash flow from payments of payroll and related expenses denominated in NIS.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fully protecting us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Liquidity Risk and Interest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investment strategy is to achieve a return that will allow us to preserve capital and maintain liquidity requirements. We invest primarily in debt securities, specifically corporate debt securities. By policy, we limit the amount of credit exposure to any one issuer. As of December 31, 2025 and December 31, 2024, we did not have any material (realized) losses on our marketable debt securities. We account for both fixed and variable rate securities at fair value with changes on gains and losses recorded in Other Comprehensive Income until the securities are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Market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believe that we have any material exposure to inflationary or other market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Description of Securities Other than Equity Securities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Defaults, Dividend Arrearages and Delinquencies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Material Modifications to the Rights of Security Holders and Use of Proceeds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8480"/>
        <w:spacing w:after="0"/>
        <w:rPr>
          <w:sz w:val="20"/>
          <w:szCs w:val="20"/>
          <w:color w:val="auto"/>
        </w:rPr>
      </w:pPr>
      <w:r>
        <w:rPr>
          <w:rFonts w:ascii="Times New Roman" w:cs="Times New Roman" w:eastAsia="Times New Roman" w:hAnsi="Times New Roman"/>
          <w:sz w:val="18"/>
          <w:szCs w:val="18"/>
          <w:b w:val="1"/>
          <w:bCs w:val="1"/>
          <w:color w:val="auto"/>
        </w:rPr>
        <w:t xml:space="preserve">A-E.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2025. Based on their evaluation, our principal executive officer and principal financial officer concluded that as of December 31, 2025,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3"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internal control over financial reporting as of December 31, 2025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attestation report of Kost Forer Gabbay &amp; Kasierer, a member of EY Global, an independent registered public accounting firm in Israel, on our management’s assessment of our internal control over financial reporting as of December 31, 2025 is provided on page F-4, as included under Item 18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16A. </w:t>
      </w:r>
      <w:r>
        <w:rPr>
          <w:rFonts w:ascii="Times New Roman" w:cs="Times New Roman" w:eastAsia="Times New Roman" w:hAnsi="Times New Roman"/>
          <w:sz w:val="18"/>
          <w:szCs w:val="18"/>
          <w:b w:val="1"/>
          <w:bCs w:val="1"/>
          <w:u w:val="single" w:color="auto"/>
          <w:color w:val="auto"/>
        </w:rPr>
        <w:t>Audit Committee Financial Expert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Naama Halevi Davidov, who serves on the audit committee of our board of directors and who meets the “independent director” definition under the Nasdaq Listing Rules, qualifies as an “audit committee financial expert,” as defined under the rules and regulations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16B. </w:t>
      </w:r>
      <w:r>
        <w:rPr>
          <w:rFonts w:ascii="Times New Roman" w:cs="Times New Roman" w:eastAsia="Times New Roman" w:hAnsi="Times New Roman"/>
          <w:sz w:val="18"/>
          <w:szCs w:val="18"/>
          <w:b w:val="1"/>
          <w:bCs w:val="1"/>
          <w:u w:val="single" w:color="auto"/>
          <w:color w:val="auto"/>
        </w:rPr>
        <w:t>Code of Ethics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applicable to our executive officers, directors and all other employees. A copy of the code, as most recently updated in March 2025,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w:t>
      </w:r>
    </w:p>
    <w:p>
      <w:pPr>
        <w:spacing w:after="0" w:line="3" w:lineRule="exact"/>
        <w:rPr>
          <w:sz w:val="20"/>
          <w:szCs w:val="20"/>
          <w:color w:val="auto"/>
        </w:rPr>
      </w:pPr>
    </w:p>
    <w:p>
      <w:pPr>
        <w:jc w:val="both"/>
        <w:ind w:firstLine="8"/>
        <w:spacing w:after="0" w:line="255" w:lineRule="auto"/>
        <w:tabs>
          <w:tab w:leader="none" w:pos="22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our website within five business days following the date of amendment or waiver in accordance with the requirements of Instruction 4 to such Item 16B or (ii) through the filing of a Report of Foreign Private Issuer on Form 6-K. We did not provide such a waiver or adopt such an amendment during the fiscal year ended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16C. </w:t>
      </w:r>
      <w:r>
        <w:rPr>
          <w:rFonts w:ascii="Times New Roman" w:cs="Times New Roman" w:eastAsia="Times New Roman" w:hAnsi="Times New Roman"/>
          <w:sz w:val="18"/>
          <w:szCs w:val="18"/>
          <w:b w:val="1"/>
          <w:bCs w:val="1"/>
          <w:u w:val="single" w:color="auto"/>
          <w:color w:val="auto"/>
        </w:rPr>
        <w:t>Principal Accountant Fees and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Fees billed or expected to be billed by Kost, Forer, Gabbay &amp; Kasierer, a member of EY Global, and other members of EY Global for professional services for each of the last two fiscal years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24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1"/>
                <w:szCs w:val="21"/>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 thousands of dollars)</w:t>
            </w:r>
          </w:p>
        </w:tc>
        <w:tc>
          <w:tcPr>
            <w:tcW w:w="11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7" w:name="page118"/>
    <w:bookmarkEnd w:id="1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fees” include fees for services rendered by our independent registered public accounting firm with respect to government incentives and other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16D. </w:t>
      </w:r>
      <w:r>
        <w:rPr>
          <w:rFonts w:ascii="Times New Roman" w:cs="Times New Roman" w:eastAsia="Times New Roman" w:hAnsi="Times New Roman"/>
          <w:sz w:val="18"/>
          <w:szCs w:val="18"/>
          <w:b w:val="1"/>
          <w:bCs w:val="1"/>
          <w:u w:val="single" w:color="auto"/>
          <w:color w:val="auto"/>
        </w:rPr>
        <w:t>Exemptions from the Listing Standards for Audit Committees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16E. </w:t>
      </w:r>
      <w:r>
        <w:rPr>
          <w:rFonts w:ascii="Times New Roman" w:cs="Times New Roman" w:eastAsia="Times New Roman" w:hAnsi="Times New Roman"/>
          <w:sz w:val="18"/>
          <w:szCs w:val="18"/>
          <w:b w:val="1"/>
          <w:bCs w:val="1"/>
          <w:u w:val="single" w:color="auto"/>
          <w:color w:val="auto"/>
        </w:rPr>
        <w:t>Purchases of Equity Securities by the Issuer and Affiliated Purchasers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Share Repurchase Program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10, 2022, we announced that our board of directors had approved a $75 million repurchase program for our ordinary shares, subject to Israeli court approval, which was obtained on December 15, 2022 for an initial six-month repurchase period. On July 18, 2023, we received Israeli court approval for a six-month extension of the repurchase program covering the then-remaining available amount under the program. On December 17, 2023, we requested Israeli court approval for an additional six-month extension for the repurchase of up to the remaining available amount under the repurchase program, which was obtained on January 22, 2024. That six-month extension period expired in July 2024, and we have not sought a further extension for that repurchase program, and we therefore cannot make further repurchases under that program since that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2024 Share Repurchase Program</w:t>
      </w:r>
    </w:p>
    <w:p>
      <w:pPr>
        <w:spacing w:after="0" w:line="22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On September 16, 2024, we announced that our board of directors had authorized an additional program for our repurchase of up to $100 million of our ordinary shares, from time to time. In order to facilitate our repurchase of ordinary shares under this program, on November 10, 2024, we entered into an accelerated share repurchase agreement, or the ASR Agreement, with Goldman Sachs International, or Goldman Sachs, to repurchase $75 million of our ordinary shares. Pursuant to the agreement, we made a payment of $75 million to Goldman Sachs on November 12, 2024. In November 2024 and December 2024, we received deliveries of 986,194 and 839,707 of our ordinary shares, respectively, from Goldman Sachs for repurchase pursuant to the agreement. In 2025 (through November 2025), we received an additional 1,732,445 ordinary shares from Goldman Sachs for repurchase, which constituted the remaining shares repurchased under the ASR Agreement. Share repurchases under the September 2024 repurchase program reduced, on an immediate basis, our outstanding share total. In addition, the repurchases have also reduced the weighted average number of ordinary shares outstanding that was used for calculation of our basic and diluted earnings per share for each of the years ended December 31, 2025 and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Share Repurchase Program</w:t>
      </w:r>
    </w:p>
    <w:p>
      <w:pPr>
        <w:spacing w:after="0" w:line="22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November 17, 2025, our board of directors authorized a new $100 million share repurchase program, under which repurchases may be effected from time to time, subject to market conditions and applicable legal requirements, including applicable Israeli law creditor notification procedures. Repurchases under this new program may be made by way of a variety of methods, including open market purchases, privately negotiated transactions or otherwise, all in accordance with U.S. securities laws and regulations, including Rule 10b-18 under the Exchange Act. We may also, from time to time, enter into plans that are compliant with Rule 10b5-1 of the Exchange Act to facilitate repurchases of ordinary shares under this program. As of February 27, 2026, 1,369,643 ordinary shares have been repurchased under the November 2025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 re: Share Repurchase Programs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 repurchase programs do not obligate us to acquire any particular amount of our ordinary shares, and they may be modified, suspended, or terminated, at any time at our discretion. The timing and actual number of shares repurchased may depend on a variety of factors, including price, general business and market conditions, and alternative investment opportunities.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Section 7C of the Israeli Companies Regulations (Leniencies for Companies Whose Securities are Listed for Trading Outside of Israel), 5760-2000, or the Leniency Regulations, the September 2024 and November 2025 share repurchase programs did not require approval by an Israeli court and went into effect 30 days after notice of our board of directors’ adoption of the applicable repurchase program was provided to our material creditors and secured creditors (if any). All repurchased shares (under both repurchase programs) are classified as treasury shares.</w:t>
      </w:r>
    </w:p>
    <w:p>
      <w:pPr>
        <w:spacing w:after="0" w:line="180"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After taking into account any repurchases effected through February 28, 2026, as of that date, under our September 2024 share repurchase program, there were no remaining funds available for further repurchases under the board authorization for that program (as the final repurchases under that program took place in November 2025). As of February 28, 2026, there was $80.6 million that remained available for further repurchases under the November 2025 share repurchase program. See “Note 10. Stockholders’ Equity” to our consolidated financial statements included in Item 18 of this annual report for additional information regarding our share repurchase programs.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the ordinary shares repurchased by us under all of our active repurchase programs during 2025. We have omitted from the table those months during which no repurchases were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of Shares that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Part of the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 (*)</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43,137,773(1)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788,345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788,345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21,308,808(1)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17,185,590(1)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17,185,590(1)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474,368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474,368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6,435,966(1)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283,834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283,834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100,000,000(2)</w:t>
            </w:r>
          </w:p>
        </w:tc>
        <w:tc>
          <w:tcPr>
            <w:tcW w:w="0" w:type="dxa"/>
            <w:vAlign w:val="bottom"/>
          </w:tcPr>
          <w:p>
            <w:pPr>
              <w:spacing w:after="0"/>
              <w:rPr>
                <w:sz w:val="1"/>
                <w:szCs w:val="1"/>
                <w:color w:val="auto"/>
              </w:rPr>
            </w:pPr>
          </w:p>
        </w:tc>
      </w:tr>
      <w:tr>
        <w:trPr>
          <w:trHeight w:val="229"/>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97,951,351(2)</w:t>
            </w:r>
          </w:p>
        </w:tc>
        <w:tc>
          <w:tcPr>
            <w:tcW w:w="0" w:type="dxa"/>
            <w:vAlign w:val="bottom"/>
          </w:tcPr>
          <w:p>
            <w:pPr>
              <w:spacing w:after="0"/>
              <w:rPr>
                <w:sz w:val="1"/>
                <w:szCs w:val="1"/>
                <w:color w:val="auto"/>
              </w:rPr>
            </w:pPr>
          </w:p>
        </w:tc>
      </w:tr>
      <w:tr>
        <w:trPr>
          <w:trHeight w:val="27"/>
        </w:trPr>
        <w:tc>
          <w:tcPr>
            <w:tcW w:w="59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 2025</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3"/>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1,874,309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1,874,309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Excluding commissions.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0" w:type="dxa"/>
            <w:vAlign w:val="bottom"/>
            <w:vMerge w:val="continue"/>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line="282"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ordinary shares repurchased in a given month may not equal the product of the number of shares purchased and the average price paid per share due to rounding differences.</w:t>
      </w:r>
    </w:p>
    <w:p>
      <w:pPr>
        <w:spacing w:after="0" w:line="162" w:lineRule="exact"/>
        <w:rPr>
          <w:sz w:val="20"/>
          <w:szCs w:val="20"/>
          <w:color w:val="auto"/>
        </w:rPr>
      </w:pPr>
    </w:p>
    <w:p>
      <w:pPr>
        <w:ind w:left="580" w:hanging="572"/>
        <w:spacing w:after="0" w:line="282" w:lineRule="auto"/>
        <w:tabs>
          <w:tab w:leader="none" w:pos="5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dollar amounts remaining available for repurchase under our $100 million share repurchase program approved by our board of directors in September 2024, which repurchase program carried over into 2025.</w:t>
      </w:r>
    </w:p>
    <w:p>
      <w:pPr>
        <w:spacing w:after="0" w:line="161"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dollar amounts remaining available for repurchase under our new ($100 million) November 2025 share repurchase program (as no amounts remained available for further repurchases under our September 2024 share repurchase program as of the end of June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 xml:space="preserve">ITEM 16F. </w:t>
      </w:r>
      <w:r>
        <w:rPr>
          <w:rFonts w:ascii="Times New Roman" w:cs="Times New Roman" w:eastAsia="Times New Roman" w:hAnsi="Times New Roman"/>
          <w:sz w:val="18"/>
          <w:szCs w:val="18"/>
          <w:b w:val="1"/>
          <w:bCs w:val="1"/>
          <w:u w:val="single" w:color="auto"/>
          <w:color w:val="auto"/>
        </w:rPr>
        <w:t>Change in Registrant’s Certifying Accountant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16G. </w:t>
      </w:r>
      <w:r>
        <w:rPr>
          <w:rFonts w:ascii="Times New Roman" w:cs="Times New Roman" w:eastAsia="Times New Roman" w:hAnsi="Times New Roman"/>
          <w:sz w:val="18"/>
          <w:szCs w:val="18"/>
          <w:b w:val="1"/>
          <w:bCs w:val="1"/>
          <w:u w:val="single" w:color="auto"/>
          <w:color w:val="auto"/>
        </w:rPr>
        <w:t>Corporate Governance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this Item 16G of Form 20-F.</w:t>
      </w:r>
    </w:p>
    <w:p>
      <w:pPr>
        <w:spacing w:after="0" w:line="189" w:lineRule="exact"/>
        <w:rPr>
          <w:sz w:val="20"/>
          <w:szCs w:val="20"/>
          <w:color w:val="auto"/>
        </w:rPr>
      </w:pPr>
    </w:p>
    <w:p>
      <w:pPr>
        <w:jc w:val="both"/>
        <w:ind w:left="980" w:hanging="324"/>
        <w:spacing w:after="0" w:line="269"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requirement for shareholder meetings</w:t>
      </w:r>
      <w:r>
        <w:rPr>
          <w:rFonts w:ascii="Times New Roman" w:cs="Times New Roman" w:eastAsia="Times New Roman" w:hAnsi="Times New Roman"/>
          <w:sz w:val="18"/>
          <w:szCs w:val="18"/>
          <w:color w:val="auto"/>
        </w:rPr>
        <w:t xml:space="preserve">: As permitted under the Companies Law, pursuant to our articles, the quorum required for a general meeting of shareholders consists of at least two shareholders present in person, by proxy or by other voting instrument, who hold at least 25% of the voting power of our shares (and at an adjourned meeting, with some exceptions, two shareholders, regardless of the voting power associated with their shares), instead of 33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issued share capital, as required under the Nasdaq Listing Rules.</w:t>
      </w:r>
    </w:p>
    <w:p>
      <w:pPr>
        <w:spacing w:after="0" w:line="64"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 of Equity Compensation Plans</w:t>
      </w:r>
      <w:r>
        <w:rPr>
          <w:rFonts w:ascii="Times New Roman" w:cs="Times New Roman" w:eastAsia="Times New Roman" w:hAnsi="Times New Roman"/>
          <w:sz w:val="18"/>
          <w:szCs w:val="18"/>
          <w:color w:val="auto"/>
        </w:rPr>
        <w:t>: Pursuant to Israeli law, we seek shareholder approval for all corporate actions requiring such approval under the requirements of the Companies Law, which are different from, or in addition to, the requirements for seeking shareholder approval under Nasdaq Listing Rule 5635(c), which requires shareholder approval for the issuance of ordinary shares or other securities to officers, directors, employees or consultants under an equity compensation plan or arrangement, or for the adoption of, or a material amendment to, such a plan or arrangement. Israeli law only requires shareholder approval generally for an equity grant under a plan or arrangement for a director or the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16H. </w:t>
      </w:r>
      <w:r>
        <w:rPr>
          <w:rFonts w:ascii="Times New Roman" w:cs="Times New Roman" w:eastAsia="Times New Roman" w:hAnsi="Times New Roman"/>
          <w:sz w:val="18"/>
          <w:szCs w:val="18"/>
          <w:b w:val="1"/>
          <w:bCs w:val="1"/>
          <w:u w:val="single" w:color="auto"/>
          <w:color w:val="auto"/>
        </w:rPr>
        <w:t>Mine Safety 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16I. </w:t>
      </w:r>
      <w:r>
        <w:rPr>
          <w:rFonts w:ascii="Times New Roman" w:cs="Times New Roman" w:eastAsia="Times New Roman" w:hAnsi="Times New Roman"/>
          <w:sz w:val="18"/>
          <w:szCs w:val="18"/>
          <w:b w:val="1"/>
          <w:bCs w:val="1"/>
          <w:u w:val="single" w:color="auto"/>
          <w:color w:val="auto"/>
        </w:rPr>
        <w:t>Disclosure Regarding Foreign Jurisdictions that Prevent Inspections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 xml:space="preserve">ITEM 16J. </w:t>
      </w:r>
      <w:r>
        <w:rPr>
          <w:rFonts w:ascii="Times New Roman" w:cs="Times New Roman" w:eastAsia="Times New Roman" w:hAnsi="Times New Roman"/>
          <w:sz w:val="18"/>
          <w:szCs w:val="18"/>
          <w:b w:val="1"/>
          <w:bCs w:val="1"/>
          <w:u w:val="single" w:color="auto"/>
          <w:color w:val="auto"/>
        </w:rPr>
        <w:t>Insider Trading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the registrant’s securities by directors, senior management, and employees that is reasonably designed to promote compliance with applicable insider trading laws, rules and regulations, and any listing standards applicable to us. A copy of our insider trading policy was filed with the SEC on March 27, 2025, as Exhibit 11.1 to our annual report for the year ended December 31, 2024, and is incorporated by reference as Exhibit 11.1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16K. </w:t>
      </w:r>
      <w:r>
        <w:rPr>
          <w:rFonts w:ascii="Times New Roman" w:cs="Times New Roman" w:eastAsia="Times New Roman" w:hAnsi="Times New Roman"/>
          <w:sz w:val="18"/>
          <w:szCs w:val="18"/>
          <w:b w:val="1"/>
          <w:bCs w:val="1"/>
          <w:u w:val="single" w:color="auto"/>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prioritize the management of cybersecurity risk and the protection of information across our enterprise by embedding data protection and cybersecurity risk management in our operations. Our processes for assessing, identifying, and managing material risks from cybersecurity threats have been integrated into our overall risk management system and processes.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foundation of this approach, we have implemented a layered governance structure to help assess, identify and manage cybersecurity risks. Our privacy and cybersecurity policies encompass incident response procedures, information security and vendor management. In order to help develop these policies and procedures, we monitor the privacy and cybersecurity laws, regulations and guidance applicable to us in the regions where we do business (including ISO27001, GDPR and CSL\DSL\PIPL), as well as proposed privacy and cybersecurity laws, regulations, guidance and emerging risks.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undergo penetration testing and security assessments a few times per year, aligned with the risk profile of our systems. With respect to third party service providers, we obligate our main information technology vendors to adhere to privacy and cybersecurity measures, and we perform risk assessments of vendors having access to our systems or sensitive personal data, including their ability to protect data from unauthorized access.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described in Item 3.D “Risk Factors,” our operations rely on the secure processing, storage and transmission of confidential and other information in our computer systems and networks. Computer viruses, hackers, employee or vendor misconduct, and other external hazards could expose our information systems and those of our vendors to security breaches, cybersecurity incidents or other disruptions, any of which could materially and adversely affect our business, including by way of disruption of operations resulting from inability to carry out manufacturing, sales activity, shipping and other business operations, financial losses due to direct costs associated with investigation, remediation, and legal fees and indirect costs may encompass increased insurance premiums, loss of business due to damaged reputation and the need for significant investments in cybersecurity measures post-incident. While we have experienced cybersecurity incidents, to date, we are not aware that we have experienced a material cybersecurity incident during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sophistication of cybersecurity threats, including through the use of artificial intelligence, continues to increase, and the controls and preventative actions we take to reduce the risk of cybersecurity incidents and protect our systems, including the regular testing of our cybersecurity incident response plan, may be insufficient. In addition, to the extent we use new technology that could result in greater operational efficiency such as artificial intelligence, we may further expose our computer systems to the risk of cybersecurity incidents.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successfully completed an AICPA SOC 2 Type I examination for the Kornit X platform. The report from that examination covers the Trust Services Criteria for Security, Confidentiality, Availability, and Privacy, and provides independent assurance regarding the design of our controls as of the examination date. This achievement reflects our continued focus on strengthening governance, risk management, and control frameworks to protect customer data and support reliable and secure service delivery.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we maintained our ISO/IEC 27001 certification, reaffirming the effectiveness and maturity of our Information Security Management System (ISMS). Continued certification demonstrates our ongoing commitment to information security, risk management, and continuous improvement, and confirms our adherence to internationally recognized standards and best practices for safeguarding sensitive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2025, we made meaningful progress in advancing Kornit’s Business Continuity Plan (BCP), building on the completion of the Business Impact Analysis phase. Our efforts focused on further defining continuity strategies, strengthening operational resilience, and enhancing preparedness for potential disruptions. We expect to complete the BCP framework in 2026 and plan to conduct training and awareness initiatives to ensure organizational readiness and effective execution.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2025, we continued to adopt artificial intelligence–based solutions across various business and operational domains. Our Chief Information Security Officer (CISO) was actively involved in this process to ensure that security, privacy, and risk management considerations were integrated into the evaluation and adoption of such technologies, and that appropriate controls were maintained in alignment with Kornit’s cybersecurity and governance frameworks.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overall risk management approach, we prioritize the identification and management of cybersecurity risk at several levels, including Board oversight, executive commitment and employee training and awareness. Our Audit Committee, comprised of independent directors from our Board, oversees the Board’s responsibilities relating to the operational (including information technology (IT) risks, business continuity and data security) risk affairs of the Company. Our Audit Committee is informed of such risks through quarterly reports from our group Chief Information Security Officer (CISO). Our CISO has over 15 years of experience in the information security field. Before joining Kornit, our CISO held several senior security related positions in both the consulting industry and corporate environments.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CISO oversees the implementation and compliance of our information security standards and mitigation of information security related risks. We also have a management level committee and a cybersecurity incident team that support our processes to assess and manage cybersecurity risk as follows:</w:t>
      </w:r>
    </w:p>
    <w:p>
      <w:pPr>
        <w:spacing w:after="0" w:line="176" w:lineRule="exact"/>
        <w:rPr>
          <w:sz w:val="20"/>
          <w:szCs w:val="20"/>
          <w:color w:val="auto"/>
        </w:rPr>
      </w:pPr>
    </w:p>
    <w:p>
      <w:pPr>
        <w:jc w:val="both"/>
        <w:ind w:left="980" w:hanging="324"/>
        <w:spacing w:after="0" w:line="26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security committee, co-chaired by the CISO and our CEO, brings together IT, legal and other function leads. The information security provides a forum for these cross-functional members of management to consider emerging cybersecurity risks; review, approve, and update policies and standards as appropriate; and promote cross-functional collaboration to manage cybersecurity and privacy risks across the enterprise.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incident team includes our CISO, CIO and other members of the IT department, is alerted as appropriate to cybersecurity incidents, natural disasters and business outages and involves executives of the Company, such as the General Counsel and senior management as needed.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CISO summarizes the information pertaining to information security committee’s activities as appropriate and reports to the Audit Committee.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employee level, we maintain an experienced information technology team responsible for implementing our privacy and cybersecurity program and supporting the CISO in executing reporting, security, and mitigation functions. We conduct regular employee training on privacy and cybersecurity, records and information management, and phishing awareness, and we perform phishing simulations to reinforce secure behaviors. We actively promote cybersecurity risk awareness through ongoing communication and education across our employee population. In addition, during 2025, we started evaluating the implementation of AI-based security solutions to further enhance threat detection, response capabilities, and overall security posture.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37"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18.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pages F-1 through F-49 appended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19.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4.9.4</w:t>
      </w:r>
    </w:p>
    <w:p>
      <w:pPr>
        <w:spacing w:after="0" w:line="20" w:lineRule="exact"/>
        <w:rPr>
          <w:sz w:val="20"/>
          <w:szCs w:val="20"/>
          <w:color w:val="auto"/>
        </w:rPr>
      </w:pPr>
      <w:r>
        <w:rPr>
          <w:sz w:val="20"/>
          <w:szCs w:val="20"/>
          <w:color w:val="auto"/>
        </w:rPr>
        <w:br w:type="column"/>
      </w:r>
    </w:p>
    <w:p>
      <w:pPr>
        <w:spacing w:after="0" w:line="237"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Amended and Restated Articles of Association of Kornit Digital Ltd.</w:t>
        </w:r>
        <w:r>
          <w:rPr>
            <w:rFonts w:ascii="Times New Roman" w:cs="Times New Roman" w:eastAsia="Times New Roman" w:hAnsi="Times New Roman"/>
            <w:sz w:val="29"/>
            <w:szCs w:val="29"/>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Specimen ordinary share certificate of Kornit Digital Ltd.</w:t>
        </w:r>
        <w:r>
          <w:rPr>
            <w:rFonts w:ascii="Times New Roman" w:cs="Times New Roman" w:eastAsia="Times New Roman" w:hAnsi="Times New Roman"/>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Description of ordinary shares of Kornit Digital Ltd.#</w:t>
      </w:r>
    </w:p>
    <w:p>
      <w:pPr>
        <w:spacing w:after="0" w:line="190" w:lineRule="auto"/>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Form of Indemnification Agreement</w:t>
        </w:r>
        <w:r>
          <w:rPr>
            <w:rFonts w:ascii="Times New Roman" w:cs="Times New Roman" w:eastAsia="Times New Roman" w:hAnsi="Times New Roman"/>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2012 Share Incentive Plan</w:t>
        </w:r>
        <w:r>
          <w:rPr>
            <w:rFonts w:ascii="Times New Roman" w:cs="Times New Roman" w:eastAsia="Times New Roman" w:hAnsi="Times New Roman"/>
            <w:sz w:val="29"/>
            <w:szCs w:val="29"/>
            <w:u w:val="single" w:color="auto"/>
            <w:color w:val="0000EE"/>
            <w:vertAlign w:val="superscript"/>
          </w:rPr>
          <w:t>(4)</w:t>
        </w:r>
      </w:hyperlink>
    </w:p>
    <w:p>
      <w:pPr>
        <w:spacing w:after="0" w:line="185" w:lineRule="auto"/>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2015 Incentive Compensation Plan</w:t>
        </w:r>
        <w:r>
          <w:rPr>
            <w:rFonts w:ascii="Times New Roman" w:cs="Times New Roman" w:eastAsia="Times New Roman" w:hAnsi="Times New Roman"/>
            <w:sz w:val="29"/>
            <w:szCs w:val="29"/>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2025 Share Incentive Plan</w:t>
        </w:r>
        <w:r>
          <w:rPr>
            <w:rFonts w:ascii="Times New Roman" w:cs="Times New Roman" w:eastAsia="Times New Roman" w:hAnsi="Times New Roman"/>
            <w:sz w:val="29"/>
            <w:szCs w:val="29"/>
            <w:u w:val="single" w:color="auto"/>
            <w:color w:val="0000EE"/>
            <w:vertAlign w:val="superscript"/>
          </w:rPr>
          <w:t>(6)</w:t>
        </w:r>
      </w:hyperlink>
    </w:p>
    <w:p>
      <w:pPr>
        <w:spacing w:after="0" w:line="185" w:lineRule="auto"/>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Kornit Digital Ltd. Compensation Policy</w:t>
        </w:r>
        <w:r>
          <w:rPr>
            <w:rFonts w:ascii="Times New Roman" w:cs="Times New Roman" w:eastAsia="Times New Roman" w:hAnsi="Times New Roman"/>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808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jc w:val="both"/>
        <w:spacing w:after="0" w:line="246" w:lineRule="auto"/>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English summary of the Office and Parking Space Lease Agreement dated as of December 17, 2007, by and between the Registrant and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Industrial Building Corporation Ltd. as amended by Addendum, dated 2007, Addendum to Lease Agreement, dated 2007, Addendum to</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Lease Agreement, dated March 8, 2012, Addendum to Lease Agreement, dated 2012, Addendum to Lease Agreement, dated December 19,</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2012, Addendum to Lease Agreement, dated May 20, 2013, Addendum to Lease Agreement, dated January 12, 2014, Addendum to Lease</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Agreement, dated January 12, 2014, Addendum to Lease Agreement, dated December 27, 2015, Addendum to Lease Agreement, dated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December 28, 2015, Addendum to the Lease Agreement dated October 17, 2017, Addendum dated February 21, 2018, Addendum to the</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Lease Agreement, dated April 23, 2018, Addendum to the Lease Agreement dated December 26, 2018, Addendum to the Lease Agreement,</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dated January 3, 2019, Addendum to the Lease Agreement dated September 16, 2019, Addendum to the Lease Agreement, dated November</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28, 2019, Addendum to the Lease Agreement dated February 9, 2020, Addendum to the Lease Agreement, dated June 28, 2020, Addendum</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to the Lease Agreement, dated April 13, 2021, Addendum to the Lease Agreement, dated April 13, 2021, Addendum to the Lease</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Agreement, dated June 21, 2021, Addendum to the Lease Agreement, dated July 27, 2021, Addendum to the Lease Agreement, dated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October 10, 2021, Addendum to the Lease Agreement, dated November 14, 2021, Addendum to the Lease Agreement, dated December 28,</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 xml:space="preserve">2021, Addendum to the Lease Agreement, dated December 28, 2021 and Addendum to the Lease Agreement, dated April 28, 2022. </w:t>
        </w:r>
        <w:r>
          <w:rPr>
            <w:rFonts w:ascii="Times New Roman" w:cs="Times New Roman" w:eastAsia="Times New Roman" w:hAnsi="Times New Roman"/>
            <w:sz w:val="29"/>
            <w:szCs w:val="29"/>
            <w:u w:val="single" w:color="auto"/>
            <w:color w:val="0000EE"/>
            <w:vertAlign w:val="superscript"/>
          </w:rPr>
          <w:t>(8)</w:t>
        </w:r>
      </w:hyperlink>
    </w:p>
    <w:p>
      <w:pPr>
        <w:spacing w:after="0" w:line="181" w:lineRule="auto"/>
        <w:rPr>
          <w:rFonts w:ascii="Times New Roman" w:cs="Times New Roman" w:eastAsia="Times New Roman" w:hAnsi="Times New Roman"/>
          <w:sz w:val="16"/>
          <w:szCs w:val="16"/>
          <w:u w:val="single" w:color="auto"/>
          <w:color w:val="0000EE"/>
        </w:rPr>
      </w:pPr>
      <w:hyperlink r:id="rId154">
        <w:r>
          <w:rPr>
            <w:rFonts w:ascii="Times New Roman" w:cs="Times New Roman" w:eastAsia="Times New Roman" w:hAnsi="Times New Roman"/>
            <w:sz w:val="16"/>
            <w:szCs w:val="16"/>
            <w:u w:val="single" w:color="auto"/>
            <w:color w:val="0000EE"/>
          </w:rPr>
          <w:t>OEM Supply Agreement, dated December 3, 2015, among the Registrant and FujiFilm Dimatix, Inc.</w:t>
        </w:r>
        <w:r>
          <w:rPr>
            <w:rFonts w:ascii="Times New Roman" w:cs="Times New Roman" w:eastAsia="Times New Roman" w:hAnsi="Times New Roman"/>
            <w:sz w:val="25"/>
            <w:szCs w:val="25"/>
            <w:u w:val="single" w:color="auto"/>
            <w:color w:val="0000EE"/>
            <w:vertAlign w:val="superscript"/>
          </w:rPr>
          <w:t>†(9)</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300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Manufacturing Services Agreement, dated May 2015, by and between the Registrant and Flex (formerly known as Flextronics (Israel)</w:t>
        </w:r>
      </w:hyperlink>
    </w:p>
    <w:p>
      <w:pPr>
        <w:spacing w:after="0" w:line="190" w:lineRule="auto"/>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Ltd.)</w:t>
        </w:r>
        <w:r>
          <w:rPr>
            <w:rFonts w:ascii="Times New Roman" w:cs="Times New Roman" w:eastAsia="Times New Roman" w:hAnsi="Times New Roman"/>
            <w:sz w:val="29"/>
            <w:szCs w:val="29"/>
            <w:u w:val="single" w:color="auto"/>
            <w:color w:val="0000EE"/>
            <w:vertAlign w:val="superscript"/>
          </w:rPr>
          <w:t>†(10)</w:t>
        </w:r>
      </w:hyperlink>
    </w:p>
    <w:p>
      <w:pPr>
        <w:spacing w:after="0" w:line="185" w:lineRule="auto"/>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Master Purchase Agreement, dated January 10, 2017, between the Registrant and Amazon Corporate LLC</w:t>
        </w:r>
        <w:r>
          <w:rPr>
            <w:rFonts w:ascii="Times New Roman" w:cs="Times New Roman" w:eastAsia="Times New Roman" w:hAnsi="Times New Roman"/>
            <w:sz w:val="29"/>
            <w:szCs w:val="29"/>
            <w:u w:val="single" w:color="auto"/>
            <w:color w:val="0000EE"/>
            <w:vertAlign w:val="superscript"/>
          </w:rPr>
          <w:t>†(11)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Amendment 1 to Master Purchase Agreement, effective March 1, 2017, between the Registrant and Amazon Corporate LLC*</w:t>
        </w:r>
        <w:r>
          <w:rPr>
            <w:rFonts w:ascii="Times New Roman" w:cs="Times New Roman" w:eastAsia="Times New Roman" w:hAnsi="Times New Roman"/>
            <w:sz w:val="29"/>
            <w:szCs w:val="29"/>
            <w:u w:val="single" w:color="auto"/>
            <w:color w:val="0000EE"/>
            <w:vertAlign w:val="superscript"/>
          </w:rPr>
          <w:t>(12)</w:t>
        </w:r>
      </w:hyperlink>
    </w:p>
    <w:p>
      <w:pPr>
        <w:spacing w:after="0" w:line="184" w:lineRule="auto"/>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Amendment 2 to Master Purchase Agreement, effective January 1, 2018, between the Registrant and Amazon Corporate LLC*</w:t>
        </w:r>
        <w:r>
          <w:rPr>
            <w:rFonts w:ascii="Times New Roman" w:cs="Times New Roman" w:eastAsia="Times New Roman" w:hAnsi="Times New Roman"/>
            <w:sz w:val="29"/>
            <w:szCs w:val="29"/>
            <w:u w:val="single" w:color="auto"/>
            <w:color w:val="0000EE"/>
            <w:vertAlign w:val="superscript"/>
          </w:rPr>
          <w:t>(13)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Amendment 3 to Master Purchase Agreement, effective June 29, 2018, between the Registrant and Amazon Corporate LLC*</w:t>
        </w:r>
      </w:hyperlink>
      <w:r>
        <w:rPr>
          <w:rFonts w:ascii="Times New Roman" w:cs="Times New Roman" w:eastAsia="Times New Roman" w:hAnsi="Times New Roman"/>
          <w:sz w:val="29"/>
          <w:szCs w:val="29"/>
          <w:u w:val="single" w:color="auto"/>
          <w:color w:val="0000EE"/>
          <w:vertAlign w:val="superscript"/>
        </w:rPr>
        <w:t>(14)</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20" w:space="720"/>
            <w:col w:w="10100"/>
          </w:cols>
          <w:pgMar w:left="320" w:top="873" w:right="339" w:bottom="1440" w:gutter="0" w:footer="0" w:header="0"/>
          <w:type w:val="continuous"/>
        </w:sectPr>
      </w:pPr>
    </w:p>
    <w:p>
      <w:pPr>
        <w:spacing w:after="0" w:line="135"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3" w:name="page124"/>
    <w:bookmarkEnd w:id="123"/>
    <w:p>
      <w:pPr>
        <w:spacing w:after="0" w:line="185" w:lineRule="auto"/>
        <w:framePr w:w="360" w:h="160" w:wrap="auto" w:vAnchor="page" w:hAnchor="page" w:x="280" w:y="644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tbl>
      <w:tblPr>
        <w:tblLayout w:type="fixed"/>
        <w:tblInd w:w="0" w:type="dxa"/>
        <w:tblCellMar>
          <w:top w:w="0" w:type="dxa"/>
          <w:left w:w="0" w:type="dxa"/>
          <w:bottom w:w="0" w:type="dxa"/>
          <w:right w:w="0" w:type="dxa"/>
        </w:tblCellMar>
      </w:tblPr>
      <w:tr>
        <w:trPr>
          <w:trHeight w:val="192"/>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4.9.5</w:t>
            </w:r>
          </w:p>
        </w:tc>
        <w:tc>
          <w:tcPr>
            <w:tcW w:w="9420" w:type="dxa"/>
            <w:vAlign w:val="bottom"/>
            <w:tcBorders>
              <w:bottom w:val="single" w:sz="8" w:color="CCEEFF"/>
            </w:tcBorders>
            <w:gridSpan w:val="18"/>
            <w:vMerge w:val="restart"/>
            <w:shd w:val="clear" w:color="auto" w:fill="CCEEFF"/>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Amendment 4 to Master Purchase Agreement, effective January 1, 2020, between the Registrant and Amazon.com Services LLC*</w:t>
              </w:r>
            </w:hyperlink>
          </w:p>
        </w:tc>
        <w:tc>
          <w:tcPr>
            <w:tcW w:w="260" w:type="dxa"/>
            <w:vAlign w:val="bottom"/>
            <w:tcBorders>
              <w:bottom w:val="single" w:sz="8" w:color="0000EE"/>
            </w:tcBorders>
            <w:gridSpan w:val="3"/>
            <w:shd w:val="clear" w:color="auto" w:fill="CCEEFF"/>
          </w:tcPr>
          <w:p>
            <w:pPr>
              <w:jc w:val="right"/>
              <w:spacing w:after="0"/>
              <w:rPr>
                <w:rFonts w:ascii="Times New Roman" w:cs="Times New Roman" w:eastAsia="Times New Roman" w:hAnsi="Times New Roman"/>
                <w:sz w:val="15"/>
                <w:szCs w:val="15"/>
                <w:color w:val="0000EE"/>
                <w:w w:val="95"/>
              </w:rPr>
            </w:pPr>
            <w:hyperlink r:id="rId164">
              <w:r>
                <w:rPr>
                  <w:rFonts w:ascii="Times New Roman" w:cs="Times New Roman" w:eastAsia="Times New Roman" w:hAnsi="Times New Roman"/>
                  <w:sz w:val="15"/>
                  <w:szCs w:val="15"/>
                  <w:color w:val="0000EE"/>
                  <w:w w:val="95"/>
                </w:rPr>
                <w:t>(15)</w:t>
              </w:r>
            </w:hyperlink>
          </w:p>
        </w:tc>
        <w:tc>
          <w:tcPr>
            <w:tcW w:w="140" w:type="dxa"/>
            <w:vAlign w:val="bottom"/>
            <w:tcBorders>
              <w:bottom w:val="single" w:sz="8" w:color="CCEEFF"/>
            </w:tcBorders>
            <w:vMerge w:val="restart"/>
            <w:shd w:val="clear" w:color="auto" w:fill="CCEEFF"/>
          </w:tcPr>
          <w:p>
            <w:pPr>
              <w:spacing w:after="0"/>
              <w:rPr>
                <w:sz w:val="16"/>
                <w:szCs w:val="16"/>
                <w:color w:val="auto"/>
              </w:rPr>
            </w:pPr>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26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9420" w:type="dxa"/>
            <w:vAlign w:val="bottom"/>
            <w:tcBorders>
              <w:bottom w:val="single" w:sz="8" w:color="0000EE"/>
            </w:tcBorders>
            <w:gridSpan w:val="18"/>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4.9.6</w:t>
            </w:r>
          </w:p>
        </w:tc>
        <w:tc>
          <w:tcPr>
            <w:tcW w:w="9600" w:type="dxa"/>
            <w:vAlign w:val="bottom"/>
            <w:tcBorders>
              <w:top w:val="single" w:sz="8" w:color="CCEEFF"/>
              <w:bottom w:val="single" w:sz="8" w:color="CCEEFF"/>
            </w:tcBorders>
            <w:gridSpan w:val="20"/>
            <w:vMerge w:val="restart"/>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Amendment 5 to Master Purchase Agreement, effective September 1, 2020, between the Registrant and Amazon.com Services LLC*</w:t>
              </w:r>
            </w:hyperlink>
          </w:p>
        </w:tc>
        <w:tc>
          <w:tcPr>
            <w:tcW w:w="240" w:type="dxa"/>
            <w:vAlign w:val="bottom"/>
            <w:tcBorders>
              <w:top w:val="single" w:sz="8" w:color="CCEEFF"/>
              <w:bottom w:val="single" w:sz="8" w:color="0000EE"/>
            </w:tcBorders>
            <w:gridSpan w:val="3"/>
          </w:tcPr>
          <w:p>
            <w:pPr>
              <w:jc w:val="right"/>
              <w:spacing w:after="0" w:line="129" w:lineRule="exact"/>
              <w:rPr>
                <w:rFonts w:ascii="Times New Roman" w:cs="Times New Roman" w:eastAsia="Times New Roman" w:hAnsi="Times New Roman"/>
                <w:sz w:val="14"/>
                <w:szCs w:val="14"/>
                <w:color w:val="0000EE"/>
                <w:w w:val="94"/>
              </w:rPr>
            </w:pPr>
            <w:hyperlink r:id="rId165">
              <w:r>
                <w:rPr>
                  <w:rFonts w:ascii="Times New Roman" w:cs="Times New Roman" w:eastAsia="Times New Roman" w:hAnsi="Times New Roman"/>
                  <w:sz w:val="14"/>
                  <w:szCs w:val="14"/>
                  <w:color w:val="0000EE"/>
                  <w:w w:val="94"/>
                </w:rPr>
                <w:t>(16)</w:t>
              </w:r>
            </w:hyperlink>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40" w:type="dxa"/>
            <w:vAlign w:val="bottom"/>
            <w:vMerge w:val="continue"/>
          </w:tcPr>
          <w:p>
            <w:pPr>
              <w:spacing w:after="0"/>
              <w:rPr>
                <w:sz w:val="4"/>
                <w:szCs w:val="4"/>
                <w:color w:val="auto"/>
              </w:rPr>
            </w:pPr>
          </w:p>
        </w:tc>
        <w:tc>
          <w:tcPr>
            <w:tcW w:w="9600" w:type="dxa"/>
            <w:vAlign w:val="bottom"/>
            <w:tcBorders>
              <w:bottom w:val="single" w:sz="8" w:color="0000EE"/>
            </w:tcBorders>
            <w:gridSpan w:val="20"/>
            <w:vMerge w:val="continue"/>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4.9.7</w:t>
            </w:r>
          </w:p>
        </w:tc>
        <w:tc>
          <w:tcPr>
            <w:tcW w:w="9560" w:type="dxa"/>
            <w:vAlign w:val="bottom"/>
            <w:tcBorders>
              <w:bottom w:val="single" w:sz="8" w:color="CCEEFF"/>
            </w:tcBorders>
            <w:gridSpan w:val="19"/>
            <w:vMerge w:val="restart"/>
            <w:shd w:val="clear" w:color="auto" w:fill="CCEEFF"/>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Amendment 6 to Master Purchase Agreement, effective February 15, 2021, between the Registrant and Amazon.com Services LLC*</w:t>
              </w:r>
            </w:hyperlink>
          </w:p>
        </w:tc>
        <w:tc>
          <w:tcPr>
            <w:tcW w:w="260" w:type="dxa"/>
            <w:vAlign w:val="bottom"/>
            <w:tcBorders>
              <w:bottom w:val="single" w:sz="8" w:color="0000EE"/>
            </w:tcBorders>
            <w:gridSpan w:val="3"/>
            <w:shd w:val="clear" w:color="auto" w:fill="CCEEFF"/>
          </w:tcPr>
          <w:p>
            <w:pPr>
              <w:jc w:val="right"/>
              <w:spacing w:after="0" w:line="129" w:lineRule="exact"/>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(17)</w:t>
              </w:r>
            </w:hyperlink>
          </w:p>
        </w:tc>
        <w:tc>
          <w:tcPr>
            <w:tcW w:w="280" w:type="dxa"/>
            <w:vAlign w:val="bottom"/>
            <w:tcBorders>
              <w:bottom w:val="single" w:sz="8" w:color="CCEEFF"/>
            </w:tcBorders>
            <w:gridSpan w:val="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9560" w:type="dxa"/>
            <w:vAlign w:val="bottom"/>
            <w:tcBorders>
              <w:bottom w:val="single" w:sz="8" w:color="0000EE"/>
            </w:tcBorders>
            <w:gridSpan w:val="19"/>
            <w:vMerge w:val="continue"/>
            <w:shd w:val="clear" w:color="auto" w:fill="CCEEFF"/>
          </w:tcPr>
          <w:p>
            <w:pPr>
              <w:spacing w:after="0"/>
              <w:rPr>
                <w:sz w:val="5"/>
                <w:szCs w:val="5"/>
                <w:color w:val="auto"/>
              </w:rPr>
            </w:pPr>
          </w:p>
        </w:tc>
        <w:tc>
          <w:tcPr>
            <w:tcW w:w="260" w:type="dxa"/>
            <w:vAlign w:val="bottom"/>
            <w:tcBorders>
              <w:bottom w:val="single" w:sz="8" w:color="CCEEFF"/>
            </w:tcBorders>
            <w:gridSpan w:val="3"/>
            <w:shd w:val="clear" w:color="auto" w:fill="CCEEFF"/>
          </w:tcPr>
          <w:p>
            <w:pPr>
              <w:spacing w:after="0"/>
              <w:rPr>
                <w:sz w:val="5"/>
                <w:szCs w:val="5"/>
                <w:color w:val="auto"/>
              </w:rPr>
            </w:pPr>
          </w:p>
        </w:tc>
        <w:tc>
          <w:tcPr>
            <w:tcW w:w="2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4.10</w:t>
            </w:r>
          </w:p>
        </w:tc>
        <w:tc>
          <w:tcPr>
            <w:tcW w:w="7080" w:type="dxa"/>
            <w:vAlign w:val="bottom"/>
            <w:tcBorders>
              <w:top w:val="single" w:sz="8" w:color="CCEEFF"/>
              <w:bottom w:val="single" w:sz="8" w:color="CCEEFF"/>
            </w:tcBorders>
            <w:gridSpan w:val="12"/>
            <w:vMerge w:val="restart"/>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Transaction Agreement, dated September 14, 2020, between the Registrant and Amazon.com, Inc.</w:t>
              </w:r>
            </w:hyperlink>
          </w:p>
        </w:tc>
        <w:tc>
          <w:tcPr>
            <w:tcW w:w="24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4"/>
              </w:rPr>
            </w:pPr>
            <w:hyperlink r:id="rId167">
              <w:r>
                <w:rPr>
                  <w:rFonts w:ascii="Times New Roman" w:cs="Times New Roman" w:eastAsia="Times New Roman" w:hAnsi="Times New Roman"/>
                  <w:sz w:val="14"/>
                  <w:szCs w:val="14"/>
                  <w:color w:val="0000EE"/>
                  <w:w w:val="94"/>
                </w:rPr>
                <w:t>(18)</w:t>
              </w:r>
            </w:hyperlink>
          </w:p>
        </w:tc>
        <w:tc>
          <w:tcPr>
            <w:tcW w:w="90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960" w:type="dxa"/>
            <w:vAlign w:val="bottom"/>
            <w:tcBorders>
              <w:top w:val="single" w:sz="8" w:color="CCEEFF"/>
              <w:bottom w:val="single" w:sz="8" w:color="CCEEFF"/>
            </w:tcBorders>
            <w:gridSpan w:val="5"/>
            <w:vMerge w:val="restart"/>
          </w:tcPr>
          <w:p>
            <w:pPr>
              <w:spacing w:after="0"/>
              <w:rPr>
                <w:sz w:val="12"/>
                <w:szCs w:val="12"/>
                <w:color w:val="auto"/>
              </w:rPr>
            </w:pPr>
          </w:p>
        </w:tc>
        <w:tc>
          <w:tcPr>
            <w:tcW w:w="280" w:type="dxa"/>
            <w:vAlign w:val="bottom"/>
            <w:tcBorders>
              <w:top w:val="single" w:sz="8" w:color="CCEEFF"/>
              <w:bottom w:val="single" w:sz="8" w:color="CCEEFF"/>
            </w:tcBorders>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40" w:type="dxa"/>
            <w:vAlign w:val="bottom"/>
            <w:vMerge w:val="continue"/>
          </w:tcPr>
          <w:p>
            <w:pPr>
              <w:spacing w:after="0"/>
              <w:rPr>
                <w:sz w:val="4"/>
                <w:szCs w:val="4"/>
                <w:color w:val="auto"/>
              </w:rPr>
            </w:pPr>
          </w:p>
        </w:tc>
        <w:tc>
          <w:tcPr>
            <w:tcW w:w="7080" w:type="dxa"/>
            <w:vAlign w:val="bottom"/>
            <w:tcBorders>
              <w:bottom w:val="single" w:sz="8" w:color="0000EE"/>
            </w:tcBorders>
            <w:gridSpan w:val="12"/>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960" w:type="dxa"/>
            <w:vAlign w:val="bottom"/>
            <w:gridSpan w:val="5"/>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8620" w:type="dxa"/>
            <w:vAlign w:val="bottom"/>
            <w:tcBorders>
              <w:bottom w:val="single" w:sz="8" w:color="CCEEFF"/>
            </w:tcBorders>
            <w:gridSpan w:val="16"/>
            <w:vMerge w:val="restart"/>
            <w:shd w:val="clear" w:color="auto" w:fill="CCEEFF"/>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Warrant to Purchase Ordinary Shares, dated September 14, 2020, issued to Amazon.com NV Investment Holdings LLC</w:t>
              </w:r>
            </w:hyperlink>
          </w:p>
        </w:tc>
        <w:tc>
          <w:tcPr>
            <w:tcW w:w="240" w:type="dxa"/>
            <w:vAlign w:val="bottom"/>
            <w:tcBorders>
              <w:bottom w:val="single" w:sz="8" w:color="0000EE"/>
            </w:tcBorders>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168">
              <w:r>
                <w:rPr>
                  <w:rFonts w:ascii="Times New Roman" w:cs="Times New Roman" w:eastAsia="Times New Roman" w:hAnsi="Times New Roman"/>
                  <w:sz w:val="14"/>
                  <w:szCs w:val="14"/>
                  <w:color w:val="0000EE"/>
                  <w:w w:val="94"/>
                </w:rPr>
                <w:t>(19)</w:t>
              </w:r>
            </w:hyperlink>
          </w:p>
        </w:tc>
        <w:tc>
          <w:tcPr>
            <w:tcW w:w="960" w:type="dxa"/>
            <w:vAlign w:val="bottom"/>
            <w:tcBorders>
              <w:bottom w:val="single" w:sz="8" w:color="CCEEFF"/>
            </w:tcBorders>
            <w:gridSpan w:val="5"/>
            <w:vMerge w:val="restart"/>
            <w:shd w:val="clear" w:color="auto" w:fill="CCEEFF"/>
          </w:tcPr>
          <w:p>
            <w:pPr>
              <w:spacing w:after="0"/>
              <w:rPr>
                <w:sz w:val="12"/>
                <w:szCs w:val="12"/>
                <w:color w:val="auto"/>
              </w:rPr>
            </w:pPr>
          </w:p>
        </w:tc>
        <w:tc>
          <w:tcPr>
            <w:tcW w:w="280" w:type="dxa"/>
            <w:vAlign w:val="bottom"/>
            <w:tcBorders>
              <w:bottom w:val="single" w:sz="8" w:color="CCEEFF"/>
            </w:tcBorders>
            <w:gridSpan w:val="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8620" w:type="dxa"/>
            <w:vAlign w:val="bottom"/>
            <w:tcBorders>
              <w:bottom w:val="single" w:sz="8" w:color="0000EE"/>
            </w:tcBorders>
            <w:gridSpan w:val="16"/>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gridSpan w:val="5"/>
            <w:vMerge w:val="continue"/>
            <w:shd w:val="clear" w:color="auto" w:fill="CCEEFF"/>
          </w:tcPr>
          <w:p>
            <w:pPr>
              <w:spacing w:after="0"/>
              <w:rPr>
                <w:sz w:val="5"/>
                <w:szCs w:val="5"/>
                <w:color w:val="auto"/>
              </w:rPr>
            </w:pPr>
          </w:p>
        </w:tc>
        <w:tc>
          <w:tcPr>
            <w:tcW w:w="2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4.12</w:t>
            </w:r>
          </w:p>
        </w:tc>
        <w:tc>
          <w:tcPr>
            <w:tcW w:w="8220" w:type="dxa"/>
            <w:vAlign w:val="bottom"/>
            <w:tcBorders>
              <w:top w:val="single" w:sz="8" w:color="CCEEFF"/>
              <w:bottom w:val="single" w:sz="8" w:color="CCEEFF"/>
            </w:tcBorders>
            <w:gridSpan w:val="14"/>
            <w:vMerge w:val="restart"/>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Lease, dated December 2017, between Kornit Digital North America, Inc. and Bonanno Real Estate Group I, L.P.</w:t>
              </w:r>
            </w:hyperlink>
          </w:p>
        </w:tc>
        <w:tc>
          <w:tcPr>
            <w:tcW w:w="24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4"/>
              </w:rPr>
            </w:pPr>
            <w:hyperlink r:id="rId169">
              <w:r>
                <w:rPr>
                  <w:rFonts w:ascii="Times New Roman" w:cs="Times New Roman" w:eastAsia="Times New Roman" w:hAnsi="Times New Roman"/>
                  <w:sz w:val="14"/>
                  <w:szCs w:val="14"/>
                  <w:color w:val="0000EE"/>
                  <w:w w:val="94"/>
                </w:rPr>
                <w:t>(20)</w:t>
              </w:r>
            </w:hyperlink>
          </w:p>
        </w:tc>
        <w:tc>
          <w:tcPr>
            <w:tcW w:w="1360" w:type="dxa"/>
            <w:vAlign w:val="bottom"/>
            <w:tcBorders>
              <w:top w:val="single" w:sz="8" w:color="CCEEFF"/>
              <w:bottom w:val="single" w:sz="8" w:color="CCEEFF"/>
            </w:tcBorders>
            <w:gridSpan w:val="7"/>
            <w:vMerge w:val="restart"/>
          </w:tcPr>
          <w:p>
            <w:pPr>
              <w:spacing w:after="0"/>
              <w:rPr>
                <w:sz w:val="12"/>
                <w:szCs w:val="12"/>
                <w:color w:val="auto"/>
              </w:rPr>
            </w:pPr>
          </w:p>
        </w:tc>
        <w:tc>
          <w:tcPr>
            <w:tcW w:w="280" w:type="dxa"/>
            <w:vAlign w:val="bottom"/>
            <w:tcBorders>
              <w:top w:val="single" w:sz="8" w:color="CCEEFF"/>
              <w:bottom w:val="single" w:sz="8" w:color="CCEEFF"/>
            </w:tcBorders>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8220" w:type="dxa"/>
            <w:vAlign w:val="bottom"/>
            <w:tcBorders>
              <w:bottom w:val="single" w:sz="8" w:color="0000EE"/>
            </w:tcBorders>
            <w:gridSpan w:val="14"/>
            <w:vMerge w:val="continue"/>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Manufacturing Services Agreement, dated as of February 26, 2019, by and between the Registrant and Sanmina-SCI Israel Medical</w:t>
              </w:r>
            </w:hyperlink>
          </w:p>
        </w:tc>
        <w:tc>
          <w:tcPr>
            <w:tcW w:w="0" w:type="dxa"/>
            <w:vAlign w:val="bottom"/>
          </w:tcPr>
          <w:p>
            <w:pPr>
              <w:spacing w:after="0"/>
              <w:rPr>
                <w:sz w:val="1"/>
                <w:szCs w:val="1"/>
                <w:color w:val="auto"/>
              </w:rPr>
            </w:pPr>
          </w:p>
        </w:tc>
      </w:tr>
      <w:tr>
        <w:trPr>
          <w:trHeight w:val="169"/>
        </w:trPr>
        <w:tc>
          <w:tcPr>
            <w:tcW w:w="1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vMerge w:val="restart"/>
            <w:shd w:val="clear" w:color="auto" w:fill="CCEEFF"/>
          </w:tcPr>
          <w:p>
            <w:pPr>
              <w:spacing w:after="0"/>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Systems Ltd.*</w:t>
              </w:r>
            </w:hyperlink>
          </w:p>
        </w:tc>
        <w:tc>
          <w:tcPr>
            <w:tcW w:w="240" w:type="dxa"/>
            <w:vAlign w:val="bottom"/>
            <w:tcBorders>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87"/>
              </w:rPr>
            </w:pPr>
            <w:hyperlink r:id="rId170">
              <w:r>
                <w:rPr>
                  <w:rFonts w:ascii="Times New Roman" w:cs="Times New Roman" w:eastAsia="Times New Roman" w:hAnsi="Times New Roman"/>
                  <w:sz w:val="15"/>
                  <w:szCs w:val="15"/>
                  <w:color w:val="0000EE"/>
                  <w:w w:val="87"/>
                </w:rPr>
                <w:t>(21)</w:t>
              </w:r>
            </w:hyperlink>
          </w:p>
        </w:tc>
        <w:tc>
          <w:tcPr>
            <w:tcW w:w="920" w:type="dxa"/>
            <w:vAlign w:val="bottom"/>
            <w:tcBorders>
              <w:bottom w:val="single" w:sz="8" w:color="CCEEFF"/>
            </w:tcBorders>
            <w:vMerge w:val="restart"/>
            <w:shd w:val="clear" w:color="auto" w:fill="CCEEFF"/>
          </w:tcPr>
          <w:p>
            <w:pPr>
              <w:spacing w:after="0"/>
              <w:rPr>
                <w:sz w:val="14"/>
                <w:szCs w:val="14"/>
                <w:color w:val="auto"/>
              </w:rPr>
            </w:pPr>
          </w:p>
        </w:tc>
        <w:tc>
          <w:tcPr>
            <w:tcW w:w="260" w:type="dxa"/>
            <w:vAlign w:val="bottom"/>
            <w:tcBorders>
              <w:bottom w:val="single" w:sz="8" w:color="CCEEFF"/>
            </w:tcBorders>
            <w:vMerge w:val="restart"/>
            <w:shd w:val="clear" w:color="auto" w:fill="CCEEFF"/>
          </w:tcPr>
          <w:p>
            <w:pPr>
              <w:spacing w:after="0"/>
              <w:rPr>
                <w:sz w:val="14"/>
                <w:szCs w:val="14"/>
                <w:color w:val="auto"/>
              </w:rPr>
            </w:pPr>
          </w:p>
        </w:tc>
        <w:tc>
          <w:tcPr>
            <w:tcW w:w="30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150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4960" w:type="dxa"/>
            <w:vAlign w:val="bottom"/>
            <w:tcBorders>
              <w:bottom w:val="single" w:sz="8" w:color="CCEEFF"/>
            </w:tcBorders>
            <w:gridSpan w:val="11"/>
            <w:vMerge w:val="restart"/>
            <w:shd w:val="clear" w:color="auto" w:fill="CCEEFF"/>
          </w:tcPr>
          <w:p>
            <w:pPr>
              <w:spacing w:after="0"/>
              <w:rPr>
                <w:sz w:val="14"/>
                <w:szCs w:val="14"/>
                <w:color w:val="auto"/>
              </w:rPr>
            </w:pPr>
          </w:p>
        </w:tc>
        <w:tc>
          <w:tcPr>
            <w:tcW w:w="2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0000EE"/>
            </w:tcBorders>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5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4960" w:type="dxa"/>
            <w:vAlign w:val="bottom"/>
            <w:tcBorders>
              <w:bottom w:val="single" w:sz="8" w:color="CCEEFF"/>
            </w:tcBorders>
            <w:gridSpan w:val="11"/>
            <w:vMerge w:val="continue"/>
            <w:shd w:val="clear" w:color="auto" w:fill="CCEEFF"/>
          </w:tcPr>
          <w:p>
            <w:pPr>
              <w:spacing w:after="0"/>
              <w:rPr>
                <w:sz w:val="5"/>
                <w:szCs w:val="5"/>
                <w:color w:val="auto"/>
              </w:rPr>
            </w:pPr>
          </w:p>
        </w:tc>
        <w:tc>
          <w:tcPr>
            <w:tcW w:w="2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10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 #</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w:t>
            </w:r>
          </w:p>
        </w:tc>
        <w:tc>
          <w:tcPr>
            <w:tcW w:w="286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Insider Trading Policy of the Registrant</w:t>
              </w:r>
            </w:hyperlink>
          </w:p>
        </w:tc>
        <w:tc>
          <w:tcPr>
            <w:tcW w:w="240" w:type="dxa"/>
            <w:vAlign w:val="bottom"/>
            <w:tcBorders>
              <w:bottom w:val="single" w:sz="8" w:color="0000EE"/>
            </w:tcBorders>
            <w:gridSpan w:val="2"/>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171">
              <w:r>
                <w:rPr>
                  <w:rFonts w:ascii="Times New Roman" w:cs="Times New Roman" w:eastAsia="Times New Roman" w:hAnsi="Times New Roman"/>
                  <w:sz w:val="14"/>
                  <w:szCs w:val="14"/>
                  <w:color w:val="0000EE"/>
                  <w:w w:val="94"/>
                </w:rPr>
                <w:t>(22)</w:t>
              </w:r>
            </w:hyperlink>
          </w:p>
        </w:tc>
        <w:tc>
          <w:tcPr>
            <w:tcW w:w="1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CCEEFF"/>
            </w:tcBorders>
            <w:gridSpan w:val="11"/>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0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Executive Officer pursuant to Securities Exchange Act Rules 13a-14(a) and 15d-14(a) as adopted pursuant to §302 of</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 #</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1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Financial Officer pursuant to Securities Exchange Act Rules 13a-14(a) and 15d-14(a) as adopted pursuant to §302 of</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 #</w:t>
            </w:r>
          </w:p>
        </w:tc>
        <w:tc>
          <w:tcPr>
            <w:tcW w:w="7640" w:type="dxa"/>
            <w:vAlign w:val="bottom"/>
            <w:tcBorders>
              <w:bottom w:val="single" w:sz="8" w:color="CCEEFF"/>
            </w:tcBorders>
            <w:gridSpan w:val="2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0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Executive Officer and Chief Financial Officer pursuant to 18 U.S.C. §1350, as adopted pursuant to §906 of the</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98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Kost Forer Gabbay &amp; Kasierer, a member firm of Ernst &amp; Young Global, an independent registered public accounting firm #</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97.1</w:t>
            </w:r>
          </w:p>
        </w:tc>
        <w:tc>
          <w:tcPr>
            <w:tcW w:w="4600" w:type="dxa"/>
            <w:vAlign w:val="bottom"/>
            <w:gridSpan w:val="9"/>
            <w:vMerge w:val="restart"/>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Policy for the Recovery of Erroneously Awarded Compensation</w:t>
              </w:r>
            </w:hyperlink>
          </w:p>
        </w:tc>
        <w:tc>
          <w:tcPr>
            <w:tcW w:w="26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4"/>
                <w:szCs w:val="14"/>
                <w:color w:val="0000EE"/>
              </w:rPr>
            </w:pPr>
            <w:hyperlink r:id="rId172">
              <w:r>
                <w:rPr>
                  <w:rFonts w:ascii="Times New Roman" w:cs="Times New Roman" w:eastAsia="Times New Roman" w:hAnsi="Times New Roman"/>
                  <w:sz w:val="14"/>
                  <w:szCs w:val="14"/>
                  <w:color w:val="0000EE"/>
                </w:rPr>
                <w:t>(23)</w:t>
              </w:r>
            </w:hyperlink>
          </w:p>
        </w:tc>
        <w:tc>
          <w:tcPr>
            <w:tcW w:w="5240" w:type="dxa"/>
            <w:vAlign w:val="bottom"/>
            <w:gridSpan w:val="1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40" w:type="dxa"/>
            <w:vAlign w:val="bottom"/>
            <w:vMerge w:val="continue"/>
          </w:tcPr>
          <w:p>
            <w:pPr>
              <w:spacing w:after="0"/>
              <w:rPr>
                <w:sz w:val="4"/>
                <w:szCs w:val="4"/>
                <w:color w:val="auto"/>
              </w:rPr>
            </w:pPr>
          </w:p>
        </w:tc>
        <w:tc>
          <w:tcPr>
            <w:tcW w:w="4600" w:type="dxa"/>
            <w:vAlign w:val="bottom"/>
            <w:tcBorders>
              <w:bottom w:val="single" w:sz="8" w:color="0000EE"/>
            </w:tcBorders>
            <w:gridSpan w:val="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524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1140" w:hanging="1132"/>
        <w:spacing w:after="0" w:line="257"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Kornit Digital Ltd.’s Annual Report on Form 20-F for the year ended December 31, 2025 formatted in Inline XBRL (eXtensible Business Reporting Language): (i) Consolidated Balance Sheets at December 31, 2024 and 2025; (ii) Consolidated Statements of Operations for the years ended December 31, 2023, 2024 and 2025; (iii) Consolidated Statements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29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ind w:left="1140"/>
        <w:spacing w:after="0" w:line="253" w:lineRule="auto"/>
        <w:rPr>
          <w:sz w:val="20"/>
          <w:szCs w:val="20"/>
          <w:color w:val="auto"/>
        </w:rPr>
      </w:pPr>
      <w:r>
        <w:rPr>
          <w:rFonts w:ascii="Times New Roman" w:cs="Times New Roman" w:eastAsia="Times New Roman" w:hAnsi="Times New Roman"/>
          <w:sz w:val="18"/>
          <w:szCs w:val="18"/>
          <w:color w:val="auto"/>
        </w:rPr>
        <w:t>Comprehensive Income (Loss) for the years ended December 31, 2023, 2024, and 2025; (iv) Statements of Shareholders’ Equity for the years ended December 31, 2023, 2024, and 2025; (v) Consolidated Statements of Cash Flows for the years ended December 31, 2023, 2024, and 2025; (vi) Notes to Consolidated Financial Statements, tagged as blocks of text; and (vii) Cover Page Interactive Data File. # Inline Cover Page Interactive Data File (included in Exhibit 101).</w:t>
      </w:r>
    </w:p>
    <w:p>
      <w:pPr>
        <w:spacing w:after="0" w:line="189" w:lineRule="exact"/>
        <w:rPr>
          <w:sz w:val="20"/>
          <w:szCs w:val="20"/>
          <w:color w:val="auto"/>
        </w:rPr>
      </w:pPr>
    </w:p>
    <w:p>
      <w:pPr>
        <w:ind w:left="460" w:hanging="452"/>
        <w:spacing w:after="0" w:line="261"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August 12, 2021 as Exhibit 99.1 to the Registrant’s Report of Foreign Private Issuer on Form 6-K and incorporated by reference herein.</w:t>
      </w:r>
    </w:p>
    <w:p>
      <w:pPr>
        <w:ind w:left="460" w:hanging="452"/>
        <w:spacing w:after="0" w:line="250"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10, 2015 as Exhibit 4.1 to Amendment No. 1 to the Registrant’s registration statement on Form F-1 (SEC File No. 333-202291) and incorporated by reference herein.</w:t>
      </w:r>
    </w:p>
    <w:p>
      <w:pPr>
        <w:ind w:left="460" w:right="20" w:hanging="452"/>
        <w:spacing w:after="0" w:line="250"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10, 2015 as Exhibit 10.3 to Amendment No. 1 to the Registrant’s registration statement on Form F-1 (SEC File No. 333-202291) and incorporated by reference herein.</w:t>
      </w:r>
    </w:p>
    <w:p>
      <w:pPr>
        <w:ind w:left="460" w:hanging="452"/>
        <w:spacing w:after="0" w:line="260"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February 25, 2015 as Exhibit 10.2 to the Registrant’s registration statement on Form F-1 (SEC File No. 333-202291) and incorporated by reference herein.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24" w:name="page125"/>
    <w:bookmarkEnd w:id="124"/>
    <w:p>
      <w:pPr>
        <w:ind w:left="452" w:hanging="452"/>
        <w:spacing w:after="0" w:line="261"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18, 2015 as Exhibit 10.21 to Amendment No. 3 to the Registrant’s registration statement on Form F-1 (SEC File No. 333-202291)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27, 2025 as Exhibit 4.4 to the Registrant’s Annual Report on Form 20-F for the year ended December 31, 2024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July 20, 2023 as Appendix A to the Registrant’s proxy statement for its 2023 annual general meeting of shareholders, attached as Exhibit 99.1 to the Registrant’s Report of Foreign Private Issuer on Form 6-K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4.5 to the Registrant’s Annual Report on Form 20-F for the year ended December 31, 2020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April 14, 2016 as Exhibit 4.9 to Amendment No. 1 to the Registrant’s Annual Report on Form 20-F for the year ended December 31, 2015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4.11 to the Registrant’s Annual Report on Form 20-F for the year ended December 31, 2016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4.13 to the Registrant’s Annual Report on Form 20-F for the year ended December 31, 2016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4.11.2 to the Registrant’s Annual Report on Form 20-F for the year ended December 31, 2019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4.11.3 to the Registrant’s Annual Report on Form 20-F for the year ended December 31, 2019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4.11.4 to the Registrant’s Annual Report on Form 20-F for the year ended December 31, 2019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September 14, 2020 as Exhibit 10.2 to the Registrant’s Report of Foreign Private Issuer on Form 6-K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4.10.6 to the Registrant’s Annual Report on Form 20-F for the year ended December 31, 2020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4.10.7 to the Registrant’s Annual Report on Form 20-F for the year ended December 31, 2020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September 14, 2020 as Exhibit 10.1 to the Registrant’s Report of Foreign Private Issuer on Form 6-K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September 14, 2020 as Exhibit 4.1 to the Registrant’s Report of Foreign Private Issuer on Form 6-K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20, 2018 as Exhibit 4.16 to the Registrant’s Annual Report on Form 20-F for the year ended December 31, 2017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4.16 to the Registrant’s Annual Report on Form 20-F for the year ended December 31, 2019 and incorporated by reference herein.</w:t>
      </w:r>
    </w:p>
    <w:p>
      <w:pPr>
        <w:ind w:left="452" w:hanging="452"/>
        <w:spacing w:after="0" w:line="25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27, 2025 as Exhibit 11.1 to the Registrant’s Annual Report on Form 20-F for the year ended December 31, 2024 and incorporated by reference herein.</w:t>
      </w:r>
    </w:p>
    <w:p>
      <w:pPr>
        <w:ind w:left="452" w:hanging="452"/>
        <w:spacing w:after="0" w:line="260"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28, 2024 as Exhibit 97.1 to the Registrant’s Annual Report on Form 20-F for the year ended December 31, 2023 and incorporated by reference herein.</w:t>
      </w:r>
    </w:p>
    <w:p>
      <w:pPr>
        <w:spacing w:after="0" w:line="181" w:lineRule="exact"/>
        <w:rPr>
          <w:sz w:val="20"/>
          <w:szCs w:val="20"/>
          <w:color w:val="auto"/>
        </w:rPr>
      </w:pPr>
    </w:p>
    <w:p>
      <w:pPr>
        <w:ind w:left="452" w:hanging="452"/>
        <w:spacing w:after="0"/>
        <w:tabs>
          <w:tab w:leader="none" w:pos="4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52" w:hanging="452"/>
        <w:spacing w:after="0"/>
        <w:tabs>
          <w:tab w:leader="none" w:pos="4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both"/>
        <w:ind w:left="452" w:hanging="452"/>
        <w:spacing w:after="0" w:line="266" w:lineRule="auto"/>
        <w:tabs>
          <w:tab w:leader="none" w:pos="4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176" w:lineRule="exact"/>
        <w:rPr>
          <w:sz w:val="20"/>
          <w:szCs w:val="20"/>
          <w:color w:val="auto"/>
        </w:rPr>
      </w:pPr>
    </w:p>
    <w:p>
      <w:pPr>
        <w:ind w:left="5472" w:right="2440" w:hanging="5472"/>
        <w:spacing w:after="0" w:line="783" w:lineRule="auto"/>
        <w:tabs>
          <w:tab w:leader="none" w:pos="4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the rules of the Securities and Exchange Commission.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Assaf Zipori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Assaf Zipori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0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KORNIT DIGITAL LTD. AND SUBSIDIARIES</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gridSpan w:val="3"/>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gridSpan w:val="2"/>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gridSpan w:val="3"/>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gridSpan w:val="2"/>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9"/>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Reports of Independent Registered Public Accounting Firm </w:t>
            </w:r>
            <w:r>
              <w:rPr>
                <w:rFonts w:ascii="Times New Roman" w:cs="Times New Roman" w:eastAsia="Times New Roman" w:hAnsi="Times New Roman"/>
                <w:sz w:val="18"/>
                <w:szCs w:val="18"/>
                <w:color w:val="0000EE"/>
              </w:rPr>
              <w:t>(PCAOB ID Number 1281)</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F-2</w:t>
            </w:r>
          </w:p>
        </w:tc>
        <w:tc>
          <w:tcPr>
            <w:tcW w:w="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F-4</w:t>
            </w:r>
          </w:p>
        </w:tc>
      </w:tr>
      <w:tr>
        <w:trPr>
          <w:trHeight w:val="209"/>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F-5</w:t>
            </w:r>
          </w:p>
        </w:tc>
        <w:tc>
          <w:tcPr>
            <w:tcW w:w="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F-6</w:t>
            </w:r>
          </w:p>
        </w:tc>
      </w:tr>
      <w:tr>
        <w:trPr>
          <w:trHeight w:val="209"/>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Operations</w:t>
            </w:r>
          </w:p>
        </w:tc>
        <w:tc>
          <w:tcPr>
            <w:tcW w:w="10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F-7</w:t>
            </w:r>
          </w:p>
        </w:tc>
      </w:tr>
      <w:tr>
        <w:trPr>
          <w:trHeight w:val="209"/>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Comprehensive Income (Loss)</w:t>
            </w:r>
          </w:p>
        </w:tc>
        <w:tc>
          <w:tcPr>
            <w:tcW w:w="10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F-8</w:t>
            </w:r>
          </w:p>
        </w:tc>
      </w:tr>
      <w:tr>
        <w:trPr>
          <w:trHeight w:val="209"/>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Shareholders’ Equity</w:t>
            </w:r>
          </w:p>
        </w:tc>
        <w:tc>
          <w:tcPr>
            <w:tcW w:w="10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F-9</w:t>
            </w:r>
          </w:p>
        </w:tc>
      </w:tr>
      <w:tr>
        <w:trPr>
          <w:trHeight w:val="210"/>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F-10</w:t>
            </w:r>
          </w:p>
        </w:tc>
        <w:tc>
          <w:tcPr>
            <w:tcW w:w="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F-11</w:t>
            </w:r>
          </w:p>
        </w:tc>
      </w:tr>
      <w:tr>
        <w:trPr>
          <w:trHeight w:val="209"/>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F-12</w:t>
            </w:r>
          </w:p>
        </w:tc>
        <w:tc>
          <w:tcPr>
            <w:tcW w:w="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F-51</w:t>
            </w:r>
          </w:p>
        </w:tc>
      </w:tr>
      <w:tr>
        <w:trPr>
          <w:trHeight w:val="432"/>
        </w:trPr>
        <w:tc>
          <w:tcPr>
            <w:tcW w:w="3340" w:type="dxa"/>
            <w:vAlign w:val="bottom"/>
            <w:tcBorders>
              <w:top w:val="single" w:sz="8" w:color="0000EE"/>
            </w:tcBorders>
            <w:gridSpan w:val="5"/>
          </w:tcPr>
          <w:p>
            <w:pPr>
              <w:spacing w:after="0"/>
              <w:rPr>
                <w:sz w:val="24"/>
                <w:szCs w:val="24"/>
                <w:color w:val="auto"/>
              </w:rPr>
            </w:pPr>
          </w:p>
        </w:tc>
        <w:tc>
          <w:tcPr>
            <w:tcW w:w="3280" w:type="dxa"/>
            <w:vAlign w:val="bottom"/>
            <w:tcBorders>
              <w:top w:val="single" w:sz="8" w:color="CCEEFF"/>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 - - - - - - - - - - - -</w:t>
            </w:r>
          </w:p>
        </w:tc>
        <w:tc>
          <w:tcPr>
            <w:tcW w:w="36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655"/>
        </w:trPr>
        <w:tc>
          <w:tcPr>
            <w:tcW w:w="2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jc w:val="center"/>
              <w:ind w:right="3480"/>
              <w:spacing w:after="0"/>
              <w:rPr>
                <w:sz w:val="20"/>
                <w:szCs w:val="20"/>
                <w:color w:val="auto"/>
              </w:rPr>
            </w:pPr>
            <w:r>
              <w:rPr>
                <w:rFonts w:ascii="Times New Roman" w:cs="Times New Roman" w:eastAsia="Times New Roman" w:hAnsi="Times New Roman"/>
                <w:sz w:val="18"/>
                <w:szCs w:val="18"/>
                <w:color w:val="auto"/>
                <w:w w:val="95"/>
              </w:rPr>
              <w:t>F-1</w:t>
            </w: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105535" cy="1157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10553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Kornit Digital Ltd. and subsidiaries (the Company) as of December 31, 2025 and 2024, the related consolidated statements of operations, comprehensive income (loss),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2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inventories totaled $47,211 thousand as of December 31, 2025.</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explained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Note 2 to  the</w:t>
            </w:r>
          </w:p>
        </w:tc>
      </w:tr>
      <w:tr>
        <w:trPr>
          <w:trHeight w:val="216"/>
        </w:trPr>
        <w:tc>
          <w:tcPr>
            <w:tcW w:w="2100" w:type="dxa"/>
            <w:vAlign w:val="bottom"/>
          </w:tcPr>
          <w:p>
            <w:pPr>
              <w:spacing w:after="0"/>
              <w:rPr>
                <w:sz w:val="18"/>
                <w:szCs w:val="18"/>
                <w:color w:val="auto"/>
              </w:rPr>
            </w:pPr>
          </w:p>
        </w:tc>
        <w:tc>
          <w:tcPr>
            <w:tcW w:w="7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consolidated financial statements, the Company assesses the value of all inventories, including raw</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materials, finished</w:t>
            </w:r>
          </w:p>
        </w:tc>
      </w:tr>
      <w:tr>
        <w:trPr>
          <w:trHeight w:val="216"/>
        </w:trPr>
        <w:tc>
          <w:tcPr>
            <w:tcW w:w="210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goods and spare parts, in each reporting period. Obsolete inventory or inventory in</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excess of management’s estimated</w:t>
            </w:r>
          </w:p>
        </w:tc>
      </w:tr>
      <w:tr>
        <w:trPr>
          <w:trHeight w:val="216"/>
        </w:trPr>
        <w:tc>
          <w:tcPr>
            <w:tcW w:w="2100" w:type="dxa"/>
            <w:vAlign w:val="bottom"/>
          </w:tcPr>
          <w:p>
            <w:pPr>
              <w:spacing w:after="0"/>
              <w:rPr>
                <w:sz w:val="18"/>
                <w:szCs w:val="18"/>
                <w:color w:val="auto"/>
              </w:rPr>
            </w:pPr>
          </w:p>
        </w:tc>
        <w:tc>
          <w:tcPr>
            <w:tcW w:w="9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usage requirement is written down to its estimated net realizable value  if those amounts are determined to be less than</w:t>
            </w:r>
          </w:p>
        </w:tc>
      </w:tr>
      <w:tr>
        <w:trPr>
          <w:trHeight w:val="234"/>
        </w:trPr>
        <w:tc>
          <w:tcPr>
            <w:tcW w:w="2100" w:type="dxa"/>
            <w:vAlign w:val="bottom"/>
          </w:tcPr>
          <w:p>
            <w:pPr>
              <w:spacing w:after="0"/>
              <w:rPr>
                <w:sz w:val="20"/>
                <w:szCs w:val="20"/>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98" w:lineRule="exact"/>
        <w:rPr>
          <w:sz w:val="20"/>
          <w:szCs w:val="20"/>
          <w:color w:val="auto"/>
        </w:rPr>
      </w:pPr>
    </w:p>
    <w:p>
      <w:pPr>
        <w:jc w:val="both"/>
        <w:ind w:left="2380"/>
        <w:spacing w:after="0" w:line="261" w:lineRule="auto"/>
        <w:rPr>
          <w:sz w:val="20"/>
          <w:szCs w:val="20"/>
          <w:color w:val="auto"/>
        </w:rPr>
      </w:pPr>
      <w:r>
        <w:rPr>
          <w:rFonts w:ascii="Times New Roman" w:cs="Times New Roman" w:eastAsia="Times New Roman" w:hAnsi="Times New Roman"/>
          <w:sz w:val="18"/>
          <w:szCs w:val="18"/>
          <w:color w:val="auto"/>
        </w:rPr>
        <w:t>Auditing management’s estimates for excess and obsolete inventory involved subjective auditor judgment because the estimates are highly judgmental and rely on a number of factors that are affected by market and economic conditions outside the Company’s control. In particular, the obsolete and excess inventory calculations are sensitive to significant assumptions, including demand for the Company’s products and expected Company sales growth.</w:t>
      </w:r>
    </w:p>
    <w:p>
      <w:pPr>
        <w:spacing w:after="0" w:line="17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How We Addressed the Matter</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internal controls over the</w:t>
      </w:r>
    </w:p>
    <w:p>
      <w:pPr>
        <w:spacing w:after="0" w:line="29" w:lineRule="exact"/>
        <w:rPr>
          <w:sz w:val="20"/>
          <w:szCs w:val="20"/>
          <w:color w:val="auto"/>
        </w:rPr>
      </w:pPr>
    </w:p>
    <w:p>
      <w:pPr>
        <w:ind w:left="2380" w:hanging="2199"/>
        <w:spacing w:after="0" w:line="260" w:lineRule="auto"/>
        <w:tabs>
          <w:tab w:leader="none" w:pos="236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Company’s excess and obsolete inventory reserve process. This included management’s assessment of the assumptions and data underlying the excess and obsolete inventory valuation.</w:t>
      </w:r>
    </w:p>
    <w:p>
      <w:pPr>
        <w:spacing w:after="0" w:line="181" w:lineRule="exact"/>
        <w:rPr>
          <w:sz w:val="20"/>
          <w:szCs w:val="20"/>
          <w:color w:val="auto"/>
        </w:rPr>
      </w:pPr>
    </w:p>
    <w:p>
      <w:pPr>
        <w:jc w:val="both"/>
        <w:ind w:left="2380"/>
        <w:spacing w:after="0" w:line="256" w:lineRule="auto"/>
        <w:rPr>
          <w:sz w:val="20"/>
          <w:szCs w:val="20"/>
          <w:color w:val="auto"/>
        </w:rPr>
      </w:pPr>
      <w:r>
        <w:rPr>
          <w:rFonts w:ascii="Times New Roman" w:cs="Times New Roman" w:eastAsia="Times New Roman" w:hAnsi="Times New Roman"/>
          <w:sz w:val="18"/>
          <w:szCs w:val="18"/>
          <w:color w:val="auto"/>
        </w:rPr>
        <w:t>Our substantive audit procedures included, among others, evaluating the significant assumptions stated above and the accuracy and completeness of the underlying data management used to value excess and obsolete inventory. We compared the on-hand inventories levels to customer historical demand and sales forecasts, considering technological changes and introduction of new products. We also assessed the historical accuracy of management’s estimates and performed sensitivity analyses over the significant assumptions to evaluate the changes in the obsolete and excess inventory estimates that would result from changes in the underlying assumptions.</w:t>
      </w:r>
    </w:p>
    <w:p>
      <w:pPr>
        <w:spacing w:after="0" w:line="18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227" w:lineRule="exact"/>
        <w:rPr>
          <w:sz w:val="20"/>
          <w:szCs w:val="20"/>
          <w:color w:val="auto"/>
        </w:rPr>
      </w:pPr>
    </w:p>
    <w:p>
      <w:pPr>
        <w:jc w:val="both"/>
        <w:ind w:left="2380" w:hanging="2361"/>
        <w:spacing w:after="0" w:line="256" w:lineRule="auto"/>
        <w:tabs>
          <w:tab w:leader="none" w:pos="23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At December 31, 2025, the Company’s goodwill was $29,164 thousand. As described in Note 2 of the Consolidated Financial Statements, goodwill is tested for impairment at least annually at the reporting unit level on December 31. The Company performed a quantitative impairment analysis as of December 31, 2025, estimating the fair value of the reporting unit by utilizing an income approach which uses the discounted cash flow (“DCF”) analysis. As part of the Company’s analysis of its goodwill, the results of this test indicated that the estimated fair value exceeded the carrying value as of December 31, 2025.</w:t>
      </w:r>
    </w:p>
    <w:p>
      <w:pPr>
        <w:spacing w:after="0" w:line="189" w:lineRule="exact"/>
        <w:rPr>
          <w:sz w:val="20"/>
          <w:szCs w:val="20"/>
          <w:color w:val="auto"/>
        </w:rPr>
      </w:pPr>
    </w:p>
    <w:p>
      <w:pPr>
        <w:jc w:val="both"/>
        <w:ind w:left="2380"/>
        <w:spacing w:after="0" w:line="258" w:lineRule="auto"/>
        <w:rPr>
          <w:sz w:val="20"/>
          <w:szCs w:val="20"/>
          <w:color w:val="auto"/>
        </w:rPr>
      </w:pPr>
      <w:r>
        <w:rPr>
          <w:rFonts w:ascii="Times New Roman" w:cs="Times New Roman" w:eastAsia="Times New Roman" w:hAnsi="Times New Roman"/>
          <w:sz w:val="18"/>
          <w:szCs w:val="18"/>
          <w:color w:val="auto"/>
        </w:rPr>
        <w:t>Auditing the Company’s goodwill impairment test was complex due to the significant judgment involved and required the involvement of a specialist in determining the fair value of the reporting unit. In particular, the fair value estimate was sensitive to significant assumptions utilized in the DCF analysis that require judgment, such as the amount and timing of future cash flows (e.g., revenue growth rates, gross margin, free cash flow), and the discount rate. These assumptions are affected by factors such as expected future market or economic conditions.</w:t>
      </w:r>
    </w:p>
    <w:p>
      <w:pPr>
        <w:spacing w:after="0" w:line="181"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How We Addressed the Matter</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 Company’s</w:t>
      </w:r>
    </w:p>
    <w:p>
      <w:pPr>
        <w:spacing w:after="0" w:line="29" w:lineRule="exact"/>
        <w:rPr>
          <w:sz w:val="20"/>
          <w:szCs w:val="20"/>
          <w:color w:val="auto"/>
        </w:rPr>
      </w:pPr>
    </w:p>
    <w:p>
      <w:pPr>
        <w:jc w:val="both"/>
        <w:ind w:left="2380" w:right="20" w:hanging="2199"/>
        <w:spacing w:after="0" w:line="255" w:lineRule="auto"/>
        <w:tabs>
          <w:tab w:leader="none" w:pos="236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goodwill valuation process. For example, we tested controls over management’s review of the valuation model and the significant assumptions used, as discussed above, to develop the prospective financial information. We also tested management’s controls to validate that the data used in the valuation was complete and accurate.</w:t>
      </w:r>
    </w:p>
    <w:p>
      <w:pPr>
        <w:spacing w:after="0" w:line="186" w:lineRule="exact"/>
        <w:rPr>
          <w:sz w:val="20"/>
          <w:szCs w:val="20"/>
          <w:color w:val="auto"/>
        </w:rPr>
      </w:pPr>
    </w:p>
    <w:p>
      <w:pPr>
        <w:jc w:val="both"/>
        <w:ind w:left="2380"/>
        <w:spacing w:after="0" w:line="256" w:lineRule="auto"/>
        <w:rPr>
          <w:sz w:val="20"/>
          <w:szCs w:val="20"/>
          <w:color w:val="auto"/>
        </w:rPr>
      </w:pPr>
      <w:r>
        <w:rPr>
          <w:rFonts w:ascii="Times New Roman" w:cs="Times New Roman" w:eastAsia="Times New Roman" w:hAnsi="Times New Roman"/>
          <w:sz w:val="18"/>
          <w:szCs w:val="18"/>
          <w:color w:val="auto"/>
        </w:rPr>
        <w:t>To test the estimated fair value of the Company’s goodwill, we performed audit procedures that included assessing the reasonableness of the methodologies used, validated that the data used in the valuation is complete and accurate. We evaluated the Company’s underlying forecast and budget information by assessing the historical accuracy of management’s estimates. We also performed sensitivity analyses of significant assumptions to assess the changes in the fair value that would result from changes in the assumptions. We involved our valuation specialists to assist with the evaluation of the methodologies used by the Company and significant assumptions included in the fair value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105535" cy="1157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audited Kornit Digital Ltd and subsidiaries’ internal control over financial reporting as of December 31, 2025,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2025, based on the COSO criteria.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shareholders’ equity and cash flows for each of the three years in the period ended December 31, 2025, and the related notes and our report dated March 26,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368,446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 of allowances of $9,746 and $9,243,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60,342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25,714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595,516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615,389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10,542</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pay fund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174,994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172,095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770,510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787,484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17,305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severance pay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57,937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(see note 9)</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 Authorized: 200,000,000 shares at December 31, 2025 and 2024;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51,922,979 and 51,036,338 shares at December 31, 2025 and 2024, respectively; Outstanding: 45,063,793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46,051,461 shares at December 31, 2025 and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966,058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shares at cost, 6,859,186 and 4,984,877 ordinary shares at December 31, 2025 and 2024, respectively.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(166,875)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(130,252)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(116,734)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770,510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787,484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F-6</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156,086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148,086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161,045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52,114</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55,739</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58,741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208,200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203,825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219,786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67,468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61,697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91,516</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48,466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50,366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61,313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115,934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112,063</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152,829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92,266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91,762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66,957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50,060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58,413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66,836</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30,385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29,086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37,592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126,838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129,077</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154,488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21,919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22,350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(14,965)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(63,381)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(64,351)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available for sales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Losses (gains) reclassified into net loss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(gains) reclassified into net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3,491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(54,137)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1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0"/>
        </w:trPr>
        <w:tc>
          <w:tcPr>
            <w:tcW w:w="306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paid in</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6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06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21"/>
                <w:szCs w:val="21"/>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8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30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49,953,615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921,695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868,822</w:t>
            </w:r>
          </w:p>
        </w:tc>
      </w:t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418,069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22,589</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13,842</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13,842</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(2,652,051)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(55,770)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(55,770)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10,214</w:t>
            </w:r>
          </w:p>
        </w:tc>
        <w:tc>
          <w:tcPr>
            <w:tcW w:w="1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10,214</w:t>
            </w:r>
          </w:p>
        </w:tc>
      </w:tr>
      <w:tr>
        <w:trPr>
          <w:trHeight w:val="24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(64,351)</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(64,351)</w:t>
            </w:r>
          </w:p>
        </w:tc>
      </w:tr>
      <w:tr>
        <w:trPr>
          <w:trHeight w:val="203"/>
        </w:trPr>
        <w:tc>
          <w:tcPr>
            <w:tcW w:w="30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47,719,633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(55,770)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958,447</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(99,934)</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795,667</w:t>
            </w:r>
          </w:p>
        </w:tc>
        <w:tc>
          <w:tcPr>
            <w:tcW w:w="100" w:type="dxa"/>
            <w:vAlign w:val="bottom"/>
            <w:tcBorders>
              <w:top w:val="single" w:sz="8" w:color="CCEEFF"/>
            </w:tcBorders>
          </w:tcPr>
          <w:p>
            <w:pPr>
              <w:spacing w:after="0"/>
              <w:rPr>
                <w:sz w:val="17"/>
                <w:szCs w:val="17"/>
                <w:color w:val="auto"/>
              </w:rPr>
            </w:pPr>
          </w:p>
        </w:tc>
      </w:tr>
      <w:tr>
        <w:trPr>
          <w:trHeight w:val="216"/>
        </w:trPr>
        <w:tc>
          <w:tcPr>
            <w:tcW w:w="3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664,654</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3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21,756</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21,756</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3,273</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(2,332,826)</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(65,921)</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(18,134)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(84,055)</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6,342</w:t>
            </w:r>
          </w:p>
        </w:tc>
      </w:tr>
      <w:tr>
        <w:trPr>
          <w:trHeight w:val="23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(16,800)</w:t>
            </w: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(16,800)</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46,051,461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966,058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886,641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21,943</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(1,874,309)</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(45,184)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18,134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(27,050)</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3,491</w:t>
            </w:r>
          </w:p>
        </w:tc>
      </w:tr>
      <w:tr>
        <w:trPr>
          <w:trHeight w:val="23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(13,518)</w:t>
            </w: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(13,518)</w:t>
            </w:r>
          </w:p>
        </w:tc>
      </w:tr>
      <w:tr>
        <w:trPr>
          <w:trHeight w:val="223"/>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(64,351)</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11,897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13,047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deducted from revenues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3,273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21,943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21,756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(gain) on sale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4,663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28,173</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(19,220)</w:t>
            </w: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9,677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(5,476)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(2,333)</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(6,492)</w:t>
            </w: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operating leases right-of-use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Decrease in operating lease liabilities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(4,782)</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(5,352)</w:t>
            </w: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(6,491)</w:t>
            </w: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1,980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2,456</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(9,020)</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(10,547)</w:t>
            </w: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severance pay,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3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7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(21,274)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(15,140)</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(7,006)</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 in) short-term bank deposits,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(162,512)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29,666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24,825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22,994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222,320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56,641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(60,226)</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(62,673)</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(33,977)</w:t>
            </w:r>
          </w:p>
        </w:tc>
      </w:tr>
      <w:tr>
        <w:trPr>
          <w:trHeight w:val="223"/>
        </w:trPr>
        <w:tc>
          <w:tcPr>
            <w:tcW w:w="7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withholding taxes related to exercise of share-based awards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(1,867)</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(1,045)</w:t>
            </w:r>
          </w:p>
        </w:tc>
      </w:tr>
      <w:tr>
        <w:trPr>
          <w:trHeight w:val="24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(26,050)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(84,055)</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(55,770)</w:t>
            </w:r>
          </w:p>
        </w:tc>
      </w:tr>
      <w:tr>
        <w:trPr>
          <w:trHeight w:val="210"/>
        </w:trPr>
        <w:tc>
          <w:tcPr>
            <w:tcW w:w="732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(27,109</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(84,815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(56,522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(4,602)</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(64,992)</w:t>
            </w:r>
          </w:p>
        </w:tc>
      </w:tr>
      <w:tr>
        <w:trPr>
          <w:trHeight w:val="24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35,003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39,605</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35,476</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35,003</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39,605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0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transferred to be used as property, plant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transferred to be used as inventory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recognized with corresponding lease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F-11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ind w:left="980" w:hanging="32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wholly owned subsidiaries in Israel, the United States, Germany, Hong Kong, the United Kingdom and Japan. The Company’s subsidiaries are engaged primarily in services, sales, and marketing, except for the Israeli subsidiary which is engaged primarily in research and development.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five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w:t>
      </w:r>
    </w:p>
    <w:p>
      <w:pPr>
        <w:spacing w:after="0" w:line="207"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w:t>
      </w:r>
    </w:p>
    <w:p>
      <w:pPr>
        <w:spacing w:after="0" w:line="176"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believes that the estimates, judgments and assumptions used are reasonable based upon information available at the time they are made. Actual results could differ from those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 ongoing basis, the Company’s management evaluates estimates, including those related to impairment related to intangible assets and goodwill, tax assets and liabilities, fair values of share-based awards, inventory write-offs, warranty provision, allowance for credit losses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 United States dollars:</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the revenues of the Company and its subsidiaries are denominated in U.S. dollars. The U.S. dollar is the primary currency of the economic environment in which the Company and its subsidiaries operate. Thus, the functional and reporting currency of the Company and its subsidiaries is the U.S. dollar. Accordingly, monetary accounts maintained in currencies other than the U.S.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statements of operations as financial income, net in the period in which the currency exchange rates change.</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 the accounts of the Company and its subsidiaries. Intercompany balances and transactions, including profits from intercompany sales, have been eliminated upon consolidation.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 are deposits with an original maturity of more than three months but less than one year from the date of acquisition. Short-term bank deposits are presented at their cost.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investments in marketable securities in accordance with ASC 320, “Investments - Debt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(Cont.)</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spacing w:after="0" w:line="179"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intend to sell the investments, nor is it more likely than not that the Company will be required to sell the investments before recovery of their amortized cost bases.</w:t>
      </w:r>
    </w:p>
    <w:p>
      <w:pPr>
        <w:spacing w:after="0" w:line="16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marketable securities is adjusted for amortization of premium and accretion of discount to maturity, both of which, together with interest, are included in financial income, net.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reporting period, the Company evaluates whether declines in fair value below amortized cost are due to expected credit losses, as well as the Company’s ability and intent to hold the investment until a forecasted recovery occurs in accordance with ASC 326, Financial Instrument- Credit losses. Allowance for credit losses on available-for-sale marketable securities are recognized in the Company’s consolidated statements of operations, and any remaining unrealized losses, net of taxes, are included in accumulated other comprehensive income (loss) in shareholders’ equity The Company did not recognize an allowance for credit losses on marketable securities for the years ended December 31, 2025 and 2024. During 2023 the Company recorded an allowance for credit losses on available-for-sale marketable securities of $93.</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are measured at the lower of cost or net realizable value. The cost of inventories comprises cost of purchases and costs incurred in bringing the inventories to their present location and condition. Inventory write-off is measured as the difference between the cost of the inventory and net realizable value and is charged to cost of sales.</w:t>
      </w:r>
    </w:p>
    <w:p>
      <w:pPr>
        <w:spacing w:after="0" w:line="1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inventories is determined as follows: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 on a first-in, first-out cost basis. Finished goods - materials, on a first-in, first-out cost basis and other direct manufacturing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(Cont.)</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provisions have been provided to cover risks arising from slow-moving items, technological obsolescence and excess inventories according to revenue forecasts.</w:t>
      </w:r>
    </w:p>
    <w:p>
      <w:pPr>
        <w:spacing w:after="0" w:line="16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2025, 2024 and 2023, the Company recorded inventory provisions and write-offs in a total amount of $4,411, $4,607 and $22,001, respectively.</w:t>
      </w:r>
    </w:p>
    <w:p>
      <w:pPr>
        <w:spacing w:after="0" w:line="161"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2024 and 2023, a part of inventory write-offs and provisions of $1,026, $789 and $11,009, respectively was recorded as a result of the Company’s restructuring</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2(ad)).</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net:</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are measured at cost, including directly attributable costs to bring it to the condition and location necessary for its intended use, less accumulated depreciation and accumulated impairment losses. Depreciation is calculated on a straight-line basis over the useful life of the assets at annual rates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7 - 20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peripheral equipment</w:t>
            </w:r>
          </w:p>
        </w:tc>
        <w:tc>
          <w:tcPr>
            <w:tcW w:w="1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7 - 33</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Equipment on Operating lease (*)</w:t>
            </w:r>
          </w:p>
        </w:tc>
        <w:tc>
          <w:tcPr>
            <w:tcW w:w="1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1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3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on lease (AIC) is stated at cost, net of accumulated depreciation. Depreciation is calculated using the straight-line method over the estimated useful life of the equipment on lease, which is determined to be 7 years. The Company records a write-off provision for any excess, lost or damaged equipment when warranted based on an assessment of the equipment. Write-offs for equipment are included in cost of revenues.</w:t>
      </w:r>
    </w:p>
    <w:p>
      <w:pPr>
        <w:spacing w:after="0" w:line="176" w:lineRule="exact"/>
        <w:rPr>
          <w:sz w:val="20"/>
          <w:szCs w:val="20"/>
          <w:color w:val="auto"/>
        </w:rPr>
      </w:pPr>
    </w:p>
    <w:p>
      <w:pPr>
        <w:ind w:left="340" w:right="2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6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(***)Building and land consist of land and an ink manufacturing plant. In September 2018, the Company purchased the land which includes long-term leasehold rights, with a lease term of 49 years, which may be renewed for an additional 49 years. The manufacturing plant useful life is 25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if an arrangement is a lease at inception. A contract is or contains a lease if the contract conveys the right to control the use of identified property, plant, or equipment (an identified asset) for a period of time in exchange for consideration. Contracts containing a lease are further evaluated for classification as an operating or finance lease. The Company (as a lesee and a lessor) classifies a lease as a finance lease when the lease meets any of the following criteria at lease commencement:</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grants the lessee an option to purchase the underlying asset that the lessee is reasonably certain to exercise.</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the major part of the remaining economic life of the underlying asset. However, if the commencement date falls at or near the end of the economic life of the underlying asset, this criterion shall not be used for purposes of classifying the lease.</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sum of the lease payments and any residual value guaranteed by the lessee that is not already reflected in the lease payments equals or exceeds substantially all of the fair value of the underlying asset.</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it is expected to have no alternative use to the lessor at the end of the lease term.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2025, all of the company’s leases are classified as operating leases.</w:t>
      </w:r>
    </w:p>
    <w:p>
      <w:pPr>
        <w:spacing w:after="0" w:line="225" w:lineRule="exact"/>
        <w:rPr>
          <w:sz w:val="20"/>
          <w:szCs w:val="20"/>
          <w:color w:val="auto"/>
        </w:rPr>
      </w:pPr>
    </w:p>
    <w:p>
      <w:pPr>
        <w:ind w:left="1300" w:hanging="320"/>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accounting:</w:t>
      </w:r>
    </w:p>
    <w:p>
      <w:pPr>
        <w:spacing w:after="0" w:line="225"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current operating lease liabilities and non-current operating lease liabilities in the Company’s consolidated balance sheets. ROU assets represent the right to use an underlying asset for the lease term and lease liabilities represent the Company’s obligation to make lease payments arising from the lease. For leases with terms greater than 12 months, the Company records the ROU asset and liability at the commencement date based on the present value of lease payments according to their terms. The Company also elected the practical expedient to not separate lease and non-lease components for its leases.</w:t>
      </w:r>
    </w:p>
    <w:p>
      <w:pPr>
        <w:spacing w:after="0" w:line="18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uses incremental borrowing rates based on the estimated rate of interest for collateralized borrowing over a similar term of the lease payments at commencement date. Lease terms may include terms under extension option or exclude terms under termination option when it is reasonably certain that the Company will exercise that option. Operating Lease expenses are recognized on a straight-line basis over the lease term or the useful life of the leased asset.</w:t>
      </w:r>
    </w:p>
    <w:p>
      <w:pPr>
        <w:spacing w:after="0" w:line="180" w:lineRule="exact"/>
        <w:rPr>
          <w:sz w:val="20"/>
          <w:szCs w:val="20"/>
          <w:color w:val="auto"/>
        </w:rPr>
      </w:pPr>
    </w:p>
    <w:p>
      <w:pPr>
        <w:ind w:left="980"/>
        <w:spacing w:after="0" w:line="282" w:lineRule="auto"/>
        <w:tabs>
          <w:tab w:leader="none" w:pos="110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carrying amount of the ROU and lease liabilities are remeasured if there is a modification, a change in the lease term, a change in the in-substance fixed lease payments or a change in the assessment to purchase the underlying asset.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(Cont.)</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Lessor accounting - Operating leases:</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leasing revenues- AIC transactions in accordance with ASC 842, which usually qualify for operating lease treatment. For operating leases in which the Company is the lessor, the Company keeps the underlying asset on the Consolidated Balance Sheets under Property, plant and equipment and continues to depreciate the assets over its useful life.</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Company’s AIC transactions include product supply agreements include the right to use the device (lease component), and generally consist of services, including supplies such as ink and other consumables, software, and value added services, all of which support the maintenance and functionality of the device over the term of the lease (non-lease component) which consider single performance obligation.. See also Note 2.n.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We have elected to account for sales tax and other similar taxes collected from a lessee as lessee costs and therefore we exclude these costs from contract consideration and variable consideration and present revenue net of these costs</w:t>
      </w:r>
    </w:p>
    <w:p>
      <w:pPr>
        <w:spacing w:after="0" w:line="162"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in the statement of operations in the period incurred.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reflects the excess of the purchase price of a business acquired over the fair value of net assets acquired. Under ASC No. 350, “Intangibles – Goodwill and other” (“ASC No. 350”), goodwill is not amortized but is tested for impairment at least annually or more frequently if events or changes in circumstances indicate that the carrying value may be impaired. The Company has elected to perform an annual impairment test of goodwill as of December 31 of each year, or more frequently if impairment indicators are present.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(Cont.)</w:t>
      </w:r>
    </w:p>
    <w:p>
      <w:pPr>
        <w:spacing w:after="0" w:line="225"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one operating segment and this segment comprises the Company’s sole reporting unit. ASC 350 allows an entity to first assess qualitative factors to determine whether it is necessary to perform the quantitative goodwill impairment test. If the qualitative assessment does not result in a more likely than not indication of impairment, no further impairment testing is required. If an entity elects not to use this option, or if an entity determines that it is more likely than not that the fair value of a reporting unit is less than its carrying value, then the entity prepares a quantitative analysis to determine whether the carrying value of a reporting unit exceeds its estimated fair value. If the carrying value of a reporting unit exceeds its estimated fair value, the entity recognizes an impairment of goodwill for the amount of this excess.</w:t>
      </w:r>
    </w:p>
    <w:p>
      <w:pPr>
        <w:spacing w:after="0" w:line="18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2025, 2024 and 2023, no impairment of goodwill was recorded.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w:t>
      </w:r>
    </w:p>
    <w:p>
      <w:pPr>
        <w:spacing w:after="0" w:line="16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long-lived assets are reviewed for impairment in accordance with ASC 360-10, “Property, Plant and Equipment,”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83"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2025, and 2024, no impairment of long-lived assets and finite-lived intangible assets was recorded. For the year ended December 31, 2023, an impairment loss of $1,118, related to operating lease right-of-use assets was recorded as a result of the Company’s restructuring (see Note 2ad).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revenues from sales of systems, operating leases, consumables and services, including software subscriptions and transaction-based revenues. The Company sells its products directly to end-users and indirectly through independent distributors, all of whom are considered end-users.</w:t>
      </w:r>
    </w:p>
    <w:p>
      <w:pPr>
        <w:spacing w:after="0" w:line="17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83"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products, which consist of systems and consumables, are recognized at the point in time when control has transferred, in accordance with the agreed-upon delivery terms. Revenues from services are derived mainly from the sale of print heads, spare parts, upgrade kits, service contracts and software subscriptions. The Company’s revenues from print heads, spare parts and upgrade kits revenues are recognized at the point in time when control has transferred. Service contracts and software subscriptions are recognized over time, on a straight-line basis, over the period of the service as the services have a consistent continuous pattern of transfer to a customer during the contract period.</w:t>
      </w:r>
    </w:p>
    <w:p>
      <w:pPr>
        <w:spacing w:after="0" w:line="187"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or service has been rendered. In most cases, the Company can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188"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account for training and installation as a separate performance obligation due to its immateriality in the context of its contracts. Accordingly, revenues from training and installation are recognized upon the delivery of its systems.</w:t>
      </w:r>
    </w:p>
    <w:p>
      <w:pPr>
        <w:spacing w:after="0" w:line="16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recognized net of any taxes collected from customers which are subsequently remitted to governmental entities (for example, sales tax and other indirect taxes).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(Cont.)</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provides customer incentive programs in the form of product discounts, volume-based rebates and warrants (see also note 10f), which are accounted for as a variable consideration that are deducted from revenue in the period in which the revenue is recognized. These reductions to revenue are made based upon estimates that are determined according to historical experience and the specific terms and conditions of the incentive.</w:t>
      </w:r>
    </w:p>
    <w:p>
      <w:pPr>
        <w:spacing w:after="0" w:line="179"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provision for returns which is estimated, primarily based on historical experience as well as management judgment, and is recorded as a reduction of revenue. Such provision amounted to $1,225 and $1,243 as of December 31, 2025 and 2024, respectively, and is included under accrued expenses and other current liabilities in the consolidated balance sheets.</w:t>
      </w:r>
    </w:p>
    <w:p>
      <w:pPr>
        <w:spacing w:after="0" w:line="17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 include amounts received from customers for which revenue has not yet been recognized. Contract liabilities amounted to $1,529 and $2,357 as of December 31, 2025 and 2024, respectively, and are presented under deferred revenues and customers advances and other non-current liabilities. During the year ended December 31, 2025, the Company recognized revenues in amount of $2,339, which had been included in the contract liabilities balance on January 1, 2025.</w:t>
      </w:r>
    </w:p>
    <w:p>
      <w:pPr>
        <w:spacing w:after="0" w:line="17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the Company’s customers trade-in old systems as part of a sale of new systems, the fair value of the old systems is recorded as inventory, provided that such value can be recovered.</w:t>
      </w:r>
    </w:p>
    <w:p>
      <w:pPr>
        <w:spacing w:after="0" w:line="16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the Company’s independent distributors accounted for approximately 11%, 9% and 13% of 2025, 2024 and 2023 revenues, respectively.</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represent contracted revenues that have not yet been recognized, and which includes deferred revenues and non-cancelable contracts that will be invoiced and recognized as revenue in future periods. The Company elected to apply the optional exemption under paragraph ASC 606-10-50-14(a) not to disclose the remaining performance obligations that relate to contracts with an original expected duration of one year or less for which deferred revenues have not been recorded yet.</w:t>
      </w:r>
    </w:p>
    <w:p>
      <w:pPr>
        <w:spacing w:after="0" w:line="17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transaction price allocated to the remaining performance obligations was $1,899 as of December 31, 2025, which are expected to be satisfied and recognized in future periods as represented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2028 and</w:t>
            </w:r>
          </w:p>
        </w:tc>
      </w:tr>
      <w:tr>
        <w:trPr>
          <w:trHeight w:val="245"/>
        </w:trPr>
        <w:tc>
          <w:tcPr>
            <w:tcW w:w="4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contracts and software subscriptions</w:t>
            </w:r>
          </w:p>
        </w:tc>
        <w:tc>
          <w:tcPr>
            <w:tcW w:w="29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871"/>
        </w:trPr>
        <w:tc>
          <w:tcPr>
            <w:tcW w:w="4380" w:type="dxa"/>
            <w:vAlign w:val="bottom"/>
            <w:tcBorders>
              <w:top w:val="single" w:sz="8" w:color="CCEEFF"/>
              <w:bottom w:val="single" w:sz="8" w:color="auto"/>
            </w:tcBorders>
          </w:tcPr>
          <w:p>
            <w:pPr>
              <w:spacing w:after="0"/>
              <w:rPr>
                <w:sz w:val="24"/>
                <w:szCs w:val="24"/>
                <w:color w:val="auto"/>
              </w:rPr>
            </w:pPr>
          </w:p>
        </w:tc>
        <w:tc>
          <w:tcPr>
            <w:tcW w:w="2940" w:type="dxa"/>
            <w:vAlign w:val="bottom"/>
            <w:tcBorders>
              <w:top w:val="single" w:sz="8" w:color="CCEEFF"/>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F-20</w:t>
            </w: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(Cont.)</w:t>
      </w:r>
    </w:p>
    <w:p>
      <w:pPr>
        <w:spacing w:after="0" w:line="225" w:lineRule="exact"/>
        <w:rPr>
          <w:rFonts w:ascii="Times New Roman" w:cs="Times New Roman" w:eastAsia="Times New Roman" w:hAnsi="Times New Roman"/>
          <w:sz w:val="18"/>
          <w:szCs w:val="18"/>
          <w:color w:val="auto"/>
        </w:rPr>
      </w:pPr>
    </w:p>
    <w:p>
      <w:pPr>
        <w:ind w:left="98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to apply the practical expedient for the financing component for transactions in which the difference between the payment date and the revenue recognition timing is up to 12 months. Payment terms between the Company and its payors are typically up to twelve months, and vary by the type of payer, country of sale and the products or services offered.</w:t>
      </w:r>
    </w:p>
    <w:p>
      <w:pPr>
        <w:spacing w:after="0" w:line="1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operating leases (AIC)</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AIC transactions include product supply agreements include the right to use the device (lease component), and generally consist of services, including supplies such as ink and other consumables, software, and value added services, all of which support the maintenance and functionality of the device over the term of the lease (non-lease component) which consider single performance obligation.</w:t>
      </w:r>
    </w:p>
    <w:p>
      <w:pPr>
        <w:spacing w:after="0" w:line="17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that include an annual minimum commitment, the Company allocates the commitment between the lease and non-lease components based on their relative standalone selling prices. Revenue associated with the non-lease elements is generally recognized as a single performance obligation delivered over time, with progress toward satisfaction of the obligation measured based on the number of impressions used,, as this output measure best depicts the transfer of the services to the customer.</w:t>
      </w:r>
    </w:p>
    <w:p>
      <w:pPr>
        <w:spacing w:after="0" w:line="17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AIC contracts, the customer pays a fixed annual fee base on his minimum commitment, and in addition, these arrangements typically include a variable component for print volumes exceeding the annual commitment, priced based on a variable rate per impression.</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capitalizes incremental costs incurred in obtaining customer contracts, which include sales commissions paid to the Company’s sales personnel. These costs are recorded as deferred contract acquisition costs at the amount of $680 in 2025. The Company determines whether such costs should be deferred based on its sales compensation plans and on whether the commissions are incremental and would not have been incurred absent the execution of the customer contract.</w:t>
      </w:r>
    </w:p>
    <w:p>
      <w:pPr>
        <w:spacing w:after="0" w:line="179" w:lineRule="exact"/>
        <w:rPr>
          <w:rFonts w:ascii="Times New Roman" w:cs="Times New Roman" w:eastAsia="Times New Roman" w:hAnsi="Times New Roman"/>
          <w:sz w:val="18"/>
          <w:szCs w:val="18"/>
          <w:color w:val="auto"/>
        </w:rPr>
      </w:pPr>
    </w:p>
    <w:p>
      <w:pPr>
        <w:jc w:val="both"/>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upon the initial acquisition of a customer contract are amortized over a benefit period of 4 to 5 years, consistent with the expected term of the operating lease contract. The amortization of sales commissions is recognized in a manner consistent with the pattern of revenue recognition for each performance obligation and is recorded as a sales and marketing expense, at the amount of $50 in 2025.</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expenses costs to obtain a contract with a customer when the related amortization period is one year or less. The Company periodically reviews its deferred contract acquisition costs to assess whether events or changes in circumstances have occurred that may impact the expected period of benefit. No impairment losses were recorded during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fees charged to the Company’s customers are recognized as revenue in the period shipped and the related costs for providing these services are recorded as a cost of revenue.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is comprised mainly of cost of systems and parts, ink production, employees’ salaries and related costs, allocated overhead expenses, import taxes, inventory write-offs, royalties and shipping and handling fees.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typically provides assurance type standard warranty for six months on its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changes in the liability for product warranty from January 1, 2024 to December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and adjustments to cost of revenues</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and adjustments to cost of revenues</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 of government grants, are charged to the statement of operations, as incurred, except for development expenses which are capitalized as described in Note 2s.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 (Cont.)</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 of government grants, are charged to the statement of operations, as incurred, except for development expenses which are capitalized as described in Note 2s.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capitalization cost:</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capitalizes qualifying costs incurred during the application development stage related to software developed for internal use. These costs are capitalized based on the qualifying criteria. Such costs are amortized over the software’s estimated life of five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costs incurred in a cloud computing arrangements that is a service contract:</w:t>
      </w:r>
    </w:p>
    <w:p>
      <w:pPr>
        <w:spacing w:after="0" w:line="225"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cloud computing arrangements (“CCA”) that are service contracts consist of an arrangement with third party vendors for internal use of their software applications that they host. The Company defers implementation costs incurred in relation to those arrangements, including costs for software application coding, configuration, integration and customization, while associated process reengineering, training, maintenance and data conversion costs are expensed. The short-term portion of deferred costs are included in prepaid expenses and other current assets in the consolidated balance sheets, while the long-term portion of deferred costs are included in other non-current assets. Amortized implementation costs incurred in CCA that are service contracts will be recognized using the straight-line method over the term of the hosting arrangement, up to eight years, which represents the noncancellable terms of the CCA, plus any optional renewal periods that the Company is reasonably certain to exercise. Deferred implementation costs are subject to assessment for potential impairment whenever events or changes in circumstances indicate that the carrying values may not be recoverable.</w:t>
      </w:r>
    </w:p>
    <w:p>
      <w:pPr>
        <w:spacing w:after="0" w:line="188"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implementation costs incurred in CCA amounted to $10,338, and $10,073 as of December 31, 2025 and 2024, respectively. Amortization of the implementation costs commenced on January 1, 2024.</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of the implementation costs for the years ended December 31, 2025, and 2024 were $1,365 and $1,366,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share-based compensation:</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share-based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spacing w:after="0" w:line="175" w:lineRule="exact"/>
        <w:rPr>
          <w:rFonts w:ascii="Times New Roman" w:cs="Times New Roman" w:eastAsia="Times New Roman" w:hAnsi="Times New Roman"/>
          <w:sz w:val="18"/>
          <w:szCs w:val="18"/>
          <w:color w:val="auto"/>
        </w:rPr>
      </w:pPr>
    </w:p>
    <w:p>
      <w:pPr>
        <w:ind w:left="98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selected the binomial option pricing model as the most appropriate fair value method for its stock options awards with the following assumptions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620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6"/>
        </w:trPr>
        <w:tc>
          <w:tcPr>
            <w:tcW w:w="6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Suboptimal exercise multiple</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4.29%-3.69%</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4.01%-3.82%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4.26%-4.30%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57.25%-67.35%</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58.29%-62.88%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57.75%-60.75%</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expected volatility is derived from the volatility of the Company’s share price based upon actual historical stock price movements. The computation of the suboptimal exercise multiple is derived from empirical studies, based on those studies, the early exercise factor of public companies is approximately 150% for managers and 100% for other employees. The interest rate for the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8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fair value of each restricted stock unit (“RSU”) including performance based RSUs (“PSU”) (excluding PSUs based on market condition awards) is the market value of a single ordinary share of the Company, as determined based on the closing price of the Company’s ordinary shares on the date immediately prior to the day of grant. The Company estimates the fair value of PSU based on market condition awards on the date of grant using the Monte-Carlo simulation model.</w:t>
      </w:r>
    </w:p>
    <w:p>
      <w:pPr>
        <w:spacing w:after="0" w:line="180"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w:t>
      </w:r>
    </w:p>
    <w:p>
      <w:pPr>
        <w:spacing w:after="0" w:line="225"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ASC No. 815, “Derivatives and Hedging” which requires companies to recognize all their derivative instruments as either assets or liabilities in the balance sheets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spacing w:after="0" w:line="188"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derivative financial instruments, specifically foreign currency forward and option contracts, to manage exposure to foreign currency risks, by hedging payroll and related expenses denominated in New Israeli Shekels that it expects to incur within a year. The effect of exchange rate changes on foreign currency hedging contracts is expected to partially offset the effect of exchange rate changes on the underlying hedged item.</w:t>
      </w:r>
    </w:p>
    <w:p>
      <w:pPr>
        <w:spacing w:after="0" w:line="179"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spacing w:after="0" w:line="17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notional amounts: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notional amounts for hedged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7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3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5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F-25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 (Cont.)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outstanding:</w:t>
      </w:r>
    </w:p>
    <w:p>
      <w:pPr>
        <w:spacing w:after="0" w:line="225"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fair value of the Company’s outstanding forward and option contracts amounted to $1,348 which are included within “Prepaid expenses and other current assets” on the balance sheets. As of December 31, 2024 there was no outstanding forward and option contracts.</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gains and losses</w:t>
      </w:r>
    </w:p>
    <w:p>
      <w:pPr>
        <w:spacing w:after="0" w:line="225"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expense (income) from derivatives instruments included in the consolidated statements of operations and reclassified from other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r>
    </w:tbl>
    <w:p>
      <w:pPr>
        <w:spacing w:after="0" w:line="179" w:lineRule="exact"/>
        <w:rPr>
          <w:sz w:val="20"/>
          <w:szCs w:val="20"/>
          <w:color w:val="auto"/>
        </w:rPr>
      </w:pPr>
    </w:p>
    <w:p>
      <w:pPr>
        <w:ind w:left="1620" w:right="20"/>
        <w:spacing w:after="0" w:line="282" w:lineRule="auto"/>
        <w:rPr>
          <w:sz w:val="20"/>
          <w:szCs w:val="20"/>
          <w:color w:val="auto"/>
        </w:rPr>
      </w:pPr>
      <w:r>
        <w:rPr>
          <w:rFonts w:ascii="Times New Roman" w:cs="Times New Roman" w:eastAsia="Times New Roman" w:hAnsi="Times New Roman"/>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62" w:lineRule="exact"/>
        <w:rPr>
          <w:sz w:val="20"/>
          <w:szCs w:val="20"/>
          <w:color w:val="auto"/>
        </w:rPr>
      </w:pPr>
    </w:p>
    <w:p>
      <w:pPr>
        <w:ind w:left="1620"/>
        <w:spacing w:after="0" w:line="282" w:lineRule="auto"/>
        <w:rPr>
          <w:sz w:val="20"/>
          <w:szCs w:val="20"/>
          <w:color w:val="auto"/>
        </w:rPr>
      </w:pPr>
      <w:r>
        <w:rPr>
          <w:rFonts w:ascii="Times New Roman" w:cs="Times New Roman" w:eastAsia="Times New Roman" w:hAnsi="Times New Roman"/>
          <w:sz w:val="18"/>
          <w:szCs w:val="18"/>
          <w:color w:val="auto"/>
        </w:rPr>
        <w:t>The maximum length of time over which the Company hedges its exposure to the variability in future cash flows for forecasted transactions is less than 12 months.</w:t>
      </w:r>
    </w:p>
    <w:p>
      <w:pPr>
        <w:spacing w:after="0" w:line="162"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as non-current assets and liabilities, respectively.</w:t>
      </w:r>
    </w:p>
    <w:p>
      <w:pPr>
        <w:spacing w:after="0" w:line="187"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risks: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Company and its subsidiaries to concentration of credit risk consist principally of cash and cash equivalents, bank deposits, marketable securities, foreign exchange contracts and trade receivables.</w:t>
      </w:r>
    </w:p>
    <w:p>
      <w:pPr>
        <w:spacing w:after="0" w:line="161"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they bear a lower risk.</w:t>
      </w:r>
    </w:p>
    <w:p>
      <w:pPr>
        <w:spacing w:after="0" w:line="17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attempts to limit its exposure to interest rate risk by investing in securities with maturities of less than four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183"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receivables of the Company and its subsidiaries are mainly derived from sales to customers located in the United States, Europe, Asia Pacific and Latin America. The Company performs ongoing credit evaluations of its customers. In certain circumstances, the Company may require letters of credit from its customers, other collaterals or additional guarantees. The allowance for credit loss is based on the Company’s assessment of historical collection experience, customer creditworthiness, and current and future economic and market conditions. The Company regularly reviews the adequacy of the allowance for credit loss based on a combination of factors, including an assessment of the current customer’s aging balance, the nature and size of the customer and the financial status of the customer. Accounts receivable deemed uncollectable are charged against the allowance for credit loss when identified. Credit losses expense is included in Sales and Marketing in the Consolidated Statements of Income (Loss). The allowance for credit loss as of December 31, 2025 and 2024, amounted to $9,746 and $9,243, respectively.</w:t>
      </w:r>
    </w:p>
    <w:p>
      <w:pPr>
        <w:spacing w:after="0" w:line="188"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2025 and 2024, current period provision allowance for credit loss amounted to $2,154 and $4,299, respectively, which was partially offset by a write-off amount of $1,651 and $283,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financial assets:</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860 “Transfers and Servicing”, (“ASC 860”), establishes a standard for determining when a transfer of financial assets should be accounted for as a sale. The Company’s arrangements are such that the underlying conditions are met for the transfer of financial assets to qualify for accounting as a sale. The transfers of financial assets are typically performed by the factoring of receivables to two financial institutions.</w:t>
      </w:r>
    </w:p>
    <w:p>
      <w:pPr>
        <w:spacing w:after="0" w:line="179"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2024 and 2023, the Company sold trade receivables to financial institutions in a total net amount of $313, $2,739 and $2,262, respectively. Control and risk of those trade receivables were fully transferred in accordance with ASC 860. During the year ended December 31, 2025, 2024 and 2023, the Company recorded an aggregate amount of $24, $340 and $356, respectively, as financial expenses related to its factoring arrangements.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spacing w:after="0" w:line="183"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183"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Severance expenses for the years ended December 31, 2025, 2024 and 2023 were $2,874, $3,066 and $3,144, respectively.</w:t>
      </w:r>
    </w:p>
    <w:p>
      <w:pPr>
        <w:spacing w:after="0" w:line="225"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 (Cont.)</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fair value, the Company uses various valuation approaches. ASC No. 820 establishes a hierarchy for inputs used in measuring fair value that maximize the use of observable inputs and minimize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8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hierarchy is broken down into three levels based on the inputs as follows:</w:t>
      </w:r>
    </w:p>
    <w:p>
      <w:pPr>
        <w:spacing w:after="0" w:line="225" w:lineRule="exact"/>
        <w:rPr>
          <w:rFonts w:ascii="Times New Roman" w:cs="Times New Roman" w:eastAsia="Times New Roman" w:hAnsi="Times New Roman"/>
          <w:sz w:val="18"/>
          <w:szCs w:val="18"/>
          <w:color w:val="auto"/>
        </w:rPr>
      </w:pPr>
    </w:p>
    <w:p>
      <w:pPr>
        <w:ind w:left="1720" w:hanging="74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(unadjusted) in active markets for identical assets or liabilities that the Company can access at the measurement date.</w:t>
      </w:r>
    </w:p>
    <w:p>
      <w:pPr>
        <w:spacing w:after="0" w:line="161" w:lineRule="exact"/>
        <w:rPr>
          <w:rFonts w:ascii="Times New Roman" w:cs="Times New Roman" w:eastAsia="Times New Roman" w:hAnsi="Times New Roman"/>
          <w:sz w:val="18"/>
          <w:szCs w:val="18"/>
          <w:color w:val="auto"/>
        </w:rPr>
      </w:pPr>
    </w:p>
    <w:p>
      <w:pPr>
        <w:ind w:left="1720" w:right="20" w:hanging="74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one or more quoted prices in markets that are not active or for which all significant inputs are observable, either directly or indirectly.</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6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cash, cash equivalents, short term bank deposits, trade receivables, prepaid expenses and other current assets, trade payables and accrued expenses and other current liabilities approximates their fair value due to the short-term maturities of such instruments.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 Basic and diluted earnings (losses) per share:</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Basic earnings No. 260,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the relevant ASC.</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all outstanding options and RSU’s of 2,649,559, 2,752,644 and 2,306,577, respectively, have been excluded from the calculation of the diluted earnings per share since their effect was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 Segment reporting:</w:t>
      </w:r>
    </w:p>
    <w:p>
      <w:pPr>
        <w:spacing w:after="0" w:line="225"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The Company identifies operating segments in accordance with ASC Topic 280, “Segment Reporting” as components of an entity for which discrete financial information is available and is regularly reviewed by the chief operating decision maker (“CODM”), or decision-making group, in making decisions regarding resource allocation and evaluating financial performance. Consolidated net income in the consolidated statements of income (loss) is the measure of financial profit and loss most closely aligned with generally accepted accounting principles that is used by the CODM to assess performance and resource allocation. Our Chief Executive Officer is our chief operating decision maker who evaluates performance and makes operating decisions about allocating resources and based on consolidated financial data and assessing performance. Further, the CODM reviews and utilizes functional expenses (cost of revenues, sales and marketing, research and development, and general and administrative) at the consolidated level to manage the Company’s operations, evaluate return on total assets in deciding whether to invest in the development and expansion of our consolidated operations or into strategic transactions, such as acquisitions and capital repurchases.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 Restructuring:</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During 2025, 2024 and2023 the Company decided upon a cost savings initiative which resulted in restructuring charge. Included in this restructuring is a workforce reduction and a phasing out of legacy platforms.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a result, the Company recognized a workforce reduction of approximately 4% in 2024, and an additional 4% in 2025, recorded as severance and other related expenses for the impacted employees, in addition to other related expenses.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summary of the restructuring charges for the year ended December 31, 2025, 2024 and 2023 by major activity type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7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Write-off</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37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700" w:type="dxa"/>
            <w:vAlign w:val="bottom"/>
          </w:tcPr>
          <w:p>
            <w:pPr>
              <w:spacing w:after="0"/>
              <w:rPr>
                <w:sz w:val="21"/>
                <w:szCs w:val="21"/>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r>
      <w:tr>
        <w:trPr>
          <w:trHeight w:val="21"/>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7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Write-off</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37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700" w:type="dxa"/>
            <w:vAlign w:val="bottom"/>
          </w:tcPr>
          <w:p>
            <w:pPr>
              <w:spacing w:after="0"/>
              <w:rPr>
                <w:sz w:val="21"/>
                <w:szCs w:val="21"/>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1"/>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F-30</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 Restructuring (Cont.)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Write-off</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2,930</w:t>
            </w: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19,375</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Company recorded $1,026, $789 and $11,009 of inventory write-off as a result.</w:t>
      </w:r>
    </w:p>
    <w:p>
      <w:pPr>
        <w:spacing w:after="0" w:line="225"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liabilities related to the restructuring plan as of December 31, 2025 and 2024 amounted to $856 and $1,172 respectively. The liabilities related to the restructuring plan as of December 31, 2024 and 2025 were paid in full in 2025 and 2026,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cumulative expenses related to the 2023, 2024 and 2025 restructuring plans incurred to date amounted to $24,453, the Company does not expect to incur additional cost with respect to these plans.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ae. </w:t>
      </w: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(ASU 740): Improvements to Income Tax Disclosures, which requires public entities, on an annual basis, to provide disclosure of specific categories in the rate reconciliation, as well as disclosure of income taxes paid disaggregated by jurisdiction. The amendments are effective for fiscal years beginning after December 15, 2024, with early adoption permitted. The Company adopted ASU 2023-09 on a prospective basis during the year ended December 31, 2025, which resulted in updated income tax disclosures. See Note 14 in the accompanying notes to the consolidated financial statements for further details.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  Recently issued accounting pronouncements</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requires an entity to disclose the amounts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the Company is currently evaluating the impact of adopting ASU 2024-03</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is currently evaluating the timing of adoption and impact of this amendment on its Consolidated Financial Statements and related disclosures.</w:t>
      </w:r>
    </w:p>
    <w:p>
      <w:pPr>
        <w:spacing w:after="0" w:line="183"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The amendment modernizes the accounting for software costs and enhances the transparency about an entity’s software costs. ASU 2025-06 is effective for fiscal years beginning after December 15, 2027, and interim reporting periods within those annual reporting periods. Early adoption is permitted, and may be applied either through a prospective, retrospective or a modified transition approach. The Company is currently evaluating the timing of adoption and impact of this amendment on its Consolidated Financial Statements and related disclosures.</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to establish guidance on the recognition, measurement, presentation and disclosure requirements for government grants received by business entities, including guidance for grants related to an asset and grants related to income. ASU 2025-10 is effective for fiscal years beginning after December 15, 2028, and interim reporting periods within those annual reporting periods. Early adoption is permitted, and may be applied using a modified prospective, modified retrospective, or under a retrospective approach. The Company is currently evaluating the timing of adoption and impact of this amendment on its Consolidated Financial Statements and related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summary of marketable securities held as of December 31, 2025 and 2024:</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Matures within one year:</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debentures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Matures after one through four years: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debentures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Matures within one year:</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debentures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Government debentures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53,926</w:t>
            </w:r>
          </w:p>
        </w:tc>
      </w:tr>
      <w:tr>
        <w:trPr>
          <w:trHeight w:val="661"/>
        </w:trPr>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32,982</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47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86,783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35"/>
                <w:szCs w:val="35"/>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87,258</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1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215,040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213,401</w:t>
            </w:r>
          </w:p>
        </w:tc>
      </w:tr>
      <w:tr>
        <w:trPr>
          <w:trHeight w:val="248"/>
        </w:trPr>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9,577</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-2073910</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-1799590</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-1508125</wp:posOffset>
            </wp:positionV>
            <wp:extent cx="713232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-281940</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6"/>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224,617</w:t>
            </w: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222,937</w:t>
            </w: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Matures after one through four years:</w:t>
            </w:r>
          </w:p>
        </w:tc>
        <w:tc>
          <w:tcPr>
            <w:tcW w:w="1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debentures</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48,074</w:t>
            </w: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48,086</w:t>
            </w:r>
          </w:p>
        </w:tc>
      </w:tr>
      <w:tr>
        <w:trPr>
          <w:trHeight w:val="216"/>
        </w:trPr>
        <w:tc>
          <w:tcPr>
            <w:tcW w:w="4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272,691</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220"/>
              <w:spacing w:after="0" w:line="256" w:lineRule="exact"/>
              <w:rPr>
                <w:sz w:val="20"/>
                <w:szCs w:val="20"/>
                <w:color w:val="auto"/>
              </w:rPr>
            </w:pPr>
            <w:r>
              <w:rPr>
                <w:rFonts w:ascii="Times New Roman" w:cs="Times New Roman" w:eastAsia="Times New Roman" w:hAnsi="Times New Roman"/>
                <w:sz w:val="16"/>
                <w:szCs w:val="16"/>
                <w:color w:val="auto"/>
              </w:rPr>
              <w:t>(1,929</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271,023</w:t>
            </w:r>
          </w:p>
        </w:tc>
      </w:tr>
      <w:tr>
        <w:trPr>
          <w:trHeight w:val="20"/>
        </w:trPr>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F-33</w:t>
            </w: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159" w:name="page160"/>
    <w:bookmarkEnd w:id="159"/>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 (Cont.)</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Investments with continuous unrealized losses for less than 12 months and 12 months or greater and their related fair values, were as follows as of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22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9"/>
                <w:szCs w:val="29"/>
                <w:color w:val="auto"/>
                <w:vertAlign w:val="superscript"/>
              </w:rPr>
              <w:t>)</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(1,888)</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(63</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(1,866</w:t>
            </w:r>
            <w:r>
              <w:rPr>
                <w:rFonts w:ascii="Times New Roman" w:cs="Times New Roman" w:eastAsia="Times New Roman" w:hAnsi="Times New Roman"/>
                <w:sz w:val="29"/>
                <w:szCs w:val="29"/>
                <w:color w:val="auto"/>
                <w:vertAlign w:val="superscript"/>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(1,929</w:t>
            </w:r>
            <w:r>
              <w:rPr>
                <w:rFonts w:ascii="Times New Roman" w:cs="Times New Roman" w:eastAsia="Times New Roman" w:hAnsi="Times New Roman"/>
                <w:sz w:val="29"/>
                <w:szCs w:val="29"/>
                <w:color w:val="auto"/>
                <w:vertAlign w:val="superscript"/>
              </w:rPr>
              <w:t>)</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Company’s assets and liabilities that were measured at fair value as of December 31, 2025 and 2024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6"/>
        </w:trPr>
        <w:tc>
          <w:tcPr>
            <w:tcW w:w="59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5"/>
                <w:szCs w:val="15"/>
                <w:color w:val="auto"/>
              </w:rPr>
            </w:pPr>
          </w:p>
        </w:tc>
        <w:tc>
          <w:tcPr>
            <w:tcW w:w="1200" w:type="dxa"/>
            <w:vAlign w:val="bottom"/>
            <w:gridSpan w:val="2"/>
          </w:tcPr>
          <w:p>
            <w:pPr>
              <w:jc w:val="right"/>
              <w:ind w:right="540"/>
              <w:spacing w:after="0" w:line="15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line="15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9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5"/>
                <w:szCs w:val="15"/>
                <w:color w:val="auto"/>
              </w:rPr>
            </w:pPr>
          </w:p>
        </w:tc>
      </w:tr>
      <w:tr>
        <w:trPr>
          <w:trHeight w:val="41"/>
        </w:trPr>
        <w:tc>
          <w:tcPr>
            <w:tcW w:w="520" w:type="dxa"/>
            <w:vAlign w:val="bottom"/>
            <w:tcBorders>
              <w:top w:val="single" w:sz="8" w:color="auto"/>
            </w:tcBorders>
          </w:tcPr>
          <w:p>
            <w:pPr>
              <w:spacing w:after="0"/>
              <w:rPr>
                <w:sz w:val="3"/>
                <w:szCs w:val="3"/>
                <w:color w:val="auto"/>
              </w:rPr>
            </w:pPr>
          </w:p>
        </w:tc>
        <w:tc>
          <w:tcPr>
            <w:tcW w:w="54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35,476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368,446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368,446</w:t>
            </w:r>
          </w:p>
        </w:tc>
      </w:tr>
      <w:tr>
        <w:trPr>
          <w:trHeight w:val="23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87,258</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87,258</w:t>
            </w:r>
          </w:p>
        </w:tc>
      </w:tr>
      <w:tr>
        <w:trPr>
          <w:trHeight w:val="216"/>
        </w:trPr>
        <w:tc>
          <w:tcPr>
            <w:tcW w:w="52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403,922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87,258</w:t>
            </w:r>
          </w:p>
        </w:tc>
        <w:tc>
          <w:tcPr>
            <w:tcW w:w="9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491,180</w:t>
            </w:r>
          </w:p>
        </w:tc>
      </w:tr>
      <w:tr>
        <w:trPr>
          <w:trHeight w:val="21"/>
        </w:trPr>
        <w:tc>
          <w:tcPr>
            <w:tcW w:w="5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6"/>
        </w:trPr>
        <w:tc>
          <w:tcPr>
            <w:tcW w:w="3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40"/>
              <w:spacing w:after="0" w:line="15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line="15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5"/>
                <w:szCs w:val="15"/>
                <w:color w:val="auto"/>
              </w:rPr>
            </w:pPr>
          </w:p>
        </w:tc>
      </w:tr>
      <w:tr>
        <w:trPr>
          <w:trHeight w:val="41"/>
        </w:trPr>
        <w:tc>
          <w:tcPr>
            <w:tcW w:w="520" w:type="dxa"/>
            <w:vAlign w:val="bottom"/>
            <w:tcBorders>
              <w:top w:val="single" w:sz="8" w:color="auto"/>
            </w:tcBorders>
          </w:tcPr>
          <w:p>
            <w:pPr>
              <w:spacing w:after="0"/>
              <w:rPr>
                <w:sz w:val="3"/>
                <w:szCs w:val="3"/>
                <w:color w:val="auto"/>
              </w:rPr>
            </w:pPr>
          </w:p>
        </w:tc>
        <w:tc>
          <w:tcPr>
            <w:tcW w:w="31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35,003</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205,934</w:t>
            </w:r>
          </w:p>
        </w:tc>
      </w:tr>
      <w:tr>
        <w:trPr>
          <w:trHeight w:val="23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271,023</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271,023</w:t>
            </w:r>
          </w:p>
        </w:tc>
      </w:tr>
      <w:tr>
        <w:trPr>
          <w:trHeight w:val="216"/>
        </w:trPr>
        <w:tc>
          <w:tcPr>
            <w:tcW w:w="5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240,937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271,023</w:t>
            </w:r>
          </w:p>
        </w:tc>
        <w:tc>
          <w:tcPr>
            <w:tcW w:w="9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511,960</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F-34</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2"/>
                <w:szCs w:val="22"/>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60,342</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of $635 and $1,100 as of December 31, 2025 and 2024, respectively, with respect to inventory delivered to customers for which revenue was not yet recognized.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PROPERTY, PLANT AND EQUIPMENT, NET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and peripheral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Equipment on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and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6287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6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6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33,055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6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37,651</w:t>
            </w:r>
          </w:p>
        </w:tc>
        <w:tc>
          <w:tcPr>
            <w:tcW w:w="60" w:type="dxa"/>
            <w:vAlign w:val="bottom"/>
          </w:tcPr>
          <w:p>
            <w:pPr>
              <w:spacing w:after="0"/>
              <w:rPr>
                <w:sz w:val="18"/>
                <w:szCs w:val="18"/>
                <w:color w:val="auto"/>
              </w:rPr>
            </w:pPr>
          </w:p>
        </w:tc>
      </w:tr>
      <w:tr>
        <w:trPr>
          <w:trHeight w:val="23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60" w:type="dxa"/>
            <w:vAlign w:val="bottom"/>
          </w:tcPr>
          <w:p>
            <w:pPr>
              <w:spacing w:after="0"/>
              <w:rPr>
                <w:sz w:val="19"/>
                <w:szCs w:val="19"/>
                <w:color w:val="auto"/>
              </w:rPr>
            </w:pP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20,143</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6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5"/>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136,417</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117,776</w:t>
            </w:r>
          </w:p>
        </w:tc>
        <w:tc>
          <w:tcPr>
            <w:tcW w:w="60" w:type="dxa"/>
            <w:vAlign w:val="bottom"/>
          </w:tcPr>
          <w:p>
            <w:pPr>
              <w:spacing w:after="0"/>
              <w:rPr>
                <w:sz w:val="24"/>
                <w:szCs w:val="24"/>
                <w:color w:val="auto"/>
              </w:rPr>
            </w:pP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(66,925)</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(58,554)</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59,222</w:t>
            </w:r>
          </w:p>
        </w:tc>
        <w:tc>
          <w:tcPr>
            <w:tcW w:w="60" w:type="dxa"/>
            <w:vAlign w:val="bottom"/>
          </w:tcPr>
          <w:p>
            <w:pPr>
              <w:spacing w:after="0"/>
              <w:rPr>
                <w:sz w:val="24"/>
                <w:szCs w:val="2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ind w:left="980"/>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depreciation expenses for the years ended December 31, 2025, 2024 and 2023 were $10,121, $11,121, and $14,852, respectively.</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depreciation expenses of $2,395 were recorded as a result of the Company’s restructuring (see Note 2(ad)).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61" w:name="page162"/>
    <w:bookmarkEnd w:id="161"/>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229"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Original amount: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rights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19,233</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rights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13,512</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2025, 2024 and 2023 were $1,776, $1,926 and $2,243 respectively.</w:t>
      </w:r>
    </w:p>
    <w:p>
      <w:pPr>
        <w:spacing w:after="0" w:line="225"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for future periods are as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534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33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9,429</w:t>
            </w:r>
          </w:p>
        </w:tc>
        <w:tc>
          <w:tcPr>
            <w:tcW w:w="0" w:type="dxa"/>
            <w:vAlign w:val="bottom"/>
          </w:tcPr>
          <w:p>
            <w:pPr>
              <w:spacing w:after="0"/>
              <w:rPr>
                <w:sz w:val="1"/>
                <w:szCs w:val="1"/>
                <w:color w:val="auto"/>
              </w:rPr>
            </w:pPr>
          </w:p>
        </w:tc>
      </w:tr>
      <w:tr>
        <w:trPr>
          <w:trHeight w:val="21"/>
        </w:trPr>
        <w:tc>
          <w:tcPr>
            <w:tcW w:w="5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CURRENT LIABILITIES</w:t>
            </w:r>
          </w:p>
        </w:tc>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34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returns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7"/>
        </w:trPr>
        <w:tc>
          <w:tcPr>
            <w:tcW w:w="534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F-36</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CONTINGENT LIABILITIES</w:t>
      </w:r>
    </w:p>
    <w:p>
      <w:pPr>
        <w:spacing w:after="0" w:line="229" w:lineRule="exact"/>
        <w:rPr>
          <w:sz w:val="20"/>
          <w:szCs w:val="20"/>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$47,417 of purchase commitments for goods and services from vendors. These commitments are due primarily within one year.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February 2023, two securities class action complaints were filed by certain shareholders of the Company in U.S. federal court in New Jersey against the Company, certain of the Company’s current and former officers and directors, the underwriters of the November 19, 2021 follow-on public offering and Amazon (which sold shares in that public offering), as defendants. The complaints assert claims under certain sections of the </w:t>
      </w:r>
      <w:r>
        <w:rPr>
          <w:rFonts w:ascii="Times New Roman" w:cs="Times New Roman" w:eastAsia="Times New Roman" w:hAnsi="Times New Roman"/>
          <w:sz w:val="18"/>
          <w:szCs w:val="18"/>
          <w:u w:val="single" w:color="auto"/>
          <w:color w:val="auto"/>
        </w:rPr>
        <w:t>Securities Exchange Act of 1934 (the “</w:t>
      </w:r>
      <w:r>
        <w:rPr>
          <w:rFonts w:ascii="Times New Roman" w:cs="Times New Roman" w:eastAsia="Times New Roman" w:hAnsi="Times New Roman"/>
          <w:sz w:val="18"/>
          <w:szCs w:val="18"/>
          <w:color w:val="auto"/>
        </w:rPr>
        <w:t>Exchange Act</w:t>
      </w:r>
      <w:r>
        <w:rPr>
          <w:rFonts w:ascii="Times New Roman" w:cs="Times New Roman" w:eastAsia="Times New Roman" w:hAnsi="Times New Roman"/>
          <w:sz w:val="18"/>
          <w:szCs w:val="18"/>
          <w:u w:val="single" w:color="auto"/>
          <w:color w:val="auto"/>
        </w:rPr>
        <w:t>”) and the Securities Act of 1933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and seeks unspecified damages.</w:t>
      </w:r>
    </w:p>
    <w:p>
      <w:pPr>
        <w:spacing w:after="0" w:line="183"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2023, the U.S. federal court in New Jersey granted an unopposed motion to consolidate the two actions, to appoint certain plaintiffs as lead plaintiffs, and to appoint a lead counsel.</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the lead plaintiffs filed a consolidated complaint, alleging that, between February 2021 and July 2023, the Company made misrepresentations and omissions in its public statements and disclosures in violation of the Exchange Act and Rule 10b-5 promulgated thereunder. On December 21, 2023, the defendants moved to dismiss the consolidated complaint. The lead plaintiffs filed an opposition to Defendants’ motion to dismiss on February 16, 2024.</w:t>
      </w:r>
    </w:p>
    <w:p>
      <w:pPr>
        <w:spacing w:after="0" w:line="179"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2024, the Court held an oral hearing on defendants’ motion to dismiss, following which it granted the defendants’ motion, dismissing the complaint in its entirety, without prejudice. Plaintiffs filed an amended complaint on November 8, 2024. The amended complaint was filed against the Company, Mr. Samuel our chief executive officer, Mr. Rozner our former chief financial officer and the underwriter defendants, but all other directors were no longer named as defendants. On January 24, 2025, defendants moved to dismiss the amended complaint. Plaintiffs filed an opposition to defendants’ motion to dismiss on March 10, 2025, and defendants intend to file replies in support of the motion to dismiss in 2025 filed replies in support of the motion to dismiss on April 25, 2025.</w:t>
      </w:r>
    </w:p>
    <w:p>
      <w:pPr>
        <w:spacing w:after="0" w:line="187"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2025, the Court held oral argument on Defendants’ renewed motion to dismiss, following which it granted the Defendants’ motion in part and denied it in part.  The Court dismissed all claims under the Securities Act, thereby dismissing all claims against the underwriters for the 2021 offering, and dismissed most claims under the Exchange Act, except for claims arising from five allegedly false or misleading statements. On October 20, 2025, Plaintiffs informed the Court that they do not intend to amend their complaint.  As a result, discovery will commence in the near term.</w:t>
      </w:r>
    </w:p>
    <w:p>
      <w:pPr>
        <w:spacing w:after="0" w:line="183"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2025, Defendants filed their answer to the operative complaint, followed by a motion for judgment on the pleadings seeking dismissal of one of the five allegedly false or misleading statements remaining in the case on grounds not previously raised in Defendants’ prior motions to dismiss.  Plaintiffs filed their opposition to Defendants’ motion for judgment on the pleadings on December 22, 2025, and Defendants’ reply brief is due on January 7, 2026</w:t>
      </w:r>
    </w:p>
    <w:p>
      <w:pPr>
        <w:spacing w:after="0" w:line="179"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these lawsuits are without merit and has been defending against these cases vigorously. As of the date hereof, the Company is unable to estimate a range of loss that could result from an adverse final judgment, and therefore no estimated liabilities have been recorded in the consolidated financial statements.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provided nine bank guarantees in a total amount of $1,022 primarily for its rented facilities.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29" w:lineRule="exact"/>
        <w:rPr>
          <w:sz w:val="20"/>
          <w:szCs w:val="20"/>
          <w:color w:val="auto"/>
        </w:rPr>
      </w:pPr>
    </w:p>
    <w:p>
      <w:pPr>
        <w:ind w:left="980" w:right="8900" w:hanging="324"/>
        <w:spacing w:after="0" w:line="530" w:lineRule="auto"/>
        <w:tabs>
          <w:tab w:leader="none" w:pos="9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Company’s shares: Ordinary shares:</w:t>
      </w:r>
    </w:p>
    <w:p>
      <w:pPr>
        <w:jc w:val="both"/>
        <w:ind w:left="9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the general meetings of the shareholders of the Company, with one vote on any matter presented to the shareholders.</w:t>
      </w:r>
    </w:p>
    <w:p>
      <w:pPr>
        <w:spacing w:after="0" w:line="179"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Treasury shares:</w:t>
      </w:r>
    </w:p>
    <w:p>
      <w:pPr>
        <w:spacing w:after="0" w:line="225" w:lineRule="exact"/>
        <w:rPr>
          <w:rFonts w:ascii="Times New Roman" w:cs="Times New Roman" w:eastAsia="Times New Roman" w:hAnsi="Times New Roman"/>
          <w:sz w:val="17"/>
          <w:szCs w:val="17"/>
          <w:color w:val="auto"/>
        </w:rPr>
      </w:pPr>
    </w:p>
    <w:p>
      <w:pPr>
        <w:jc w:val="both"/>
        <w:ind w:left="98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September 9, 2024, the Board of Directors authorized a share repurchase program (“September 2024 Share Repurchase Program”) under which an additional amount of up to $100,000 of the Company’s ordinary shares could be repurchased. On November 17, 2025, the Board of Directors authorized an additional share repurchase program (“November 2025 Share Repurchase Program”) to repurchase up to $100,000 of its ordinary shares, subject to Israeli court approval and in accordance with required regulation (collectively, the September 2024 and November 2025 approved repurchase programs, the “Share Repurchase Program”).</w:t>
      </w:r>
    </w:p>
    <w:p>
      <w:pPr>
        <w:spacing w:after="0" w:line="183" w:lineRule="exact"/>
        <w:rPr>
          <w:rFonts w:ascii="Times New Roman" w:cs="Times New Roman" w:eastAsia="Times New Roman" w:hAnsi="Times New Roman"/>
          <w:sz w:val="17"/>
          <w:szCs w:val="17"/>
          <w:color w:val="auto"/>
        </w:rPr>
      </w:pPr>
    </w:p>
    <w:p>
      <w:pPr>
        <w:jc w:val="both"/>
        <w:ind w:left="98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part of the September 2024 portion of the Share Repurchase Program, on November 10, 2024, the Company entered into an accelerated share repurchase agreement (the “ASR Agreement”) with Goldman Sachs International (“GSI”) to repurchase $75,000 of the Company’s ordinary shares. Pursuant to the ASR Agreement, the Company made a payment of $75,000 to GSI in November 2024 and received in 2024 initial aggregate deliveries of 1,825,901 ordinary shares (the “Initial Shares”) from GSI pursuant to the agreement. The repurchases under the ASR Agreement were accounted for as an equity transactions.</w:t>
      </w:r>
    </w:p>
    <w:p>
      <w:pPr>
        <w:spacing w:after="0" w:line="183" w:lineRule="exact"/>
        <w:rPr>
          <w:rFonts w:ascii="Times New Roman" w:cs="Times New Roman" w:eastAsia="Times New Roman" w:hAnsi="Times New Roman"/>
          <w:sz w:val="17"/>
          <w:szCs w:val="17"/>
          <w:color w:val="auto"/>
        </w:rPr>
      </w:pPr>
    </w:p>
    <w:p>
      <w:pPr>
        <w:jc w:val="both"/>
        <w:ind w:left="9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February 2025 , the Company completed the remaining repurchase transactions contemplated by the ASR Agreement, pursuant to which an additional 641,305 ordinary shares (the “Final Shares”) were delivered by GSI to the Company and repurchased by the Company. The total number of shares repurchased under the ASR Agreement was 2,467,206 at an average cost per share of $30.40, based on the volume-weighted average share price of the Company’s ordinary share during the calculation period under the ASR Agreement.</w:t>
      </w:r>
    </w:p>
    <w:p>
      <w:pPr>
        <w:spacing w:after="0" w:line="179" w:lineRule="exact"/>
        <w:rPr>
          <w:rFonts w:ascii="Times New Roman" w:cs="Times New Roman" w:eastAsia="Times New Roman" w:hAnsi="Times New Roman"/>
          <w:sz w:val="17"/>
          <w:szCs w:val="17"/>
          <w:color w:val="auto"/>
        </w:rPr>
      </w:pPr>
    </w:p>
    <w:p>
      <w:pPr>
        <w:jc w:val="both"/>
        <w:ind w:left="9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 the times at which the Initial Shares and the Final Shares were received and repurchased, the repurchases resulted in an immediate reduction of the outstanding number of shares of the Company used to calculate the weighted average number of ordinary shares for basic and diluted earnings per share.</w:t>
      </w:r>
    </w:p>
    <w:p>
      <w:pPr>
        <w:spacing w:after="0" w:line="175" w:lineRule="exact"/>
        <w:rPr>
          <w:rFonts w:ascii="Times New Roman" w:cs="Times New Roman" w:eastAsia="Times New Roman" w:hAnsi="Times New Roman"/>
          <w:sz w:val="17"/>
          <w:szCs w:val="17"/>
          <w:color w:val="auto"/>
        </w:rPr>
      </w:pPr>
    </w:p>
    <w:p>
      <w:pPr>
        <w:jc w:val="both"/>
        <w:ind w:left="9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During the years ended December 31, 2025 and 2024, pursuant to the Share Repurchase Program, the Company repurchased, an aggregate of 1,874,309 and 2,332,826 ordinary shares, respectively, which included both open market repurchases and repurchases under the ASR Agreement, at total costs of $45,184 and $65,921, respectively.</w:t>
      </w:r>
    </w:p>
    <w:p>
      <w:pPr>
        <w:spacing w:after="0" w:line="175" w:lineRule="exact"/>
        <w:rPr>
          <w:rFonts w:ascii="Times New Roman" w:cs="Times New Roman" w:eastAsia="Times New Roman" w:hAnsi="Times New Roman"/>
          <w:sz w:val="17"/>
          <w:szCs w:val="17"/>
          <w:color w:val="auto"/>
        </w:rPr>
      </w:pPr>
    </w:p>
    <w:p>
      <w:pPr>
        <w:ind w:left="9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of December 31, 2025, $97,949 remained available under the November 2025 Share Repurchase Program for potential open market repurchases.</w:t>
      </w:r>
    </w:p>
    <w:p>
      <w:pPr>
        <w:spacing w:after="0" w:line="16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and RSU’s plans:</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approved equity incentive plans pursuant to which the Company is authorized to issue to employees, directors and officers of the Company and its subsidiaries (the “optionees”) options to purchase ordinary shares of the Company, at an exercise price equal to at least the fair market value of the ordinary shares at the date of grant. The terms of option grants generally provide that 25% of total options are exercisable one year after the grant or vesting start date determined for each optionee and a further 6.25% is exercisable at the end of each subsequent three-month period over the following 3 years. Options are exercisable for up to 10 years from the grant date. Options that are cancelled or forfeited before expiration become available for future grants.</w:t>
      </w:r>
    </w:p>
    <w:p>
      <w:pPr>
        <w:spacing w:after="0" w:line="187"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 equity incentive plans, beginning in 2017, the Company grants RSUs, including PSUs. The RSUs generally vest over a period of four years of employment and PSUs vest also based on the Company’s share performance. RSUs that are cancelled or forfeited become available for future grants.</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December 2024, the Company’s board of directors approved an increase of 672,132 shares to the number of ordinary shares reserved for issuance under the Company’s equity incentive plans. As of December 31, 2025, an aggregate of 532,477 ordinary shares were available for future grants under those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0"/>
        </w:trPr>
        <w:tc>
          <w:tcPr>
            <w:tcW w:w="59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upon</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68,009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(29,714)</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575,333</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45.43</w:t>
            </w:r>
          </w:p>
        </w:tc>
        <w:tc>
          <w:tcPr>
            <w:tcW w:w="13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421,813</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bl>
    <w:p>
      <w:pPr>
        <w:spacing w:after="0" w:line="19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$1,514 of unrecognized compensation expense related to non-vested share options expected to be recognized over a weighted average period of 2.4 years.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2025, 2024 and 2023 was $9.19, $9.61 and $12.88 per share, respectively. The total intrinsic value of options exercised during the years ended December 31, 2025, 2024 and 2023 was $641, $1,069 and $163, respectively.</w:t>
      </w:r>
    </w:p>
    <w:p>
      <w:pPr>
        <w:spacing w:after="0" w:line="176"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RSU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2,158,723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1,161,067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(829,758)</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(415,806)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Unvested at the end of the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2,074,226</w:t>
            </w:r>
          </w:p>
        </w:tc>
        <w:tc>
          <w:tcPr>
            <w:tcW w:w="10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at grant date of RSU’s granted for the years ended December 31, 2025, 2024 and 2023 was $10.53, $20.27 and $20.11, respectively. The total fair value of RSUs vested during the year ended December 31, 2025, was $8,737.</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RSUs vested during the years ended December 31, 2025, 2024 and 2023 was $18.35, $31.10 and $52.27, respectively.</w:t>
      </w:r>
    </w:p>
    <w:p>
      <w:pPr>
        <w:spacing w:after="0" w:line="162"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RSUs forfeited during the years ended December 31, 2025, 2024 and 2023 was $15.10, $24.35 and $33.19, respectively.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2025 and 2024, the weighted average fair value of the granted RSUs was $18.31 and $16.93, respectively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of December 31, 2025 and 2024, the weighted average fair value of the unvested RSUs was $17.78 and $20.25,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RSU activity is as follows (Cont.)</w:t>
      </w:r>
    </w:p>
    <w:p>
      <w:pPr>
        <w:spacing w:after="0" w:line="22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$32,459 of unrecognized compensation expenses related to RSUs, expected to be recognized over a weighted average period of 2.46 years.</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 aggregate of 392,370 PSUs were included in the unvested RSUs amount.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total share-based compensation expense included in the consolidated statements of operations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6,689</w:t>
            </w: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6,832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6,497</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6,027</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22,589</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2017, the Company signed a master purchase agreement with Amazon Inc. (the “Agreement”) under which warrants to purchase ordinary shares of the Company were issued to Amazon as a customer incentive, subject to vesting as a function of payments for purchased products and services. As of December 31, 2025, all of the warrants under that original Agreement had been exercised.</w:t>
      </w:r>
    </w:p>
    <w:p>
      <w:pPr>
        <w:spacing w:after="0" w:line="175"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14, 2020, the Company signed an amendment to the master purchase agreement (the “Amended Agreement”) with Amazon Inc. under which an additional 3,401,028 warrants to purchase ordinary shares of the Company at an exercise price of $59.26 were issued to Amazon. The warrants are subject to vesting as a function of payments for purchased products and services of up to $400, including $250 million in respect of specific existing products and services (“Old Business”) and $150 million in respect of new products (“New Business”). The warrants are exercisable over a five-year period beginning in January 2021, with the shares vesting incrementally each time Amazon makes a payment totaling $5 million to the Company. As of December 31, 2025, 1,943,445 warrants are exercisable under the Purchase Agreement, all related to the Old Business. As of December 31,2025, warrants in respect of the Old Business were fully vested.</w:t>
      </w:r>
    </w:p>
    <w:p>
      <w:pPr>
        <w:spacing w:after="0" w:line="188"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warrants was measured on the grant date using the Monte Carlo simulation with assumptions of a risk-free rate of 0.4%, volatility rate of 52%, dividend yield of 0% and an expected term of 5.32 years.</w:t>
      </w:r>
    </w:p>
    <w:p>
      <w:pPr>
        <w:spacing w:after="0" w:line="16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reduction to revenues of $3,273 and $13,842 during the years ended December 31, 2024 and 2023, respectively, in respect of the warrants granted to Amazon.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(LOSSES) PER SHARE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(losses)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(losses)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(13,518</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(16,800</w:t>
            </w:r>
            <w:r>
              <w:rPr>
                <w:rFonts w:ascii="Times New Roman" w:cs="Times New Roman" w:eastAsia="Times New Roman" w:hAnsi="Times New Roman"/>
                <w:sz w:val="29"/>
                <w:szCs w:val="29"/>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(64,351</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losses per share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45,244,517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47,482,820</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49,160,266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losses per share</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45,244,517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47,482,820</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49,160,266</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losses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(0.30</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(0.35</w:t>
            </w:r>
            <w:r>
              <w:rPr>
                <w:rFonts w:ascii="Times New Roman" w:cs="Times New Roman" w:eastAsia="Times New Roman" w:hAnsi="Times New Roman"/>
                <w:sz w:val="29"/>
                <w:szCs w:val="29"/>
                <w:color w:val="auto"/>
                <w:vertAlign w:val="superscript"/>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(1.31</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losses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(0.30</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(0.35</w:t>
            </w:r>
            <w:r>
              <w:rPr>
                <w:rFonts w:ascii="Times New Roman" w:cs="Times New Roman" w:eastAsia="Times New Roman" w:hAnsi="Times New Roman"/>
                <w:sz w:val="29"/>
                <w:szCs w:val="29"/>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(1.31</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(loss), net of taxes, for the year ended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Gains (losses)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Gains (losses)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on marketable</w:t>
            </w: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cash flow</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5,782</w:t>
            </w:r>
          </w:p>
        </w:tc>
      </w:tr>
      <w:tr>
        <w:trPr>
          <w:trHeight w:val="23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5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5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F-41</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leases include offices and warehouses for its facilities worldwide, as well as car leases, which are all classified as operating leases. Certain leases include renewal options that are subject to the Company’s sole discretion. The renewal options were included in the right of use (“ROU”) and liability calculation if it was reasonably certain that the Company will exercise the option.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of lease expenses for the years ended December 31, 2025,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4,139</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$4,593 $4,476 and $5,742 during the years ended December 31, 2025, 2024 and 2023,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operating lease agreements have remaining lease terms ranging from one to five years. Some of these agreements include allowances, such as the Company’s option to extend the leases for additional terms of up to five years.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weighted average remaining lease term is approximately 6.45 and 7.29 years, respectively, and the weighted average discount rate is 5.5 and 5.4 percent, respectively. The discount rate was determined based on the estimated collateralized borrowing rate of the Company, adjusted to the specific lease term and location of each 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22,093</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 imputed interest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(3,480)</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10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1124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For the year ended December 2023, an impairment loss of $1,118 was recorded as a result of the Company’s restructuring. (see Note 2ad).</w:t>
            </w:r>
          </w:p>
        </w:tc>
      </w:tr>
      <w:tr>
        <w:trPr>
          <w:trHeight w:val="432"/>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Information on leases in which the Company is a lessor:</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Maturity analysis of undiscounted future lease payments receivable for operating leases: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100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F-42</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w:t>
      </w:r>
    </w:p>
    <w:p>
      <w:pPr>
        <w:spacing w:after="0" w:line="229"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of the Company and its Israeli subsidiary is subject to Israeli corporate tax at the rate of 23%. The Company and its Israeli subsidiary are also eligible for tax benefits as further described in note 14b.</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Law for the Encouragement of Capital Investments, 1959 (the “Law”)</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Israeli subsidiary elected to apply the Preferred Enterprise regime under the January 2011 amendment to the Law as of the 2013 tax year. The election is irrevocable. Under the Preferred Enterprise regime, a preferred income of an Enterprise located in the center of Israel is subject to the tax rate of 16%.</w:t>
      </w:r>
    </w:p>
    <w:p>
      <w:pPr>
        <w:spacing w:after="0" w:line="175"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spacing w:after="0" w:line="191"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Law for the Encouragement of Capital Investments, 1959 (the “Law”) (Cont.)</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believe they meet the conditions for “Preferred Technological Enterprises” and are subject to a tax rate of 12% on income that qualifies as “Preferred Technology Income”, as defined in the Law. The tax rate for a Preferred Technological Enterprises located in development zone A is 7.5%.</w:t>
      </w:r>
    </w:p>
    <w:p>
      <w:pPr>
        <w:spacing w:after="0" w:line="17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Israeli Government discusses reducing the benefits available to companies u nder the Law. The termination or substantial reduction of any of the benefits available under the Law could materially increase the Company’s tax liabilities.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Israeli Law for the Encouragement of Industry (Taxation), 1969:</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Israeli subsidiary is an “Industrial Company” as defined by the Israeli Law for the Encouragement of Industry Taxation), 1969, and, as such, is entitled to certain tax benefits including accelerated depreciation, deduction of public offering expenses in three equal annual installments and amortization of other intangible property rights for tax purposes. In addition, these Israeli companies are eligible to submit consolidated tax returns, allowing the offsetting of losses between the entities.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of non-Israeli subsidiaries: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non-Israeli subsidiaries are taxed according to the tax laws in their respective countries of residence.</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a dividend. The Company intends to reinvest these earnings indefinitely in the foreign subsidiaries. Accordingly, no deferred income taxes have been provided. If these earnings were distributed into Israel in the form of dividends or otherwise, the Company would be subject to additional Israeli income taxes (subject to an adjustment for foreign tax credits) and foreign withholding taxes.</w:t>
      </w:r>
    </w:p>
    <w:p>
      <w:pPr>
        <w:spacing w:after="0" w:line="183" w:lineRule="exact"/>
        <w:rPr>
          <w:rFonts w:ascii="Times New Roman" w:cs="Times New Roman" w:eastAsia="Times New Roman" w:hAnsi="Times New Roman"/>
          <w:sz w:val="18"/>
          <w:szCs w:val="18"/>
          <w:color w:val="auto"/>
        </w:rPr>
      </w:pPr>
    </w:p>
    <w:p>
      <w:pPr>
        <w:jc w:val="both"/>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undistributed earnings of foreign subsidiaries that are considered to be reinvested as of December 31, 2025 was $20,163. If these undistributed earnings are distributed, they would be taxed at the corporate tax rate applicable to such income, and $2,958 of additional taxes would be incurred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received final tax assessments through 2021. Tesoma GmbH, the German subsidiary and the U.S subsidiary, received final tax assessments through 2019, 2020 and 2021, respectively, and the Hong Kong, Japan and U.K subsidiaries have not received a final tax assessment since inception.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losses for tax purposes: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and its Israeli subsidiary have carryforward tax losses of approximately $171,215. In Addition, as of December 31, 2025 Custom Gateway Ltd, Tesoma GmbH, and the U.S. subsidiary have carryforward tax losses of approximately $5,403, $6,173, and $2,224, respectively.</w:t>
      </w:r>
    </w:p>
    <w:p>
      <w:pPr>
        <w:spacing w:after="0" w:line="1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tax losses may be carried forward indefinitely and therefore have no expiration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Carryforward tax losses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carryforward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and other reserves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5,975</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2,662</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34,054</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(30,106)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3,948</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(3,948)</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assessing the ability to realize deferred tax assets, the Company considers whether it is more likely than not that some portion or all of the deferred tax assets will not be realized. Based on the available evidence, management believes that it is more likely than not that its deferred tax assets will not be realized and, accordingly, a valuation allowance has been provided.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taxes is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(62,734)</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(12,653</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(14,965</w:t>
            </w:r>
            <w:r>
              <w:rPr>
                <w:rFonts w:ascii="Times New Roman" w:cs="Times New Roman" w:eastAsia="Times New Roman" w:hAnsi="Times New Roman"/>
                <w:sz w:val="29"/>
                <w:szCs w:val="29"/>
                <w:color w:val="auto"/>
                <w:vertAlign w:val="superscript"/>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(63,381</w:t>
            </w:r>
            <w:r>
              <w:rPr>
                <w:rFonts w:ascii="Times New Roman" w:cs="Times New Roman" w:eastAsia="Times New Roman" w:hAnsi="Times New Roman"/>
                <w:sz w:val="29"/>
                <w:szCs w:val="29"/>
                <w:color w:val="auto"/>
                <w:vertAlign w:val="superscript"/>
              </w:rPr>
              <w:t>)</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(tax benefits)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8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Domestic taxes: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4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334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r>
      <w:tr>
        <w:trPr>
          <w:trHeight w:val="23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334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34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334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4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F-45</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tax positions taken during current year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9"/>
        <w:spacing w:after="0" w:line="261" w:lineRule="auto"/>
        <w:tabs>
          <w:tab w:leader="none" w:pos="320" w:val="left"/>
        </w:tabs>
        <w:rPr>
          <w:sz w:val="20"/>
          <w:szCs w:val="20"/>
          <w:color w:val="auto"/>
        </w:rPr>
      </w:pPr>
      <w:r>
        <w:rPr>
          <w:rFonts w:ascii="Times New Roman" w:cs="Times New Roman" w:eastAsia="Times New Roman" w:hAnsi="Times New Roman"/>
          <w:sz w:val="18"/>
          <w:szCs w:val="18"/>
          <w:color w:val="auto"/>
        </w:rPr>
        <w:t>(*)</w:t>
        <w:tab/>
        <w:t>As of December 31, 2025 and 2024, unrecognized tax benefits in an amount of $264 and $256 respectively, were presented as a reduction from deferred taxes.</w:t>
      </w:r>
    </w:p>
    <w:p>
      <w:pPr>
        <w:ind w:left="340" w:hanging="332"/>
        <w:spacing w:after="0" w:line="260"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accrues interest and penalties related to unrecognized tax benefits in its provision for income taxes. As of December 31, 2025 the Company accrued $111.</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amount of the unrecognized tax benefits could affect the Company’s income tax provision and the effective tax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Exchange rate differences are recorded within financial income, net, while interest is recorded within income tax expense.</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final tax outcome of the Company’s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14:-TAXES ON INCOME (Cont.)</w:t>
      </w:r>
    </w:p>
    <w:p>
      <w:pPr>
        <w:spacing w:after="0" w:line="229" w:lineRule="exact"/>
        <w:rPr>
          <w:sz w:val="20"/>
          <w:szCs w:val="20"/>
          <w:color w:val="auto"/>
        </w:rPr>
      </w:pPr>
    </w:p>
    <w:p>
      <w:pPr>
        <w:ind w:left="980" w:hanging="324"/>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4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as reported in the consolidated statements of operations</w:t>
            </w:r>
          </w:p>
        </w:tc>
        <w:tc>
          <w:tcPr>
            <w:tcW w:w="3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(12,653)</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Theoretical local income tax at the Israeli statutory tax rate 23%</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 -</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federal tax rate difference between United States and Israel</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state tax rate difference between United States and Israel</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  </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United Kingdom and Israel</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  </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Local tax effects -</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Beneficiary enterprise income</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allowances  </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40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6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tax expense</w:t>
            </w:r>
          </w:p>
        </w:tc>
        <w:tc>
          <w:tcPr>
            <w:tcW w:w="3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940"/>
              <w:spacing w:after="0"/>
              <w:rPr>
                <w:sz w:val="20"/>
                <w:szCs w:val="20"/>
                <w:color w:val="auto"/>
              </w:rPr>
            </w:pPr>
            <w:r>
              <w:rPr>
                <w:rFonts w:ascii="Times New Roman" w:cs="Times New Roman" w:eastAsia="Times New Roman" w:hAnsi="Times New Roman"/>
                <w:sz w:val="18"/>
                <w:szCs w:val="18"/>
                <w:color w:val="auto"/>
              </w:rPr>
              <w:t>F-47</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14:-TAXES ON INCOME (Cont.)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as reported in the consolidated statements of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(14,965</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(63,381</w:t>
            </w:r>
            <w:r>
              <w:rPr>
                <w:rFonts w:ascii="Times New Roman" w:cs="Times New Roman" w:eastAsia="Times New Roman" w:hAnsi="Times New Roman"/>
                <w:sz w:val="29"/>
                <w:szCs w:val="29"/>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Theoretical tax benefit at the Israeli statutory tax rate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Beneficiary enterprise benefits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adjustment in respect of different tax rate of foreign subsidiaries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 permanent differences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other uncertain tax positions,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related to prior years (see also note 14b)</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Losses and timing differences for which valuation allowance was provided, net </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4,819</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tax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ind w:left="980" w:hanging="324"/>
        <w:spacing w:after="0"/>
        <w:tabs>
          <w:tab w:leader="none" w:pos="9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 Paid (Net of Refunds) by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State Tax</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 Tax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paid during the year for income taxes,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40"/>
        <w:spacing w:after="0"/>
        <w:tabs>
          <w:tab w:leader="none" w:pos="22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23%</w:t>
      </w:r>
    </w:p>
    <w:p>
      <w:pPr>
        <w:spacing w:after="0" w:line="27" w:lineRule="exact"/>
        <w:rPr>
          <w:sz w:val="20"/>
          <w:szCs w:val="20"/>
          <w:color w:val="auto"/>
        </w:rPr>
      </w:pPr>
    </w:p>
    <w:p>
      <w:pPr>
        <w:ind w:left="2340" w:hanging="1405"/>
        <w:spacing w:after="0"/>
        <w:tabs>
          <w:tab w:leader="none" w:pos="2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6" w:lineRule="exact"/>
        <w:rPr>
          <w:rFonts w:ascii="Times New Roman" w:cs="Times New Roman" w:eastAsia="Times New Roman" w:hAnsi="Times New Roman"/>
          <w:sz w:val="18"/>
          <w:szCs w:val="18"/>
          <w:color w:val="auto"/>
        </w:rPr>
      </w:pPr>
    </w:p>
    <w:p>
      <w:pPr>
        <w:ind w:left="2340" w:hanging="1405"/>
        <w:spacing w:after="0"/>
        <w:tabs>
          <w:tab w:leader="none" w:pos="2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66" w:lineRule="exact"/>
        <w:rPr>
          <w:sz w:val="20"/>
          <w:szCs w:val="20"/>
          <w:color w:val="auto"/>
        </w:rPr>
      </w:pPr>
    </w:p>
    <w:p>
      <w:pPr>
        <w:jc w:val="both"/>
        <w:ind w:left="840"/>
        <w:spacing w:after="0"/>
        <w:tabs>
          <w:tab w:leader="none" w:pos="2140" w:val="left"/>
        </w:tabs>
        <w:rPr>
          <w:sz w:val="20"/>
          <w:szCs w:val="20"/>
          <w:color w:val="auto"/>
        </w:rPr>
      </w:pPr>
      <w:r>
        <w:rPr>
          <w:rFonts w:ascii="Times New Roman" w:cs="Times New Roman" w:eastAsia="Times New Roman" w:hAnsi="Times New Roman"/>
          <w:sz w:val="18"/>
          <w:szCs w:val="18"/>
          <w:color w:val="auto"/>
        </w:rPr>
        <w:t>940</w:t>
      </w:r>
      <w:r>
        <w:rPr>
          <w:sz w:val="20"/>
          <w:szCs w:val="20"/>
          <w:color w:val="auto"/>
        </w:rPr>
        <w:tab/>
      </w:r>
      <w:r>
        <w:rPr>
          <w:rFonts w:ascii="Times New Roman" w:cs="Times New Roman" w:eastAsia="Times New Roman" w:hAnsi="Times New Roman"/>
          <w:sz w:val="18"/>
          <w:szCs w:val="18"/>
          <w:color w:val="auto"/>
        </w:rPr>
        <w:t>100</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1474470" cy="43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147447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600"/>
          </w:cols>
          <w:pgMar w:left="320" w:top="873" w:right="339" w:bottom="1440" w:gutter="0" w:footer="0" w:header="0"/>
          <w:type w:val="continuous"/>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AND GEOGRAPHIC INFORMATION (AIC)</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Company’s chief executive officer, in deciding how to allocate resources and in assessing performance. The Company’s chief operating decision maker evaluates the Company’s financial information and resources and assesses the performance of these resources on a consolidated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Revenue disaggregated by revenue source consists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 and AIC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33,190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48,998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Ink and consumables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113,578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112,047</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52,114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55,739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58,741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208,200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219,786</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following table sets forth the Company’s total AIC model revenues amounts included under Systems in each of the years set forth below:</w:t>
      </w:r>
    </w:p>
    <w:p>
      <w:pPr>
        <w:spacing w:after="0" w:line="235" w:lineRule="exact"/>
        <w:rPr>
          <w:sz w:val="20"/>
          <w:szCs w:val="20"/>
          <w:color w:val="auto"/>
        </w:rPr>
      </w:pPr>
    </w:p>
    <w:p>
      <w:pPr>
        <w:ind w:left="7720"/>
        <w:spacing w:after="0"/>
        <w:tabs>
          <w:tab w:leader="none" w:pos="90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7300" w:val="left"/>
          <w:tab w:leader="none" w:pos="7940" w:val="left"/>
          <w:tab w:leader="none" w:pos="8680" w:val="left"/>
          <w:tab w:leader="none" w:pos="9380" w:val="left"/>
          <w:tab w:leader="none" w:pos="10000" w:val="left"/>
          <w:tab w:leader="none" w:pos="11060" w:val="left"/>
        </w:tabs>
        <w:rPr>
          <w:sz w:val="20"/>
          <w:szCs w:val="20"/>
          <w:color w:val="auto"/>
        </w:rPr>
      </w:pPr>
      <w:r>
        <w:rPr>
          <w:rFonts w:ascii="Times New Roman" w:cs="Times New Roman" w:eastAsia="Times New Roman" w:hAnsi="Times New Roman"/>
          <w:sz w:val="18"/>
          <w:szCs w:val="18"/>
          <w:color w:val="auto"/>
        </w:rPr>
        <w:t>Revenues under the All-Inclusive Click model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15,223</w:t>
        <w:tab/>
        <w:t>$</w:t>
      </w:r>
      <w:r>
        <w:rPr>
          <w:sz w:val="20"/>
          <w:szCs w:val="20"/>
          <w:color w:val="auto"/>
        </w:rPr>
        <w:tab/>
      </w:r>
      <w:r>
        <w:rPr>
          <w:rFonts w:ascii="Times New Roman" w:cs="Times New Roman" w:eastAsia="Times New Roman" w:hAnsi="Times New Roman"/>
          <w:sz w:val="18"/>
          <w:szCs w:val="18"/>
          <w:color w:val="auto"/>
        </w:rPr>
        <w:t>3,285</w:t>
        <w:tab/>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related to the lease component out of the Company’s total revenues under the AIC model in each of the years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2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component revenue percentage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8640" w:type="dxa"/>
            <w:vAlign w:val="bottom"/>
            <w:gridSpan w:val="6"/>
          </w:tcPr>
          <w:p>
            <w:pPr>
              <w:ind w:left="980"/>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customer location: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122,277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115,034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123,550</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51,642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50,089</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60,706</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22,156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21,509</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22,006</w:t>
            </w:r>
          </w:p>
        </w:tc>
      </w:tr>
      <w:tr>
        <w:trPr>
          <w:trHeight w:val="23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12,125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17,193</w:t>
            </w:r>
          </w:p>
        </w:tc>
        <w:tc>
          <w:tcPr>
            <w:tcW w:w="3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13,524</w:t>
            </w:r>
          </w:p>
        </w:tc>
      </w:tr>
      <w:tr>
        <w:trPr>
          <w:trHeight w:val="216"/>
        </w:trPr>
        <w:tc>
          <w:tcPr>
            <w:tcW w:w="7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208,200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203,825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219,786</w:t>
            </w:r>
          </w:p>
        </w:tc>
        <w:tc>
          <w:tcPr>
            <w:tcW w:w="80" w:type="dxa"/>
            <w:vAlign w:val="bottom"/>
          </w:tcPr>
          <w:p>
            <w:pPr>
              <w:spacing w:after="0"/>
              <w:rPr>
                <w:sz w:val="22"/>
                <w:szCs w:val="22"/>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from sales in Israel for the years ended December 31, 2025, 2024 and 2023, amounted to $363 , $362 , and $386 ,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AND GEOGRAPHIC INFORMATION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long-lived assets including right of use assets by geographic region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4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9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9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13,340</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49,701</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14,937</w:t>
            </w: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940" w:type="dxa"/>
            <w:vAlign w:val="bottom"/>
            <w:tcBorders>
              <w:top w:val="single" w:sz="8" w:color="CCEEFF"/>
            </w:tcBorders>
            <w:shd w:val="clear" w:color="auto" w:fill="CCEEFF"/>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940" w:type="dxa"/>
            <w:vAlign w:val="bottom"/>
          </w:tcPr>
          <w:p>
            <w:pPr>
              <w:spacing w:after="0"/>
              <w:rPr>
                <w:sz w:val="22"/>
                <w:szCs w:val="22"/>
                <w:color w:val="auto"/>
              </w:rPr>
            </w:pPr>
          </w:p>
        </w:tc>
        <w:tc>
          <w:tcPr>
            <w:tcW w:w="7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78,276</w:t>
            </w:r>
          </w:p>
        </w:tc>
      </w:tr>
      <w:tr>
        <w:trPr>
          <w:trHeight w:val="21"/>
        </w:trPr>
        <w:tc>
          <w:tcPr>
            <w:tcW w:w="9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40" w:type="dxa"/>
            <w:vAlign w:val="bottom"/>
          </w:tcPr>
          <w:p>
            <w:pPr>
              <w:spacing w:after="0"/>
              <w:rPr>
                <w:sz w:val="24"/>
                <w:szCs w:val="24"/>
                <w:color w:val="auto"/>
              </w:rPr>
            </w:pPr>
          </w:p>
        </w:tc>
        <w:tc>
          <w:tcPr>
            <w:tcW w:w="7980" w:type="dxa"/>
            <w:vAlign w:val="bottom"/>
            <w:gridSpan w:val="2"/>
          </w:tcPr>
          <w:p>
            <w:pPr>
              <w:jc w:val="right"/>
              <w:ind w:right="3880"/>
              <w:spacing w:after="0"/>
              <w:rPr>
                <w:sz w:val="20"/>
                <w:szCs w:val="20"/>
                <w:color w:val="auto"/>
              </w:rPr>
            </w:pPr>
            <w:r>
              <w:rPr>
                <w:rFonts w:ascii="Times New Roman" w:cs="Times New Roman" w:eastAsia="Times New Roman" w:hAnsi="Times New Roman"/>
                <w:sz w:val="18"/>
                <w:szCs w:val="18"/>
                <w:color w:val="auto"/>
              </w:rPr>
              <w:t>Major customers’ data as a percentage of total 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customers that accounted for 10% or more of the Company’s total revenues in each of the years set forth below:</w:t>
      </w:r>
    </w:p>
    <w:p>
      <w:pPr>
        <w:spacing w:after="0" w:line="17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Major customers’ data as a percentage of Trade receivables:</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customers that accounted for 10% or more of the Company’s Trade receivables in each of the years set forth below:</w:t>
      </w:r>
    </w:p>
    <w:p>
      <w:pPr>
        <w:spacing w:after="0" w:line="17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655"/>
        </w:trPr>
        <w:tc>
          <w:tcPr>
            <w:tcW w:w="94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F-50</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FINANCIAL INCOME,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bank deposits and other 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sale of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7,343</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22,994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27,589</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Financial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sale of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(3,439)</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income,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22,350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BALANCES AND TRANSACTIONS WITH RELATED PARTIES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met this policy at the time they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Kornit Digital Ltd. 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share capital of Kornit Digital Ltd. (hereinafter, “we”, “us”, “our” or similar expressions) consists of NIS 2,000,000 divided into 200,000,000 ordinary shares, par value NIS 0.01 per share, or ordinary shares. As of February 17, 2026, 46,340,477 ordinary shares (which excludes 5,626,182 Treasury shares)were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registration number with the Israeli Registrar of Companies is 51-3195420. Our purpose as set forth in our articles of association, or articles, is to engage in any lawful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for Israeli public companies whose shares are traded in the United States and that lack a controlling shareholder that we have elected to be governed by under the Companies Law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An equity repurchase is generally treated as a deemed dividend for purposes of these limitations on dividend distributions. However, for a company such as ours listed on an exchange outside of Israel, even if we lack the requisite retained earnings or earnings, we still do not need to seek court approval for an equity repurchase, provided that we notify our creditors of the proposed equity repurchase and allow such creditors an opportunity to initiate a court proceeding to review the repurchase. If within 30 days of such notification, creditors do not file an objection, we may proceed with the repurchase without obtaining court approval. In each case, we are only permitted to distribute a dividend (or effect equity repurchases) if our board of directors and the court, if applicable, determines that there is no reasonable concern that payment of the dividend (or the repurchases) will prevent us from satisfying our existing and foreseeable obligations as they become due.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Distributions may be determined by our board of directors.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since our company’s ordinary shares are listed on an exchange in the U.S., one or more shareholders holding, in the aggregate, either (a) 10% or more of our outstanding issued shares and 1% of our outstanding voting power or (b) 10% or more of our outstanding voting power.</w:t>
      </w: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sixty days prior to the date of the meeting. Furthermore, the Companies Law requires that resolutions regarding the following matters must be passed at a general meeting of our shareholders:</w:t>
      </w:r>
    </w:p>
    <w:p>
      <w:pPr>
        <w:spacing w:after="0" w:line="180" w:lineRule="exact"/>
        <w:rPr>
          <w:sz w:val="20"/>
          <w:szCs w:val="20"/>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Companies Law generally allows one or more shareholders holding at least 1% of the voting power of a company to request the inclusion of an additional agenda item for an upcoming shareholders meeting, assuming that it is appropriate for debate and action at a shareholders meeting. For a company such as ours listed on an exchange outside of Israel, recently-adopted Companies Law regulations provide that a matter relating to the appointment or removal of a director may only be requested by one or more shareholders holding at least 5% of the voting rights. Our articles currently allow a shareholder holding 1% or more of our voting power to request inclusion of an agenda item, so currently we are unable to utilize the 5% threshold for a director appointment or removal request set by the Companies Law regulations. Under applicable regulations, a shareholder request regarding a shareholder meeting agenda item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following the pre-notice in which to submit proposed agenda items, after which we would have seven days to publish notice of the meeting that includes any accepted shareholder proposals.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and under our articles, shareholders are not permitted to take action by way of written consent in lieu of a meeting.</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spacing w:after="0" w:line="183" w:lineRule="exact"/>
        <w:rPr>
          <w:sz w:val="20"/>
          <w:szCs w:val="20"/>
          <w:color w:val="auto"/>
        </w:rPr>
      </w:pPr>
    </w:p>
    <w:p>
      <w:pPr>
        <w:ind w:left="980" w:hanging="324"/>
        <w:spacing w:after="0" w:line="282"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w:t>
      </w:r>
    </w:p>
    <w:p>
      <w:pPr>
        <w:spacing w:after="0" w:line="225" w:lineRule="exact"/>
        <w:rPr>
          <w:sz w:val="20"/>
          <w:szCs w:val="20"/>
          <w:color w:val="auto"/>
        </w:rPr>
      </w:pPr>
    </w:p>
    <w:p>
      <w:pPr>
        <w:jc w:val="both"/>
        <w:ind w:firstLine="656"/>
        <w:spacing w:after="0" w:line="256" w:lineRule="auto"/>
        <w:tabs>
          <w:tab w:leader="none" w:pos="87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7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Class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 transaction agreement to which we are party with Amazon Corporate LLC, a subsidiary of Amazon.com, Inc., which we collectively refer to as Amazon, Amazon is entitled to certain registration rights. Under that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Tender Offer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Tender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 (other than an equity repurchase, for which we may proceed with the repurchase without obtaining court approval, provided that we follow the procedures described under “Dividend and Liquidation Rights” above).</w:t>
      </w: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432"/>
        </w:trPr>
        <w:tc>
          <w:tcPr>
            <w:tcW w:w="3780" w:type="dxa"/>
            <w:vAlign w:val="bottom"/>
          </w:tcPr>
          <w:p>
            <w:pPr>
              <w:spacing w:after="0"/>
              <w:rPr>
                <w:sz w:val="24"/>
                <w:szCs w:val="24"/>
                <w:color w:val="auto"/>
              </w:rPr>
            </w:pPr>
          </w:p>
        </w:tc>
        <w:tc>
          <w:tcPr>
            <w:tcW w:w="7460" w:type="dxa"/>
            <w:vAlign w:val="bottom"/>
            <w:gridSpan w:val="5"/>
          </w:tcPr>
          <w:p>
            <w:pPr>
              <w:jc w:val="center"/>
              <w:ind w:right="3690"/>
              <w:spacing w:after="0"/>
              <w:rPr>
                <w:sz w:val="20"/>
                <w:szCs w:val="20"/>
                <w:color w:val="auto"/>
              </w:rPr>
            </w:pPr>
            <w:r>
              <w:rPr>
                <w:rFonts w:ascii="Times New Roman" w:cs="Times New Roman" w:eastAsia="Times New Roman" w:hAnsi="Times New Roman"/>
                <w:sz w:val="18"/>
                <w:szCs w:val="18"/>
                <w:b w:val="1"/>
                <w:bCs w:val="1"/>
                <w:color w:val="auto"/>
                <w:w w:val="99"/>
              </w:rPr>
              <w:t>SUBSIDIARIES OF KORNIT DIGITAL LTD.</w:t>
            </w:r>
          </w:p>
        </w:tc>
      </w:tr>
      <w:tr>
        <w:trPr>
          <w:trHeight w:val="410"/>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4040" w:type="dxa"/>
            <w:vAlign w:val="bottom"/>
          </w:tcPr>
          <w:p>
            <w:pPr>
              <w:spacing w:after="0"/>
              <w:rPr>
                <w:sz w:val="24"/>
                <w:szCs w:val="24"/>
                <w:color w:val="auto"/>
              </w:rPr>
            </w:pPr>
          </w:p>
        </w:tc>
      </w:tr>
      <w:tr>
        <w:trPr>
          <w:trHeight w:val="24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 Interest</w:t>
            </w:r>
          </w:p>
        </w:tc>
      </w:tr>
      <w:tr>
        <w:trPr>
          <w:trHeight w:val="216"/>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Technologies Ltd.</w:t>
            </w: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2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North America Inc.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Europe GmbH</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Germany</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Asia Pacific Limited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Hong Kong</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UK Ltd.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Japan KK</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Japan</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Tesoma GmbH</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Germany</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owned by Kornit Digital Technologies Ltd.</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 Gateway (Kornit Digital\Kornit X Limited)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Kornit Digital UK Ltd.</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(Shanghai) Digital Co., Ltd.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China</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owned by Kornit Digital Asia Pacific Limited</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bNET CENTRIC (Slovakia) s.r.o</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Slovakia</w:t>
            </w:r>
          </w:p>
        </w:tc>
        <w:tc>
          <w:tcPr>
            <w:tcW w:w="4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 owned by Custom Gateway (Kornit</w:t>
            </w:r>
          </w:p>
        </w:tc>
      </w:tr>
      <w:tr>
        <w:trPr>
          <w:trHeight w:val="234"/>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Digital\Kornit X Limited)</w:t>
            </w:r>
          </w:p>
        </w:tc>
      </w:tr>
    </w:tbl>
    <w:p>
      <w:pPr>
        <w:sectPr>
          <w:pgSz w:w="11900" w:h="16838" w:orient="portrait"/>
          <w:cols w:equalWidth="0" w:num="1">
            <w:col w:w="11240"/>
          </w:cols>
          <w:pgMar w:left="320" w:top="11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Ronen Samuel, certify that:</w:t>
      </w:r>
    </w:p>
    <w:p>
      <w:pPr>
        <w:spacing w:after="0" w:line="225"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Kornit Digital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90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Ronen Samuel</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Assaf Zipori, certify that:</w:t>
      </w:r>
    </w:p>
    <w:p>
      <w:pPr>
        <w:spacing w:after="0" w:line="225"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Kornit Digital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90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 /s/ Assaf Zipori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Assaf Zipori</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1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left="340" w:right="10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RULE 13a-14(b)/RULE 15d-14(b) UNDER THE EXCHANGE ACT AND 18 U.S.C. SECTION 1350, AS ADOPTED PURSUANT TO SECTION 906 OF THE SARBANES-OXLEY ACT OF 2002</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Form 20-F for the fiscal year ended December 31, 2025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we, Ronen Samuel, as Chief Executive Officer of the Company, and Assaf Zipori,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80" w:lineRule="exact"/>
        <w:rPr>
          <w:sz w:val="20"/>
          <w:szCs w:val="20"/>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March 26, 2026</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5715</wp:posOffset>
            </wp:positionV>
            <wp:extent cx="25374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Ronen Samuel</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By: /s/ Assaf Zipori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Assaf Zipori</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333-203970) pertaining to the 2004 Share Option Plan, 2012 Share Incentive Plan, 2015 Incentive Compensation Plan, and 2015 Employee Share Purchase Plan of Kornit Digital Ltd.,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333-214015, 333-217039, 333-223794, 333-230567, 333-237346, 333-254749, and 333-263975) pertaining to the 2015 Incentive Compensation Plan of Kornit Digital Ltd.,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333-286158) pertaining to the 2025 Share Incentive Plan of Kornit Digital Ltd.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26, 2026, with respect to the consolidated financial statements of Kornit Digital Ltd. and the effectiveness of internal control over financial reporting of Kornit Digital Ltd. included in this Annual Report (Form 20-F) of Kornit Digital Ltd. for the year ended December 31, 2025.</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/s/ KOST FORER GABBAY &amp; KASIERER</w:t>
      </w:r>
    </w:p>
    <w:p>
      <w:pPr>
        <w:spacing w:after="0" w:line="3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A Member of EY Global</w:t>
      </w:r>
    </w:p>
    <w:sectPr>
      <w:pgSz w:w="11900" w:h="16838" w:orient="portrait"/>
      <w:cols w:equalWidth="0" w:num="2">
        <w:col w:w="4980" w:space="720"/>
        <w:col w:w="55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1."/>
      <w:numFmt w:val="upperLetter"/>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1)"/>
      <w:numFmt w:val="decimal"/>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1)"/>
      <w:numFmt w:val="decimal"/>
      <w:start w:val="3"/>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1)"/>
      <w:numFmt w:val="lowerRoman"/>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1)"/>
      <w:numFmt w:val="decimal"/>
      <w:start w:val="1"/>
    </w:lvl>
  </w:abstractNum>
  <w:abstractNum w:abstractNumId="60">
    <w:nsid w:val="488AC1A"/>
    <w:multiLevelType w:val="hybridMultilevel"/>
    <w:lvl w:ilvl="0">
      <w:lvlJc w:val="left"/>
      <w:lvlText w:val="(%1)"/>
      <w:numFmt w:val="decimal"/>
      <w:start w:val="3"/>
    </w:lvl>
  </w:abstractNum>
  <w:abstractNum w:abstractNumId="61">
    <w:nsid w:val="5FB8011C"/>
    <w:multiLevelType w:val="hybridMultilevel"/>
    <w:lvl w:ilvl="0">
      <w:lvlJc w:val="left"/>
      <w:lvlText w:val="(%1)"/>
      <w:numFmt w:val="lowerRoman"/>
      <w:start w:val="1"/>
    </w:lvl>
    <w:lvl w:ilvl="1">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1)"/>
      <w:numFmt w:val="lowerRoman"/>
      <w:start w:val="2"/>
    </w:lvl>
    <w:lvl w:ilvl="1">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lowerRoman"/>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1)"/>
      <w:numFmt w:val="decimal"/>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101"/>
    </w:lvl>
  </w:abstractNum>
  <w:abstractNum w:abstractNumId="75">
    <w:nsid w:val="9DAF632"/>
    <w:multiLevelType w:val="hybridMultilevel"/>
    <w:lvl w:ilvl="0">
      <w:lvlJc w:val="left"/>
      <w:lvlText w:val="(%1)"/>
      <w:numFmt w:val="decimal"/>
      <w:start w:val="1"/>
    </w:lvl>
  </w:abstractNum>
  <w:abstractNum w:abstractNumId="76">
    <w:nsid w:val="53299938"/>
    <w:multiLevelType w:val="hybridMultilevel"/>
    <w:lvl w:ilvl="0">
      <w:lvlJc w:val="left"/>
      <w:lvlText w:val="(%1)"/>
      <w:numFmt w:val="decimal"/>
      <w:start w:val="5"/>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lowerLetter"/>
      <w:start w:val="1"/>
    </w:lvl>
  </w:abstractNum>
  <w:abstractNum w:abstractNumId="82">
    <w:nsid w:val="2A155DBC"/>
    <w:multiLevelType w:val="hybridMultilevel"/>
    <w:lvl w:ilvl="0">
      <w:lvlJc w:val="left"/>
      <w:lvlText w:val="%1."/>
      <w:numFmt w:val="lowerLetter"/>
      <w:start w:val="1"/>
    </w:lvl>
  </w:abstractNum>
  <w:abstractNum w:abstractNumId="83">
    <w:nsid w:val="1D9F6E5F"/>
    <w:multiLevelType w:val="hybridMultilevel"/>
    <w:lvl w:ilvl="0">
      <w:lvlJc w:val="left"/>
      <w:lvlText w:val="%1."/>
      <w:numFmt w:val="lowerLetter"/>
      <w:start w:val="2"/>
    </w:lvl>
  </w:abstractNum>
  <w:abstractNum w:abstractNumId="84">
    <w:nsid w:val="97E1B4E"/>
    <w:multiLevelType w:val="hybridMultilevel"/>
    <w:lvl w:ilvl="0">
      <w:lvlJc w:val="left"/>
      <w:lvlText w:val="%1."/>
      <w:numFmt w:val="lowerLetter"/>
      <w:start w:val="6"/>
    </w:lvl>
  </w:abstractNum>
  <w:abstractNum w:abstractNumId="85">
    <w:nsid w:val="51088277"/>
    <w:multiLevelType w:val="hybridMultilevel"/>
    <w:lvl w:ilvl="0">
      <w:lvlJc w:val="left"/>
      <w:lvlText w:val="%1."/>
      <w:numFmt w:val="lowerLetter"/>
      <w:start w:val="7"/>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1."/>
      <w:numFmt w:val="lowerLetter"/>
      <w:start w:val="9"/>
    </w:lvl>
    <w:lvl w:ilvl="1">
      <w:lvlJc w:val="left"/>
      <w:lvlText w:val="%2."/>
      <w:numFmt w:val="lowerLetter"/>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
      <w:numFmt w:val="bullet"/>
      <w:start w:val="1"/>
    </w:lvl>
  </w:abstractNum>
  <w:abstractNum w:abstractNumId="91">
    <w:nsid w:val="45E6D486"/>
    <w:multiLevelType w:val="hybridMultilevel"/>
    <w:lvl w:ilvl="0">
      <w:lvlJc w:val="left"/>
      <w:lvlText w:val="%1."/>
      <w:numFmt w:val="lowerRoman"/>
      <w:start w:val="1"/>
    </w:lvl>
  </w:abstractNum>
  <w:abstractNum w:abstractNumId="92">
    <w:nsid w:val="5C10FE21"/>
    <w:multiLevelType w:val="hybridMultilevel"/>
    <w:lvl w:ilvl="0">
      <w:lvlJc w:val="left"/>
      <w:lvlText w:val="%1."/>
      <w:numFmt w:val="lowerLetter"/>
      <w:start w:val="10"/>
    </w:lvl>
  </w:abstractNum>
  <w:abstractNum w:abstractNumId="93">
    <w:nsid w:val="E7FFA2B"/>
    <w:multiLevelType w:val="hybridMultilevel"/>
    <w:lvl w:ilvl="0">
      <w:lvlJc w:val="left"/>
      <w:lvlText w:val="%1."/>
      <w:numFmt w:val="lowerLetter"/>
      <w:start w:val="11"/>
    </w:lvl>
  </w:abstractNum>
  <w:abstractNum w:abstractNumId="94">
    <w:nsid w:val="3C5991AA"/>
    <w:multiLevelType w:val="hybridMultilevel"/>
    <w:lvl w:ilvl="0">
      <w:lvlJc w:val="left"/>
      <w:lvlText w:val="%1."/>
      <w:numFmt w:val="lowerLetter"/>
      <w:start w:val="14"/>
    </w:lvl>
  </w:abstractNum>
  <w:abstractNum w:abstractNumId="95">
    <w:nsid w:val="4BD8591A"/>
    <w:multiLevelType w:val="hybridMultilevel"/>
    <w:lvl w:ilvl="0">
      <w:lvlJc w:val="left"/>
      <w:lvlText w:val="%1."/>
      <w:numFmt w:val="lowerLetter"/>
      <w:start w:val="14"/>
    </w:lvl>
  </w:abstractNum>
  <w:abstractNum w:abstractNumId="96">
    <w:nsid w:val="78DF6A55"/>
    <w:multiLevelType w:val="hybridMultilevel"/>
    <w:lvl w:ilvl="0">
      <w:lvlJc w:val="left"/>
      <w:lvlText w:val="%1."/>
      <w:numFmt w:val="lowerLetter"/>
      <w:start w:val="14"/>
    </w:lvl>
  </w:abstractNum>
  <w:abstractNum w:abstractNumId="97">
    <w:nsid w:val="39B7AAA2"/>
    <w:multiLevelType w:val="hybridMultilevel"/>
    <w:lvl w:ilvl="0">
      <w:lvlJc w:val="left"/>
      <w:lvlText w:val="%1."/>
      <w:numFmt w:val="lowerLetter"/>
      <w:start w:val="15"/>
    </w:lvl>
  </w:abstractNum>
  <w:abstractNum w:abstractNumId="98">
    <w:nsid w:val="2B0D8DBE"/>
    <w:multiLevelType w:val="hybridMultilevel"/>
    <w:lvl w:ilvl="0">
      <w:lvlJc w:val="left"/>
      <w:lvlText w:val="%1."/>
      <w:numFmt w:val="lowerLetter"/>
      <w:start w:val="18"/>
    </w:lvl>
  </w:abstractNum>
  <w:abstractNum w:abstractNumId="99">
    <w:nsid w:val="6C80EC70"/>
    <w:multiLevelType w:val="hybridMultilevel"/>
    <w:lvl w:ilvl="0">
      <w:lvlJc w:val="left"/>
      <w:lvlText w:val="%1."/>
      <w:numFmt w:val="lowerLetter"/>
      <w:start w:val="18"/>
    </w:lvl>
  </w:abstractNum>
  <w:abstractNum w:abstractNumId="100">
    <w:nsid w:val="379E21B5"/>
    <w:multiLevelType w:val="hybridMultilevel"/>
    <w:lvl w:ilvl="0">
      <w:lvlJc w:val="left"/>
      <w:lvlText w:val="%1."/>
      <w:numFmt w:val="lowerLetter"/>
      <w:start w:val="21"/>
    </w:lvl>
  </w:abstractNum>
  <w:abstractNum w:abstractNumId="101">
    <w:nsid w:val="69E373"/>
    <w:multiLevelType w:val="hybridMultilevel"/>
    <w:lvl w:ilvl="0">
      <w:lvlJc w:val="left"/>
      <w:lvlText w:val="%1."/>
      <w:numFmt w:val="lowerRoman"/>
      <w:start w:val="5"/>
    </w:lvl>
    <w:lvl w:ilvl="1">
      <w:lvlJc w:val="left"/>
      <w:lvlText w:val="%2."/>
      <w:numFmt w:val="decimal"/>
      <w:start w:val="1"/>
    </w:lvl>
  </w:abstractNum>
  <w:abstractNum w:abstractNumId="102">
    <w:nsid w:val="2C27173B"/>
    <w:multiLevelType w:val="hybridMultilevel"/>
    <w:lvl w:ilvl="0">
      <w:lvlJc w:val="left"/>
      <w:lvlText w:val="%1."/>
      <w:numFmt w:val="lowerRoman"/>
      <w:start w:val="5"/>
    </w:lvl>
    <w:lvl w:ilvl="1">
      <w:lvlJc w:val="left"/>
      <w:lvlText w:val="%2."/>
      <w:numFmt w:val="decimal"/>
      <w:start w:val="2"/>
    </w:lvl>
  </w:abstractNum>
  <w:abstractNum w:abstractNumId="103">
    <w:nsid w:val="4C9B0904"/>
    <w:multiLevelType w:val="hybridMultilevel"/>
    <w:lvl w:ilvl="0">
      <w:lvlJc w:val="left"/>
      <w:lvlText w:val="%1."/>
      <w:numFmt w:val="lowerLetter"/>
      <w:start w:val="23"/>
    </w:lvl>
  </w:abstractNum>
  <w:abstractNum w:abstractNumId="104">
    <w:nsid w:val="6AA7B75C"/>
    <w:multiLevelType w:val="hybridMultilevel"/>
    <w:lvl w:ilvl="0">
      <w:lvlJc w:val="left"/>
      <w:lvlText w:val="%1."/>
      <w:numFmt w:val="lowerRoman"/>
      <w:start w:val="10"/>
    </w:lvl>
  </w:abstractNum>
  <w:abstractNum w:abstractNumId="105">
    <w:nsid w:val="1DF029D3"/>
    <w:multiLevelType w:val="hybridMultilevel"/>
    <w:lvl w:ilvl="0">
      <w:lvlJc w:val="left"/>
      <w:lvlText w:val="%1."/>
      <w:numFmt w:val="lowerLetter"/>
      <w:start w:val="25"/>
    </w:lvl>
  </w:abstractNum>
  <w:abstractNum w:abstractNumId="106">
    <w:nsid w:val="5675FF36"/>
    <w:multiLevelType w:val="hybridMultilevel"/>
    <w:lvl w:ilvl="0">
      <w:lvlJc w:val="left"/>
      <w:lvlText w:val="%1."/>
      <w:numFmt w:val="lowerLetter"/>
      <w:start w:val="27"/>
    </w:lvl>
  </w:abstractNum>
  <w:abstractNum w:abstractNumId="107">
    <w:nsid w:val="3DD15094"/>
    <w:multiLevelType w:val="hybridMultilevel"/>
    <w:lvl w:ilvl="0">
      <w:lvlJc w:val="left"/>
      <w:lvlText w:val="%1."/>
      <w:numFmt w:val="lowerLetter"/>
      <w:start w:val="27"/>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1."/>
      <w:numFmt w:val="lowerLetter"/>
      <w:start w:val="1"/>
    </w:lvl>
  </w:abstractNum>
  <w:abstractNum w:abstractNumId="110">
    <w:nsid w:val="5B25ACE2"/>
    <w:multiLevelType w:val="hybridMultilevel"/>
    <w:lvl w:ilvl="0">
      <w:lvlJc w:val="left"/>
      <w:lvlText w:val="%1."/>
      <w:numFmt w:val="lowerLetter"/>
      <w:start w:val="2"/>
    </w:lvl>
  </w:abstractNum>
  <w:abstractNum w:abstractNumId="111">
    <w:nsid w:val="175DFCF0"/>
    <w:multiLevelType w:val="hybridMultilevel"/>
    <w:lvl w:ilvl="0">
      <w:lvlJc w:val="left"/>
      <w:lvlText w:val="%1."/>
      <w:numFmt w:val="lowerLetter"/>
      <w:start w:val="1"/>
    </w:lvl>
    <w:lvl w:ilvl="1">
      <w:lvlJc w:val="left"/>
      <w:lvlText w:val="%2."/>
      <w:numFmt w:val="decimal"/>
      <w:start w:val="1"/>
    </w:lvl>
  </w:abstractNum>
  <w:abstractNum w:abstractNumId="112">
    <w:nsid w:val="4F97E3E4"/>
    <w:multiLevelType w:val="hybridMultilevel"/>
    <w:lvl w:ilvl="0">
      <w:lvlJc w:val="left"/>
      <w:lvlText w:val="%1."/>
      <w:numFmt w:val="lowerLetter"/>
      <w:start w:val="1"/>
    </w:lvl>
  </w:abstractNum>
  <w:abstractNum w:abstractNumId="113">
    <w:nsid w:val="53B0A9E"/>
    <w:multiLevelType w:val="hybridMultilevel"/>
    <w:lvl w:ilvl="0">
      <w:lvlJc w:val="left"/>
      <w:lvlText w:val="%1."/>
      <w:numFmt w:val="lowerLetter"/>
      <w:start w:val="3"/>
    </w:lvl>
  </w:abstractNum>
  <w:abstractNum w:abstractNumId="114">
    <w:nsid w:val="34FD6B4F"/>
    <w:multiLevelType w:val="hybridMultilevel"/>
    <w:lvl w:ilvl="0">
      <w:lvlJc w:val="left"/>
      <w:lvlText w:val="%1."/>
      <w:numFmt w:val="lowerLetter"/>
      <w:start w:val="4"/>
    </w:lvl>
  </w:abstractNum>
  <w:abstractNum w:abstractNumId="115">
    <w:nsid w:val="5915FF32"/>
    <w:multiLevelType w:val="hybridMultilevel"/>
    <w:lvl w:ilvl="0">
      <w:lvlJc w:val="left"/>
      <w:lvlText w:val="%1."/>
      <w:numFmt w:val="lowerLetter"/>
      <w:start w:val="4"/>
    </w:lvl>
  </w:abstractNum>
  <w:abstractNum w:abstractNumId="116">
    <w:nsid w:val="56438D15"/>
    <w:multiLevelType w:val="hybridMultilevel"/>
    <w:lvl w:ilvl="0">
      <w:lvlJc w:val="left"/>
      <w:lvlText w:val="%1."/>
      <w:numFmt w:val="lowerLetter"/>
      <w:start w:val="6"/>
    </w:lvl>
  </w:abstractNum>
  <w:abstractNum w:abstractNumId="117">
    <w:nsid w:val="519E3149"/>
    <w:multiLevelType w:val="hybridMultilevel"/>
    <w:lvl w:ilvl="0">
      <w:lvlJc w:val="left"/>
      <w:lvlText w:val="%1."/>
      <w:numFmt w:val="lowerLetter"/>
      <w:start w:val="1"/>
    </w:lvl>
  </w:abstractNum>
  <w:abstractNum w:abstractNumId="118">
    <w:nsid w:val="2C6E4AFD"/>
    <w:multiLevelType w:val="hybridMultilevel"/>
    <w:lvl w:ilvl="0">
      <w:lvlJc w:val="left"/>
      <w:lvlText w:val="%1."/>
      <w:numFmt w:val="lowerLetter"/>
      <w:start w:val="6"/>
    </w:lvl>
  </w:abstractNum>
  <w:abstractNum w:abstractNumId="119">
    <w:nsid w:val="17A1B582"/>
    <w:multiLevelType w:val="hybridMultilevel"/>
    <w:lvl w:ilvl="0">
      <w:lvlJc w:val="left"/>
      <w:lvlText w:val="%1."/>
      <w:numFmt w:val="lowerLetter"/>
      <w:start w:val="8"/>
    </w:lvl>
  </w:abstractNum>
  <w:abstractNum w:abstractNumId="120">
    <w:nsid w:val="4DF72E4E"/>
    <w:multiLevelType w:val="hybridMultilevel"/>
    <w:lvl w:ilvl="0">
      <w:lvlJc w:val="left"/>
      <w:lvlText w:val="%1."/>
      <w:numFmt w:val="lowerRoman"/>
      <w:start w:val="1"/>
    </w:lvl>
  </w:abstractNum>
  <w:abstractNum w:abstractNumId="121">
    <w:nsid w:val="5046B5A9"/>
    <w:multiLevelType w:val="hybridMultilevel"/>
    <w:lvl w:ilvl="0">
      <w:lvlJc w:val="left"/>
      <w:lvlText w:val="%1."/>
      <w:numFmt w:val="lowerLetter"/>
      <w:start w:val="10"/>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1."/>
      <w:numFmt w:val="lowerLetter"/>
      <w:start w:val="11"/>
    </w:lvl>
  </w:abstractNum>
  <w:abstractNum w:abstractNumId="124">
    <w:nsid w:val="5EC6AFD4"/>
    <w:multiLevelType w:val="hybridMultilevel"/>
    <w:lvl w:ilvl="0">
      <w:lvlJc w:val="left"/>
      <w:lvlText w:val="%1."/>
      <w:numFmt w:val="lowerLetter"/>
      <w:start w:val="12"/>
    </w:lvl>
  </w:abstractNum>
  <w:abstractNum w:abstractNumId="125">
    <w:nsid w:val="19E21BB2"/>
    <w:multiLevelType w:val="hybridMultilevel"/>
    <w:lvl w:ilvl="0">
      <w:lvlJc w:val="left"/>
      <w:lvlText w:val="%1"/>
      <w:numFmt w:val="decimal"/>
      <w:start w:val="70"/>
    </w:lvl>
  </w:abstractNum>
  <w:abstractNum w:abstractNumId="126">
    <w:nsid w:val="75E0858A"/>
    <w:multiLevelType w:val="hybridMultilevel"/>
    <w:lvl w:ilvl="0">
      <w:lvlJc w:val="left"/>
      <w:lvlText w:val="%1"/>
      <w:numFmt w:val="decimal"/>
      <w:start w:val="32"/>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1)"/>
      <w:numFmt w:val="lowerRoman"/>
      <w:start w:val="1"/>
    </w:lvl>
  </w:abstractNum>
  <w:abstractNum w:abstractNumId="130">
    <w:nsid w:val="4427069A"/>
    <w:multiLevelType w:val="hybridMultilevel"/>
    <w:lvl w:ilvl="0">
      <w:lvlJc w:val="left"/>
      <w:lvlText w:val="%1."/>
      <w:numFmt w:val="decimal"/>
      <w:start w:val="1"/>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4" Type="http://schemas.openxmlformats.org/officeDocument/2006/relationships/image" Target="media/image135.png"/><Relationship Id="rId146" Type="http://schemas.openxmlformats.org/officeDocument/2006/relationships/image" Target="media/image136.png"/><Relationship Id="rId149" Type="http://schemas.openxmlformats.org/officeDocument/2006/relationships/image" Target="media/image137.png"/><Relationship Id="rId152" Type="http://schemas.openxmlformats.org/officeDocument/2006/relationships/image" Target="media/image138.png"/><Relationship Id="rId155" Type="http://schemas.openxmlformats.org/officeDocument/2006/relationships/image" Target="media/image139.png"/><Relationship Id="rId158" Type="http://schemas.openxmlformats.org/officeDocument/2006/relationships/image" Target="media/image140.png"/><Relationship Id="rId161" Type="http://schemas.openxmlformats.org/officeDocument/2006/relationships/image" Target="media/image141.png"/><Relationship Id="rId163"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jpe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jpe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142" Type="http://schemas.openxmlformats.org/officeDocument/2006/relationships/hyperlink" Target="https://www.sec.gov/Archives/edgar/data/1625791/000121390021041996/ea145694ex99-1_kornitdigital.htm" TargetMode="External"/><Relationship Id="rId143" Type="http://schemas.openxmlformats.org/officeDocument/2006/relationships/hyperlink" Target="https://www.sec.gov/Archives/edgar/data/1625791/000161577415000434/s100824_ex4-1.htm" TargetMode="External"/><Relationship Id="rId145" Type="http://schemas.openxmlformats.org/officeDocument/2006/relationships/hyperlink" Target="https://www.sec.gov/Archives/edgar/data/1625791/000161577415000434/s100824_ex10-3.htm" TargetMode="External"/><Relationship Id="rId147" Type="http://schemas.openxmlformats.org/officeDocument/2006/relationships/hyperlink" Target="https://www.sec.gov/Archives/edgar/data/1625791/000161577415000363/s100753_ex10-2.htm" TargetMode="External"/><Relationship Id="rId148" Type="http://schemas.openxmlformats.org/officeDocument/2006/relationships/hyperlink" Target="https://www.sec.gov/Archives/edgar/data/1625791/000161577415000505/s100871_ex10-21.htm" TargetMode="External"/><Relationship Id="rId150" Type="http://schemas.openxmlformats.org/officeDocument/2006/relationships/hyperlink" Target="http://www.sec.gov/Archives/edgar/data/1625791/000101376225003018/ea023415201ex4-4_kornit.htm" TargetMode="External"/><Relationship Id="rId151" Type="http://schemas.openxmlformats.org/officeDocument/2006/relationships/hyperlink" Target="http://www.sec.gov/Archives/edgar/data/1625791/000121390023058310/ea182017ex99-1_kornit.htm#a_010" TargetMode="External"/><Relationship Id="rId153" Type="http://schemas.openxmlformats.org/officeDocument/2006/relationships/hyperlink" Target="https://www.sec.gov/Archives/edgar/data/1625791/000121390021017655/f20f2020ex4-5_kornit.htm" TargetMode="External"/><Relationship Id="rId154" Type="http://schemas.openxmlformats.org/officeDocument/2006/relationships/hyperlink" Target="https://www.sec.gov/Archives/edgar/data/1625791/000121390016012553/f20f2015a1ex4ix_kornit.htm" TargetMode="External"/><Relationship Id="rId156" Type="http://schemas.openxmlformats.org/officeDocument/2006/relationships/hyperlink" Target="https://www.sec.gov/Archives/edgar/data/1625791/000121390017003011/f20f2016ex4xi_kornit.htm" TargetMode="External"/><Relationship Id="rId157" Type="http://schemas.openxmlformats.org/officeDocument/2006/relationships/hyperlink" Target="https://www.sec.gov/Archives/edgar/data/1625791/000121390017003011/f20f2016ex4xiii_kornit.htm" TargetMode="External"/><Relationship Id="rId159" Type="http://schemas.openxmlformats.org/officeDocument/2006/relationships/hyperlink" Target="https://www.sec.gov/Archives/edgar/data/1625791/000121390020007110/f20f2019ex4-11ii_kornit.htm" TargetMode="External"/><Relationship Id="rId160" Type="http://schemas.openxmlformats.org/officeDocument/2006/relationships/hyperlink" Target="https://www.sec.gov/Archives/edgar/data/1625791/000121390020007110/f20f2019ex4-11iii_kornit.htm" TargetMode="External"/><Relationship Id="rId162" Type="http://schemas.openxmlformats.org/officeDocument/2006/relationships/hyperlink" Target="https://www.sec.gov/Archives/edgar/data/1625791/000121390020007110/f20f2019ex4-11iv_kornit.htm" TargetMode="External"/><Relationship Id="rId164" Type="http://schemas.openxmlformats.org/officeDocument/2006/relationships/hyperlink" Target="https://www.sec.gov/Archives/edgar/data/1625791/000121390020026438/ea126792ex10-2_kornitdigi.htm" TargetMode="External"/><Relationship Id="rId165" Type="http://schemas.openxmlformats.org/officeDocument/2006/relationships/hyperlink" Target="https://www.sec.gov/Archives/edgar/data/1625791/000121390021017655/f20f2020ex4-10vi_kornit.htm" TargetMode="External"/><Relationship Id="rId166" Type="http://schemas.openxmlformats.org/officeDocument/2006/relationships/hyperlink" Target="https://www.sec.gov/Archives/edgar/data/1625791/000121390021017655/f20f2020ex4-10vii_kornit.htm" TargetMode="External"/><Relationship Id="rId167" Type="http://schemas.openxmlformats.org/officeDocument/2006/relationships/hyperlink" Target="https://www.sec.gov/Archives/edgar/data/1625791/000121390020026438/ea126792ex10-1_kornitdigi.htm" TargetMode="External"/><Relationship Id="rId168" Type="http://schemas.openxmlformats.org/officeDocument/2006/relationships/hyperlink" Target="https://www.sec.gov/Archives/edgar/data/1625791/000121390020026438/ea126792ex4-1_kornitdigi.htm" TargetMode="External"/><Relationship Id="rId169" Type="http://schemas.openxmlformats.org/officeDocument/2006/relationships/hyperlink" Target="https://www.sec.gov/Archives/edgar/data/1625791/000121390018003203/f20f2017ex4-16_kornit.htm" TargetMode="External"/><Relationship Id="rId170" Type="http://schemas.openxmlformats.org/officeDocument/2006/relationships/hyperlink" Target="https://www.sec.gov/Archives/edgar/data/1625791/000121390020007110/f20f2019ex4-16_kornit.htm" TargetMode="External"/><Relationship Id="rId171" Type="http://schemas.openxmlformats.org/officeDocument/2006/relationships/hyperlink" Target="http://www.sec.gov/Archives/edgar/data/1625791/000101376225003018/ea023415201ex11-1_kornit.htm" TargetMode="External"/><Relationship Id="rId172" Type="http://schemas.openxmlformats.org/officeDocument/2006/relationships/hyperlink" Target="http://www.sec.gov/Archives/edgar/data/1625791/000121390024027207/ea020186201ex97-1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2026-03-26T15:24:24Z</dcterms:created>
  <dcterms:modified xsi:type="dcterms:W3CDTF">2026-03-26T15:24:24Z</dcterms:modified>
</cp:coreProperties>
</file>