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January 12,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28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20"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420"/>
          </w:cols>
          <w:pgMar w:left="240" w:top="460" w:right="239" w:bottom="1440" w:gutter="0" w:footer="0" w:header="0"/>
        </w:sectPr>
      </w:pPr>
    </w:p>
    <w:bookmarkStart w:id="1" w:name="page2"/>
    <w:bookmarkEnd w:id="1"/>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8 Pages</w:t>
      </w:r>
    </w:p>
    <w:p>
      <w:pPr>
        <w:ind w:left="1960" w:hanging="1099"/>
        <w:spacing w:after="0" w:line="228" w:lineRule="auto"/>
        <w:tabs>
          <w:tab w:leader="none" w:pos="1960" w:val="left"/>
        </w:tabs>
        <w:numPr>
          <w:ilvl w:val="0"/>
          <w:numId w:val="2"/>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4802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80" w:type="dxa"/>
            <w:vAlign w:val="bottom"/>
          </w:tcPr>
          <w:p>
            <w:pPr>
              <w:spacing w:after="0"/>
              <w:rPr>
                <w:sz w:val="21"/>
                <w:szCs w:val="21"/>
                <w:color w:val="auto"/>
              </w:rPr>
            </w:pPr>
          </w:p>
        </w:tc>
        <w:tc>
          <w:tcPr>
            <w:tcW w:w="6820" w:type="dxa"/>
            <w:vAlign w:val="bottom"/>
          </w:tcPr>
          <w:p>
            <w:pPr>
              <w:ind w:left="820"/>
              <w:spacing w:after="0"/>
              <w:rPr>
                <w:sz w:val="20"/>
                <w:szCs w:val="20"/>
                <w:color w:val="auto"/>
              </w:rPr>
            </w:pPr>
            <w:r>
              <w:rPr>
                <w:rFonts w:ascii="Arial" w:cs="Arial" w:eastAsia="Arial" w:hAnsi="Arial"/>
                <w:sz w:val="20"/>
                <w:szCs w:val="20"/>
                <w:color w:val="auto"/>
              </w:rPr>
              <w:t>Senvest Management, LLC</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2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1,695,677</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1,695,677</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1,695,677</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5.03%</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 IA</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2" w:name="page3"/>
    <w:bookmarkEnd w:id="2"/>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8 Pages</w:t>
      </w:r>
    </w:p>
    <w:p>
      <w:pPr>
        <w:ind w:left="1960" w:hanging="1099"/>
        <w:spacing w:after="0" w:line="228" w:lineRule="auto"/>
        <w:tabs>
          <w:tab w:leader="none" w:pos="196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4802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80" w:type="dxa"/>
            <w:vAlign w:val="bottom"/>
          </w:tcPr>
          <w:p>
            <w:pPr>
              <w:spacing w:after="0"/>
              <w:rPr>
                <w:sz w:val="21"/>
                <w:szCs w:val="21"/>
                <w:color w:val="auto"/>
              </w:rPr>
            </w:pPr>
          </w:p>
        </w:tc>
        <w:tc>
          <w:tcPr>
            <w:tcW w:w="6820" w:type="dxa"/>
            <w:vAlign w:val="bottom"/>
          </w:tcPr>
          <w:p>
            <w:pPr>
              <w:ind w:left="820"/>
              <w:spacing w:after="0"/>
              <w:rPr>
                <w:sz w:val="20"/>
                <w:szCs w:val="20"/>
                <w:color w:val="auto"/>
              </w:rPr>
            </w:pPr>
            <w:r>
              <w:rPr>
                <w:rFonts w:ascii="Arial" w:cs="Arial" w:eastAsia="Arial" w:hAnsi="Arial"/>
                <w:sz w:val="20"/>
                <w:szCs w:val="20"/>
                <w:color w:val="auto"/>
              </w:rPr>
              <w:t>Richard Mashaal</w:t>
            </w: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2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20"/>
                <w:szCs w:val="20"/>
                <w:color w:val="auto"/>
                <w:w w:val="82"/>
              </w:rPr>
              <w:t>Canada</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1,695,677</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line="308" w:lineRule="exact"/>
              <w:rPr>
                <w:sz w:val="20"/>
                <w:szCs w:val="20"/>
                <w:color w:val="auto"/>
              </w:rPr>
            </w:pPr>
            <w:r>
              <w:rPr>
                <w:rFonts w:ascii="Arial" w:cs="Arial" w:eastAsia="Arial" w:hAnsi="Arial"/>
                <w:sz w:val="29"/>
                <w:szCs w:val="29"/>
                <w:b w:val="1"/>
                <w:bCs w:val="1"/>
                <w:color w:val="auto"/>
                <w:w w:val="86"/>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1,695,677</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1,695,677</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5.03%</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20"/>
                <w:szCs w:val="20"/>
                <w:color w:val="auto"/>
                <w:w w:val="96"/>
              </w:rPr>
              <w:t>IN, HC</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9"/>
                <w:szCs w:val="19"/>
                <w:b w:val="1"/>
                <w:bCs w:val="1"/>
                <w:color w:val="auto"/>
                <w:w w:val="96"/>
              </w:rPr>
              <w:t>M6372Q113</w:t>
            </w:r>
          </w:p>
        </w:tc>
        <w:tc>
          <w:tcPr>
            <w:tcW w:w="1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20" w:type="dxa"/>
            <w:vAlign w:val="bottom"/>
          </w:tcPr>
          <w:p>
            <w:pPr>
              <w:ind w:left="1380"/>
              <w:spacing w:after="0"/>
              <w:rPr>
                <w:sz w:val="20"/>
                <w:szCs w:val="20"/>
                <w:color w:val="auto"/>
              </w:rPr>
            </w:pPr>
            <w:r>
              <w:rPr>
                <w:rFonts w:ascii="Arial" w:cs="Arial" w:eastAsia="Arial" w:hAnsi="Arial"/>
                <w:sz w:val="18"/>
                <w:szCs w:val="18"/>
                <w:b w:val="1"/>
                <w:bCs w:val="1"/>
                <w:color w:val="auto"/>
              </w:rPr>
              <w:t>13G</w:t>
            </w:r>
          </w:p>
        </w:tc>
        <w:tc>
          <w:tcPr>
            <w:tcW w:w="3420" w:type="dxa"/>
            <w:vAlign w:val="bottom"/>
          </w:tcPr>
          <w:p>
            <w:pPr>
              <w:ind w:left="2100"/>
              <w:spacing w:after="0"/>
              <w:rPr>
                <w:sz w:val="20"/>
                <w:szCs w:val="20"/>
                <w:color w:val="auto"/>
              </w:rPr>
            </w:pPr>
            <w:r>
              <w:rPr>
                <w:rFonts w:ascii="Arial" w:cs="Arial" w:eastAsia="Arial" w:hAnsi="Arial"/>
                <w:sz w:val="18"/>
                <w:szCs w:val="18"/>
                <w:b w:val="1"/>
                <w:bCs w:val="1"/>
                <w:color w:val="auto"/>
                <w:w w:val="84"/>
              </w:rPr>
              <w:t>Page 4 of 8 Pages</w:t>
            </w:r>
          </w:p>
        </w:tc>
      </w:tr>
      <w:tr>
        <w:trPr>
          <w:trHeight w:val="54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6720" w:type="dxa"/>
            <w:vAlign w:val="bottom"/>
            <w:gridSpan w:val="4"/>
          </w:tcPr>
          <w:p>
            <w:pPr>
              <w:ind w:left="440"/>
              <w:spacing w:after="0"/>
              <w:rPr>
                <w:sz w:val="20"/>
                <w:szCs w:val="20"/>
                <w:color w:val="auto"/>
              </w:rPr>
            </w:pPr>
            <w:r>
              <w:rPr>
                <w:rFonts w:ascii="Arial" w:cs="Arial" w:eastAsia="Arial" w:hAnsi="Arial"/>
                <w:sz w:val="20"/>
                <w:szCs w:val="20"/>
                <w:b w:val="1"/>
                <w:bCs w:val="1"/>
                <w:color w:val="auto"/>
              </w:rPr>
              <w:t>Name of Issuer.</w:t>
            </w:r>
          </w:p>
        </w:tc>
        <w:tc>
          <w:tcPr>
            <w:tcW w:w="3420" w:type="dxa"/>
            <w:vAlign w:val="bottom"/>
          </w:tcPr>
          <w:p>
            <w:pPr>
              <w:spacing w:after="0"/>
              <w:rPr>
                <w:sz w:val="24"/>
                <w:szCs w:val="24"/>
                <w:color w:val="auto"/>
              </w:rPr>
            </w:pPr>
          </w:p>
        </w:tc>
      </w:tr>
      <w:tr>
        <w:trPr>
          <w:trHeight w:val="206"/>
        </w:trPr>
        <w:tc>
          <w:tcPr>
            <w:tcW w:w="1280" w:type="dxa"/>
            <w:vAlign w:val="bottom"/>
          </w:tcPr>
          <w:p>
            <w:pPr>
              <w:spacing w:after="0"/>
              <w:rPr>
                <w:sz w:val="17"/>
                <w:szCs w:val="17"/>
                <w:color w:val="auto"/>
              </w:rPr>
            </w:pPr>
          </w:p>
        </w:tc>
        <w:tc>
          <w:tcPr>
            <w:tcW w:w="6720" w:type="dxa"/>
            <w:vAlign w:val="bottom"/>
            <w:gridSpan w:val="4"/>
          </w:tcPr>
          <w:p>
            <w:pPr>
              <w:ind w:left="440"/>
              <w:spacing w:after="0" w:line="206" w:lineRule="exact"/>
              <w:rPr>
                <w:sz w:val="20"/>
                <w:szCs w:val="20"/>
                <w:color w:val="auto"/>
              </w:rPr>
            </w:pPr>
            <w:r>
              <w:rPr>
                <w:rFonts w:ascii="Arial" w:cs="Arial" w:eastAsia="Arial" w:hAnsi="Arial"/>
                <w:sz w:val="20"/>
                <w:szCs w:val="20"/>
                <w:color w:val="auto"/>
              </w:rPr>
              <w:t>Kornit Digital Ltd. (the "Issuer")</w:t>
            </w:r>
          </w:p>
        </w:tc>
        <w:tc>
          <w:tcPr>
            <w:tcW w:w="34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63"/>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6720" w:type="dxa"/>
            <w:vAlign w:val="bottom"/>
            <w:gridSpan w:val="4"/>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3420" w:type="dxa"/>
            <w:vAlign w:val="bottom"/>
          </w:tcPr>
          <w:p>
            <w:pPr>
              <w:spacing w:after="0"/>
              <w:rPr>
                <w:sz w:val="24"/>
                <w:szCs w:val="24"/>
                <w:color w:val="auto"/>
              </w:rPr>
            </w:pPr>
          </w:p>
        </w:tc>
      </w:tr>
      <w:tr>
        <w:trPr>
          <w:trHeight w:val="246"/>
        </w:trPr>
        <w:tc>
          <w:tcPr>
            <w:tcW w:w="128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20"/>
                <w:szCs w:val="20"/>
                <w:color w:val="auto"/>
                <w:w w:val="89"/>
              </w:rPr>
              <w:t>12</w:t>
            </w:r>
          </w:p>
        </w:tc>
        <w:tc>
          <w:tcPr>
            <w:tcW w:w="6060" w:type="dxa"/>
            <w:vAlign w:val="bottom"/>
            <w:gridSpan w:val="3"/>
          </w:tcPr>
          <w:p>
            <w:pPr>
              <w:ind w:left="40"/>
              <w:spacing w:after="0"/>
              <w:rPr>
                <w:sz w:val="20"/>
                <w:szCs w:val="20"/>
                <w:color w:val="auto"/>
              </w:rPr>
            </w:pPr>
            <w:r>
              <w:rPr>
                <w:rFonts w:ascii="Arial" w:cs="Arial" w:eastAsia="Arial" w:hAnsi="Arial"/>
                <w:sz w:val="20"/>
                <w:szCs w:val="20"/>
                <w:color w:val="auto"/>
              </w:rPr>
              <w:t>Ha’Amal Street</w:t>
            </w:r>
          </w:p>
        </w:tc>
        <w:tc>
          <w:tcPr>
            <w:tcW w:w="3420" w:type="dxa"/>
            <w:vAlign w:val="bottom"/>
          </w:tcPr>
          <w:p>
            <w:pPr>
              <w:spacing w:after="0"/>
              <w:rPr>
                <w:sz w:val="21"/>
                <w:szCs w:val="21"/>
                <w:color w:val="auto"/>
              </w:rPr>
            </w:pPr>
          </w:p>
        </w:tc>
      </w:tr>
    </w:tbl>
    <w:p>
      <w:pPr>
        <w:ind w:left="1720"/>
        <w:spacing w:after="0"/>
        <w:rPr>
          <w:sz w:val="20"/>
          <w:szCs w:val="20"/>
          <w:color w:val="auto"/>
        </w:rPr>
      </w:pPr>
      <w:r>
        <w:rPr>
          <w:rFonts w:ascii="Arial" w:cs="Arial" w:eastAsia="Arial" w:hAnsi="Arial"/>
          <w:sz w:val="20"/>
          <w:szCs w:val="20"/>
          <w:color w:val="auto"/>
        </w:rPr>
        <w:t>Park Afek</w:t>
      </w:r>
    </w:p>
    <w:p>
      <w:pPr>
        <w:ind w:left="1720"/>
        <w:spacing w:after="0"/>
        <w:rPr>
          <w:sz w:val="20"/>
          <w:szCs w:val="20"/>
          <w:color w:val="auto"/>
        </w:rPr>
      </w:pPr>
      <w:r>
        <w:rPr>
          <w:rFonts w:ascii="Arial" w:cs="Arial" w:eastAsia="Arial" w:hAnsi="Arial"/>
          <w:sz w:val="20"/>
          <w:szCs w:val="20"/>
          <w:color w:val="auto"/>
        </w:rPr>
        <w:t>Rosh Ha’Ayin 4824096</w:t>
      </w:r>
    </w:p>
    <w:p>
      <w:pPr>
        <w:ind w:left="1720"/>
        <w:spacing w:after="0"/>
        <w:rPr>
          <w:sz w:val="20"/>
          <w:szCs w:val="20"/>
          <w:color w:val="auto"/>
        </w:rPr>
      </w:pPr>
      <w:r>
        <w:rPr>
          <w:rFonts w:ascii="Arial" w:cs="Arial" w:eastAsia="Arial" w:hAnsi="Arial"/>
          <w:sz w:val="20"/>
          <w:szCs w:val="20"/>
          <w:color w:val="auto"/>
        </w:rPr>
        <w:t>Israel</w:t>
      </w:r>
    </w:p>
    <w:p>
      <w:pPr>
        <w:spacing w:after="0" w:line="207"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This statement is filed by Senvest Management, LLC and Richard Mashaal.</w:t>
      </w:r>
    </w:p>
    <w:p>
      <w:pPr>
        <w:spacing w:after="0" w:line="213" w:lineRule="exact"/>
        <w:rPr>
          <w:sz w:val="20"/>
          <w:szCs w:val="20"/>
          <w:color w:val="auto"/>
        </w:rPr>
      </w:pPr>
    </w:p>
    <w:p>
      <w:pPr>
        <w:jc w:val="both"/>
        <w:ind w:left="1720"/>
        <w:spacing w:after="0" w:line="260" w:lineRule="auto"/>
        <w:rPr>
          <w:sz w:val="20"/>
          <w:szCs w:val="20"/>
          <w:color w:val="auto"/>
        </w:rPr>
      </w:pPr>
      <w:r>
        <w:rPr>
          <w:rFonts w:ascii="Arial" w:cs="Arial" w:eastAsia="Arial" w:hAnsi="Arial"/>
          <w:sz w:val="20"/>
          <w:szCs w:val="20"/>
          <w:color w:val="auto"/>
        </w:rPr>
        <w:t>The reported securities are held in the accounts of Senvest Master Fund, LP, Senvest Israel Partners Master Fund, LP and Senvest Global (KY), LP (collectively, the "</w:t>
      </w:r>
      <w:r>
        <w:rPr>
          <w:rFonts w:ascii="Arial" w:cs="Arial" w:eastAsia="Arial" w:hAnsi="Arial"/>
          <w:sz w:val="20"/>
          <w:szCs w:val="20"/>
          <w:u w:val="single" w:color="auto"/>
          <w:color w:val="auto"/>
        </w:rPr>
        <w:t>Investment Vehicles</w:t>
      </w:r>
      <w:r>
        <w:rPr>
          <w:rFonts w:ascii="Arial" w:cs="Arial" w:eastAsia="Arial" w:hAnsi="Arial"/>
          <w:sz w:val="20"/>
          <w:szCs w:val="20"/>
          <w:color w:val="auto"/>
        </w:rPr>
        <w:t>").</w:t>
      </w:r>
    </w:p>
    <w:p>
      <w:pPr>
        <w:spacing w:after="0" w:line="190" w:lineRule="exact"/>
        <w:rPr>
          <w:sz w:val="20"/>
          <w:szCs w:val="20"/>
          <w:color w:val="auto"/>
        </w:rPr>
      </w:pPr>
    </w:p>
    <w:p>
      <w:pPr>
        <w:jc w:val="both"/>
        <w:ind w:left="1720" w:right="20"/>
        <w:spacing w:after="0" w:line="250" w:lineRule="auto"/>
        <w:rPr>
          <w:sz w:val="20"/>
          <w:szCs w:val="20"/>
          <w:color w:val="auto"/>
        </w:rPr>
      </w:pPr>
      <w:r>
        <w:rPr>
          <w:rFonts w:ascii="Arial" w:cs="Arial" w:eastAsia="Arial" w:hAnsi="Arial"/>
          <w:sz w:val="20"/>
          <w:szCs w:val="20"/>
          <w:color w:val="auto"/>
        </w:rPr>
        <w:t>Senvest Management, LLC serves as investment manager of the Investment Vehicles. Richard Mashaal is the managing member of Senvest Management, LLC. Mr. Mashaal may be deemed to have voting and dispositive powers over the securities held by the Investment Vehicles.</w:t>
      </w:r>
    </w:p>
    <w:p>
      <w:pPr>
        <w:spacing w:after="0" w:line="200" w:lineRule="exact"/>
        <w:rPr>
          <w:sz w:val="20"/>
          <w:szCs w:val="20"/>
          <w:color w:val="auto"/>
        </w:rPr>
      </w:pPr>
    </w:p>
    <w:p>
      <w:pPr>
        <w:jc w:val="both"/>
        <w:ind w:left="1720"/>
        <w:spacing w:after="0" w:line="278" w:lineRule="auto"/>
        <w:rPr>
          <w:sz w:val="20"/>
          <w:szCs w:val="20"/>
          <w:color w:val="auto"/>
        </w:rPr>
      </w:pPr>
      <w:r>
        <w:rPr>
          <w:rFonts w:ascii="Arial" w:cs="Arial" w:eastAsia="Arial" w:hAnsi="Arial"/>
          <w:sz w:val="18"/>
          <w:szCs w:val="18"/>
          <w:color w:val="auto"/>
        </w:rPr>
        <w:t>Senvest Management, LLC may be deemed to beneficially own the securities held by the Investment Vehicles by virtue of Senvest Management, LLC's position as investment manager of each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p>
      <w:pPr>
        <w:spacing w:after="0" w:line="173"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Senvest Management, LLC</w:t>
      </w:r>
    </w:p>
    <w:p>
      <w:pPr>
        <w:ind w:left="1720"/>
        <w:spacing w:after="0" w:line="184" w:lineRule="auto"/>
        <w:rPr>
          <w:sz w:val="20"/>
          <w:szCs w:val="20"/>
          <w:color w:val="auto"/>
        </w:rPr>
      </w:pPr>
      <w:r>
        <w:rPr>
          <w:rFonts w:ascii="Arial" w:cs="Arial" w:eastAsia="Arial" w:hAnsi="Arial"/>
          <w:sz w:val="19"/>
          <w:szCs w:val="19"/>
          <w:color w:val="auto"/>
        </w:rPr>
        <w:t>540 Madison Avenue, 32</w:t>
      </w:r>
      <w:r>
        <w:rPr>
          <w:rFonts w:ascii="Arial" w:cs="Arial" w:eastAsia="Arial" w:hAnsi="Arial"/>
          <w:sz w:val="32"/>
          <w:szCs w:val="32"/>
          <w:color w:val="auto"/>
          <w:vertAlign w:val="superscript"/>
        </w:rPr>
        <w:t>nd</w:t>
      </w:r>
      <w:r>
        <w:rPr>
          <w:rFonts w:ascii="Arial" w:cs="Arial" w:eastAsia="Arial" w:hAnsi="Arial"/>
          <w:sz w:val="19"/>
          <w:szCs w:val="19"/>
          <w:color w:val="auto"/>
        </w:rPr>
        <w:t xml:space="preserve"> Floor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New York, New York 10022</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Richard Mashaal</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c/o Senvest Management, LLC</w:t>
      </w:r>
    </w:p>
    <w:p>
      <w:pPr>
        <w:ind w:left="1720"/>
        <w:spacing w:after="0" w:line="184" w:lineRule="auto"/>
        <w:rPr>
          <w:sz w:val="20"/>
          <w:szCs w:val="20"/>
          <w:color w:val="auto"/>
        </w:rPr>
      </w:pPr>
      <w:r>
        <w:rPr>
          <w:rFonts w:ascii="Arial" w:cs="Arial" w:eastAsia="Arial" w:hAnsi="Arial"/>
          <w:sz w:val="19"/>
          <w:szCs w:val="19"/>
          <w:color w:val="auto"/>
        </w:rPr>
        <w:t>540 Madison Avenue, 32</w:t>
      </w:r>
      <w:r>
        <w:rPr>
          <w:rFonts w:ascii="Arial" w:cs="Arial" w:eastAsia="Arial" w:hAnsi="Arial"/>
          <w:sz w:val="32"/>
          <w:szCs w:val="32"/>
          <w:color w:val="auto"/>
          <w:vertAlign w:val="superscript"/>
        </w:rPr>
        <w:t>nd</w:t>
      </w:r>
      <w:r>
        <w:rPr>
          <w:rFonts w:ascii="Arial" w:cs="Arial" w:eastAsia="Arial" w:hAnsi="Arial"/>
          <w:sz w:val="19"/>
          <w:szCs w:val="19"/>
          <w:color w:val="auto"/>
        </w:rPr>
        <w:t xml:space="preserve"> Floor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New York, New York 10022</w:t>
      </w:r>
    </w:p>
    <w:p>
      <w:pPr>
        <w:spacing w:after="0" w:line="207"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16"/>
          <w:szCs w:val="16"/>
          <w:b w:val="1"/>
          <w:bCs w:val="1"/>
          <w:color w:val="auto"/>
        </w:rPr>
        <w:t>Place of Organization.</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Senvest Management, LLC – Delaware</w:t>
      </w:r>
    </w:p>
    <w:p>
      <w:pPr>
        <w:ind w:left="1720"/>
        <w:spacing w:after="0"/>
        <w:rPr>
          <w:sz w:val="20"/>
          <w:szCs w:val="20"/>
          <w:color w:val="auto"/>
        </w:rPr>
      </w:pPr>
      <w:r>
        <w:rPr>
          <w:rFonts w:ascii="Arial" w:cs="Arial" w:eastAsia="Arial" w:hAnsi="Arial"/>
          <w:sz w:val="20"/>
          <w:szCs w:val="20"/>
          <w:color w:val="auto"/>
        </w:rPr>
        <w:t>Richard Mashaal – Canada</w:t>
      </w:r>
    </w:p>
    <w:p>
      <w:pPr>
        <w:spacing w:after="0" w:line="207"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Ordinary Shares, par value NIS 0.01 per share (the “</w:t>
      </w:r>
      <w:r>
        <w:rPr>
          <w:rFonts w:ascii="Arial" w:cs="Arial" w:eastAsia="Arial" w:hAnsi="Arial"/>
          <w:sz w:val="20"/>
          <w:szCs w:val="20"/>
          <w:u w:val="single" w:color="auto"/>
          <w:color w:val="auto"/>
        </w:rPr>
        <w:t>Ordinary Shares</w:t>
      </w:r>
      <w:r>
        <w:rPr>
          <w:rFonts w:ascii="Arial" w:cs="Arial" w:eastAsia="Arial" w:hAnsi="Arial"/>
          <w:sz w:val="20"/>
          <w:szCs w:val="20"/>
          <w:color w:val="auto"/>
        </w:rPr>
        <w:t>”)</w:t>
      </w:r>
    </w:p>
    <w:p>
      <w:pPr>
        <w:sectPr>
          <w:pgSz w:w="11900" w:h="16838" w:orient="portrait"/>
          <w:cols w:equalWidth="0" w:num="1">
            <w:col w:w="11420"/>
          </w:cols>
          <w:pgMar w:left="240" w:top="2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p>
        </w:tc>
        <w:tc>
          <w:tcPr>
            <w:tcW w:w="3660" w:type="dxa"/>
            <w:vAlign w:val="bottom"/>
          </w:tcPr>
          <w:p>
            <w:pPr>
              <w:ind w:left="1220"/>
              <w:spacing w:after="0"/>
              <w:rPr>
                <w:sz w:val="20"/>
                <w:szCs w:val="20"/>
                <w:color w:val="auto"/>
              </w:rPr>
            </w:pPr>
            <w:r>
              <w:rPr>
                <w:rFonts w:ascii="Arial" w:cs="Arial" w:eastAsia="Arial" w:hAnsi="Arial"/>
                <w:sz w:val="18"/>
                <w:szCs w:val="18"/>
                <w:b w:val="1"/>
                <w:bCs w:val="1"/>
                <w:color w:val="auto"/>
              </w:rPr>
              <w:t>13G</w:t>
            </w:r>
          </w:p>
        </w:tc>
        <w:tc>
          <w:tcPr>
            <w:tcW w:w="3420" w:type="dxa"/>
            <w:vAlign w:val="bottom"/>
          </w:tcPr>
          <w:p>
            <w:pPr>
              <w:ind w:left="2100"/>
              <w:spacing w:after="0"/>
              <w:rPr>
                <w:sz w:val="20"/>
                <w:szCs w:val="20"/>
                <w:color w:val="auto"/>
              </w:rPr>
            </w:pPr>
            <w:r>
              <w:rPr>
                <w:rFonts w:ascii="Arial" w:cs="Arial" w:eastAsia="Arial" w:hAnsi="Arial"/>
                <w:sz w:val="18"/>
                <w:szCs w:val="18"/>
                <w:b w:val="1"/>
                <w:bCs w:val="1"/>
                <w:color w:val="auto"/>
                <w:w w:val="84"/>
              </w:rPr>
              <w:t>Page 5 of 8 Pages</w:t>
            </w:r>
          </w:p>
        </w:tc>
      </w:tr>
      <w:tr>
        <w:trPr>
          <w:trHeight w:val="54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060" w:type="dxa"/>
            <w:vAlign w:val="bottom"/>
          </w:tcPr>
          <w:p>
            <w:pPr>
              <w:ind w:left="440"/>
              <w:spacing w:after="0"/>
              <w:rPr>
                <w:sz w:val="20"/>
                <w:szCs w:val="20"/>
                <w:color w:val="auto"/>
              </w:rPr>
            </w:pPr>
            <w:r>
              <w:rPr>
                <w:rFonts w:ascii="Arial" w:cs="Arial" w:eastAsia="Arial" w:hAnsi="Arial"/>
                <w:sz w:val="20"/>
                <w:szCs w:val="20"/>
                <w:b w:val="1"/>
                <w:bCs w:val="1"/>
                <w:color w:val="auto"/>
              </w:rPr>
              <w:t>CUSIP Number.</w:t>
            </w:r>
          </w:p>
        </w:tc>
        <w:tc>
          <w:tcPr>
            <w:tcW w:w="36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3060" w:type="dxa"/>
            <w:vAlign w:val="bottom"/>
          </w:tcPr>
          <w:p>
            <w:pPr>
              <w:ind w:left="440"/>
              <w:spacing w:after="0"/>
              <w:rPr>
                <w:sz w:val="20"/>
                <w:szCs w:val="20"/>
                <w:color w:val="auto"/>
              </w:rPr>
            </w:pPr>
            <w:r>
              <w:rPr>
                <w:rFonts w:ascii="Arial" w:cs="Arial" w:eastAsia="Arial" w:hAnsi="Arial"/>
                <w:sz w:val="20"/>
                <w:szCs w:val="20"/>
                <w:color w:val="auto"/>
              </w:rPr>
              <w:t>M6372Q113</w:t>
            </w:r>
          </w:p>
        </w:tc>
        <w:tc>
          <w:tcPr>
            <w:tcW w:w="366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454"/>
        </w:trPr>
        <w:tc>
          <w:tcPr>
            <w:tcW w:w="128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10140" w:type="dxa"/>
            <w:vAlign w:val="bottom"/>
            <w:gridSpan w:val="3"/>
          </w:tcPr>
          <w:p>
            <w:pPr>
              <w:ind w:left="440"/>
              <w:spacing w:after="0"/>
              <w:rPr>
                <w:sz w:val="20"/>
                <w:szCs w:val="20"/>
                <w:color w:val="auto"/>
              </w:rPr>
            </w:pPr>
            <w:r>
              <w:rPr>
                <w:rFonts w:ascii="Arial" w:cs="Arial" w:eastAsia="Arial" w:hAnsi="Arial"/>
                <w:sz w:val="20"/>
                <w:szCs w:val="20"/>
                <w:b w:val="1"/>
                <w:bCs w:val="1"/>
                <w:color w:val="auto"/>
                <w:w w:val="90"/>
              </w:rPr>
              <w:t>If this Statement is Filed Pursuant to §§ 240.13d-1(b) or 240.13d-2(b), or (c), check whether the Person Filing is a:</w:t>
            </w:r>
          </w:p>
        </w:tc>
      </w:tr>
    </w:tbl>
    <w:p>
      <w:pPr>
        <w:ind w:left="2680" w:hanging="957"/>
        <w:spacing w:after="0" w:line="230" w:lineRule="exact"/>
        <w:tabs>
          <w:tab w:leader="none" w:pos="268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189" w:lineRule="exact"/>
        <w:rPr>
          <w:rFonts w:ascii="Arial" w:cs="Arial" w:eastAsia="Arial" w:hAnsi="Arial"/>
          <w:sz w:val="20"/>
          <w:szCs w:val="20"/>
          <w:color w:val="auto"/>
        </w:rPr>
      </w:pPr>
    </w:p>
    <w:p>
      <w:pPr>
        <w:ind w:left="2680" w:hanging="957"/>
        <w:spacing w:after="0" w:line="230" w:lineRule="exact"/>
        <w:tabs>
          <w:tab w:leader="none" w:pos="268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680" w:hanging="957"/>
        <w:spacing w:after="0" w:line="230" w:lineRule="exact"/>
        <w:tabs>
          <w:tab w:leader="none" w:pos="268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200" w:right="340" w:hanging="1477"/>
        <w:spacing w:after="0" w:line="252" w:lineRule="exact"/>
        <w:tabs>
          <w:tab w:leader="none" w:pos="2683"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3" w:lineRule="exact"/>
        <w:rPr>
          <w:rFonts w:ascii="Arial" w:cs="Arial" w:eastAsia="Arial" w:hAnsi="Arial"/>
          <w:sz w:val="20"/>
          <w:szCs w:val="20"/>
          <w:color w:val="auto"/>
        </w:rPr>
      </w:pPr>
    </w:p>
    <w:p>
      <w:pPr>
        <w:ind w:left="2680" w:hanging="957"/>
        <w:spacing w:after="0" w:line="230" w:lineRule="exact"/>
        <w:tabs>
          <w:tab w:leader="none" w:pos="268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 240.13d-1(b)(1)(ii)(E);</w:t>
      </w:r>
    </w:p>
    <w:p>
      <w:pPr>
        <w:spacing w:after="0" w:line="229" w:lineRule="exact"/>
        <w:rPr>
          <w:rFonts w:ascii="Arial" w:cs="Arial" w:eastAsia="Arial" w:hAnsi="Arial"/>
          <w:sz w:val="20"/>
          <w:szCs w:val="20"/>
          <w:color w:val="auto"/>
        </w:rPr>
      </w:pPr>
    </w:p>
    <w:p>
      <w:pPr>
        <w:ind w:left="2680" w:hanging="957"/>
        <w:spacing w:after="0" w:line="230" w:lineRule="exact"/>
        <w:tabs>
          <w:tab w:leader="none" w:pos="268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 employee benefit plan or endowment fund in accordance with § 240.13d-1(b)(1)(ii)(F);</w:t>
      </w:r>
    </w:p>
    <w:p>
      <w:pPr>
        <w:spacing w:after="0" w:line="229" w:lineRule="exact"/>
        <w:rPr>
          <w:rFonts w:ascii="Arial" w:cs="Arial" w:eastAsia="Arial" w:hAnsi="Arial"/>
          <w:sz w:val="20"/>
          <w:szCs w:val="20"/>
          <w:color w:val="auto"/>
        </w:rPr>
      </w:pPr>
    </w:p>
    <w:p>
      <w:pPr>
        <w:ind w:left="2680" w:hanging="957"/>
        <w:spacing w:after="0" w:line="230" w:lineRule="exact"/>
        <w:tabs>
          <w:tab w:leader="none" w:pos="268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 parent holding company or control person in accordance with §240.13d-1(b)(1)(ii)(G);</w:t>
      </w:r>
    </w:p>
    <w:p>
      <w:pPr>
        <w:spacing w:after="0" w:line="229" w:lineRule="exact"/>
        <w:rPr>
          <w:rFonts w:ascii="Arial" w:cs="Arial" w:eastAsia="Arial" w:hAnsi="Arial"/>
          <w:sz w:val="20"/>
          <w:szCs w:val="20"/>
          <w:color w:val="auto"/>
        </w:rPr>
      </w:pPr>
    </w:p>
    <w:p>
      <w:pPr>
        <w:ind w:left="3200" w:right="1140" w:hanging="1477"/>
        <w:spacing w:after="0" w:line="252" w:lineRule="exact"/>
        <w:tabs>
          <w:tab w:leader="none" w:pos="2683"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 (12 U.S.C.1813);</w:t>
      </w:r>
    </w:p>
    <w:p>
      <w:pPr>
        <w:spacing w:after="0" w:line="186" w:lineRule="exact"/>
        <w:rPr>
          <w:rFonts w:ascii="Arial" w:cs="Arial" w:eastAsia="Arial" w:hAnsi="Arial"/>
          <w:sz w:val="20"/>
          <w:szCs w:val="20"/>
          <w:color w:val="auto"/>
        </w:rPr>
      </w:pPr>
    </w:p>
    <w:p>
      <w:pPr>
        <w:ind w:left="3200" w:right="100" w:hanging="1477"/>
        <w:spacing w:after="0" w:line="252" w:lineRule="exact"/>
        <w:tabs>
          <w:tab w:leader="none" w:pos="2683"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 of 1940 (15 U.S.C. 80a-3);</w:t>
      </w:r>
    </w:p>
    <w:p>
      <w:pPr>
        <w:spacing w:after="0" w:line="186" w:lineRule="exact"/>
        <w:rPr>
          <w:rFonts w:ascii="Arial" w:cs="Arial" w:eastAsia="Arial" w:hAnsi="Arial"/>
          <w:sz w:val="20"/>
          <w:szCs w:val="20"/>
          <w:color w:val="auto"/>
        </w:rPr>
      </w:pPr>
    </w:p>
    <w:p>
      <w:pPr>
        <w:ind w:left="2680" w:hanging="957"/>
        <w:spacing w:after="0" w:line="230" w:lineRule="exact"/>
        <w:tabs>
          <w:tab w:leader="none" w:pos="268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§240.13d-1(b)(1)(ii)(J);</w:t>
      </w:r>
    </w:p>
    <w:p>
      <w:pPr>
        <w:spacing w:after="0" w:line="229" w:lineRule="exact"/>
        <w:rPr>
          <w:rFonts w:ascii="Arial" w:cs="Arial" w:eastAsia="Arial" w:hAnsi="Arial"/>
          <w:sz w:val="20"/>
          <w:szCs w:val="20"/>
          <w:color w:val="auto"/>
        </w:rPr>
      </w:pPr>
    </w:p>
    <w:p>
      <w:pPr>
        <w:ind w:left="2680" w:hanging="957"/>
        <w:spacing w:after="0" w:line="230" w:lineRule="exact"/>
        <w:tabs>
          <w:tab w:leader="none" w:pos="268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§240.13d-1(b)(1)(ii)(K).</w:t>
      </w:r>
    </w:p>
    <w:p>
      <w:pPr>
        <w:spacing w:after="0" w:line="253" w:lineRule="exact"/>
        <w:rPr>
          <w:sz w:val="20"/>
          <w:szCs w:val="20"/>
          <w:color w:val="auto"/>
        </w:rPr>
      </w:pPr>
    </w:p>
    <w:p>
      <w:pPr>
        <w:ind w:left="1720"/>
        <w:spacing w:after="0"/>
        <w:rPr>
          <w:sz w:val="20"/>
          <w:szCs w:val="20"/>
          <w:color w:val="auto"/>
        </w:rPr>
      </w:pPr>
      <w:r>
        <w:rPr>
          <w:rFonts w:ascii="Arial" w:cs="Arial" w:eastAsia="Arial" w:hAnsi="Arial"/>
          <w:sz w:val="19"/>
          <w:szCs w:val="19"/>
          <w:color w:val="auto"/>
        </w:rPr>
        <w:t>If filing as a non-U.S. institution in accordance with Rule 13d-1(b)(1)(ii)(J), please specify the type of institution:</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Items 4(a) – (c) is set forth in Rows (5) – (11) of the cover page for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hereto and is incorporated herein by reference for each such Reporting Person. The percentages set forth in this Schedule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13G are calculated based upon an aggregate of 33,735,038 Ordinary Shares outstanding as of June 30, 2017 as reported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 99.1 attached to the Issuer's Report of Foreign Private Issuer on Form 6-K filed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Commission on September 6, 2017.</w:t>
      </w:r>
    </w:p>
    <w:p>
      <w:pPr>
        <w:spacing w:after="0" w:line="200" w:lineRule="exact"/>
        <w:rPr>
          <w:sz w:val="20"/>
          <w:szCs w:val="20"/>
          <w:color w:val="auto"/>
        </w:rPr>
      </w:pPr>
    </w:p>
    <w:p>
      <w:pPr>
        <w:sectPr>
          <w:pgSz w:w="11900" w:h="16838" w:orient="portrait"/>
          <w:cols w:equalWidth="0" w:num="2">
            <w:col w:w="1000" w:space="720"/>
            <w:col w:w="9700"/>
          </w:cols>
          <w:pgMar w:left="240" w:top="225" w:right="239" w:bottom="1440" w:gutter="0" w:footer="0" w:header="0"/>
          <w:type w:val="continuous"/>
        </w:sectPr>
      </w:pPr>
    </w:p>
    <w:p>
      <w:pPr>
        <w:spacing w:after="0" w:line="7"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225" w:right="239" w:bottom="1440" w:gutter="0" w:footer="0" w:header="0"/>
          <w:type w:val="continuous"/>
        </w:sectPr>
      </w:pPr>
    </w:p>
    <w:bookmarkStart w:id="5" w:name="page6"/>
    <w:bookmarkEnd w:id="5"/>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8 Pages</w:t>
      </w:r>
    </w:p>
    <w:p>
      <w:pPr>
        <w:sectPr>
          <w:pgSz w:w="11900" w:h="16838" w:orient="portrait"/>
          <w:cols w:equalWidth="0" w:num="1">
            <w:col w:w="11420"/>
          </w:cols>
          <w:pgMar w:left="240" w:top="225" w:right="239" w:bottom="1440" w:gutter="0" w:footer="0" w:header="0"/>
        </w:sect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 of More Than Five Percent on Behalf of Another Person.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Vehicles have the right to receive and the power to direct the receipt of dividends from, and the proceeds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from the sale of, the Ordinary Shares.</w:t>
      </w:r>
    </w:p>
    <w:p>
      <w:pPr>
        <w:spacing w:after="0" w:line="200" w:lineRule="exact"/>
        <w:rPr>
          <w:sz w:val="20"/>
          <w:szCs w:val="20"/>
          <w:color w:val="auto"/>
        </w:rPr>
      </w:pPr>
    </w:p>
    <w:p>
      <w:pPr>
        <w:sectPr>
          <w:pgSz w:w="11900" w:h="16838" w:orient="portrait"/>
          <w:cols w:equalWidth="0" w:num="2">
            <w:col w:w="1000" w:space="720"/>
            <w:col w:w="9700"/>
          </w:cols>
          <w:pgMar w:left="240" w:top="225"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 Parent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Holding Company or Control Person.</w:t>
      </w: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1000" w:space="720"/>
            <w:col w:w="9700"/>
          </w:cols>
          <w:pgMar w:left="240" w:top="225"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Identification and Classification of Members of the Group.</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1000" w:space="720"/>
            <w:col w:w="9700"/>
          </w:cols>
          <w:pgMar w:left="240" w:top="225"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1000" w:space="720"/>
            <w:col w:w="9700"/>
          </w:cols>
          <w:pgMar w:left="240" w:top="225"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Certification.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each Reporting Person certifies that, to the best of his or its knowledge and belief, the securities referred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above were not acquired and are not held for the purpose of or with the effect of changing or influencing the control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issuer of the securities and were not acquired and are not held in connection with or as a participant in any transaction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having that purpose or effect.</w:t>
      </w:r>
    </w:p>
    <w:p>
      <w:pPr>
        <w:sectPr>
          <w:pgSz w:w="11900" w:h="16838" w:orient="portrait"/>
          <w:cols w:equalWidth="0" w:num="2">
            <w:col w:w="1000" w:space="720"/>
            <w:col w:w="9700"/>
          </w:cols>
          <w:pgMar w:left="240" w:top="225" w:right="239" w:bottom="1440" w:gutter="0" w:footer="0" w:header="0"/>
          <w:type w:val="continuous"/>
        </w:sectPr>
      </w:pPr>
    </w:p>
    <w:bookmarkStart w:id="6" w:name="page7"/>
    <w:bookmarkEnd w:id="6"/>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8 Pages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Date: January 16, 2018</w:t>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SENVEST MANAGEMENT, LLC</w:t>
      </w:r>
    </w:p>
    <w:p>
      <w:pPr>
        <w:spacing w:after="0" w:line="21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Bobby Trahanas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10160</wp:posOffset>
            </wp:positionV>
            <wp:extent cx="2409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Bobby Trahanas</w:t>
      </w:r>
    </w:p>
    <w:p>
      <w:pPr>
        <w:spacing w:after="0" w:line="8" w:lineRule="exact"/>
        <w:rPr>
          <w:sz w:val="20"/>
          <w:szCs w:val="20"/>
          <w:color w:val="auto"/>
        </w:rPr>
      </w:pPr>
    </w:p>
    <w:p>
      <w:pPr>
        <w:ind w:left="582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10160</wp:posOffset>
            </wp:positionV>
            <wp:extent cx="27787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RICHARD MASHAAL</w:t>
      </w:r>
    </w:p>
    <w:p>
      <w:pPr>
        <w:sectPr>
          <w:pgSz w:w="11900" w:h="16838" w:orient="portrait"/>
          <w:cols w:equalWidth="0" w:num="1">
            <w:col w:w="11420"/>
          </w:cols>
          <w:pgMar w:left="240" w:top="225" w:right="239" w:bottom="1440" w:gutter="0" w:footer="0" w:header="0"/>
        </w:sectPr>
      </w:pPr>
    </w:p>
    <w:bookmarkStart w:id="7" w:name="page8"/>
    <w:bookmarkEnd w:id="7"/>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9"/>
          <w:szCs w:val="19"/>
          <w:b w:val="1"/>
          <w:bCs w:val="1"/>
          <w:color w:val="auto"/>
        </w:rPr>
        <w:t>M6372Q113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8 Pages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JOINT FILING AGREEMENT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Date: January 16, 2018</w:t>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SENVEST MANAGEMENT, LLC</w:t>
      </w:r>
    </w:p>
    <w:p>
      <w:pPr>
        <w:spacing w:after="0" w:line="213"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Bobby Trahanas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10160</wp:posOffset>
            </wp:positionV>
            <wp:extent cx="2409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Name: Bobby Trahanas</w:t>
      </w:r>
    </w:p>
    <w:p>
      <w:pPr>
        <w:spacing w:after="0" w:line="8" w:lineRule="exact"/>
        <w:rPr>
          <w:sz w:val="20"/>
          <w:szCs w:val="20"/>
          <w:color w:val="auto"/>
        </w:rPr>
      </w:pPr>
    </w:p>
    <w:p>
      <w:pPr>
        <w:ind w:left="5820"/>
        <w:spacing w:after="0"/>
        <w:tabs>
          <w:tab w:leader="none" w:pos="64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10160</wp:posOffset>
            </wp:positionV>
            <wp:extent cx="2778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0"/>
          <w:szCs w:val="20"/>
          <w:color w:val="auto"/>
        </w:rPr>
        <w:t>RICHARD MASHAAL</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2019-12-16T08:02:10Z</dcterms:created>
  <dcterms:modified xsi:type="dcterms:W3CDTF">2019-12-16T08:02:10Z</dcterms:modified>
</cp:coreProperties>
</file>