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6547485</wp:posOffset>
            </wp:positionH>
            <wp:positionV relativeFrom="page">
              <wp:posOffset>235585</wp:posOffset>
            </wp:positionV>
            <wp:extent cx="1149985" cy="597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985" cy="597535"/>
                    </a:xfrm>
                    <a:prstGeom prst="rect">
                      <a:avLst/>
                    </a:prstGeom>
                    <a:noFill/>
                  </pic:spPr>
                </pic:pic>
              </a:graphicData>
            </a:graphic>
          </wp:anchor>
        </w:drawing>
        <w:t>UNITED STATES</w:t>
      </w:r>
    </w:p>
    <w:p>
      <w:pPr>
        <w:spacing w:after="0" w:line="29" w:lineRule="exact"/>
        <w:rPr>
          <w:sz w:val="24"/>
          <w:szCs w:val="24"/>
          <w:color w:val="auto"/>
        </w:rPr>
      </w:pPr>
    </w:p>
    <w:p>
      <w:pPr>
        <w:jc w:val="center"/>
        <w:ind w:right="1680"/>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1680"/>
        <w:spacing w:after="0"/>
        <w:rPr>
          <w:sz w:val="20"/>
          <w:szCs w:val="20"/>
          <w:color w:val="auto"/>
        </w:rPr>
      </w:pPr>
      <w:r>
        <w:rPr>
          <w:rFonts w:ascii="Arial" w:cs="Arial" w:eastAsia="Arial" w:hAnsi="Arial"/>
          <w:sz w:val="19"/>
          <w:szCs w:val="19"/>
          <w:b w:val="1"/>
          <w:bCs w:val="1"/>
          <w:color w:val="auto"/>
        </w:rPr>
        <w:t>Washington, D.C. 20549</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SCHEDULE 13G</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(Amendment No. 2</w:t>
      </w:r>
      <w:r>
        <w:rPr>
          <w:rFonts w:ascii="Arial" w:cs="Arial" w:eastAsia="Arial" w:hAnsi="Arial"/>
          <w:sz w:val="19"/>
          <w:szCs w:val="19"/>
          <w:color w:val="auto"/>
        </w:rPr>
        <w:t>)*</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32" w:lineRule="exact"/>
        <w:rPr>
          <w:sz w:val="24"/>
          <w:szCs w:val="24"/>
          <w:color w:val="auto"/>
        </w:rPr>
      </w:pPr>
    </w:p>
    <w:p>
      <w:pPr>
        <w:jc w:val="center"/>
        <w:ind w:right="-39"/>
        <w:spacing w:after="0"/>
        <w:rPr>
          <w:sz w:val="20"/>
          <w:szCs w:val="20"/>
          <w:color w:val="auto"/>
        </w:rPr>
      </w:pPr>
      <w:r>
        <w:rPr>
          <w:rFonts w:ascii="Arial" w:cs="Arial" w:eastAsia="Arial" w:hAnsi="Arial"/>
          <w:sz w:val="19"/>
          <w:szCs w:val="19"/>
          <w:color w:val="auto"/>
        </w:rPr>
        <w:t>(CUSIP Number)</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780" w:hanging="307"/>
        <w:spacing w:after="0"/>
        <w:tabs>
          <w:tab w:leader="none" w:pos="7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13d-l(b)</w:t>
      </w:r>
    </w:p>
    <w:p>
      <w:pPr>
        <w:spacing w:after="0" w:line="237" w:lineRule="exact"/>
        <w:rPr>
          <w:rFonts w:ascii="MS PGothic" w:cs="MS PGothic" w:eastAsia="MS PGothic" w:hAnsi="MS PGothic"/>
          <w:sz w:val="19"/>
          <w:szCs w:val="19"/>
          <w:color w:val="auto"/>
        </w:rPr>
      </w:pPr>
    </w:p>
    <w:p>
      <w:pPr>
        <w:ind w:left="780" w:hanging="307"/>
        <w:spacing w:after="0"/>
        <w:tabs>
          <w:tab w:leader="none" w:pos="7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13d-l(c)</w:t>
      </w:r>
    </w:p>
    <w:p>
      <w:pPr>
        <w:spacing w:after="0" w:line="238" w:lineRule="exact"/>
        <w:rPr>
          <w:sz w:val="24"/>
          <w:szCs w:val="24"/>
          <w:color w:val="auto"/>
        </w:rPr>
      </w:pPr>
    </w:p>
    <w:p>
      <w:pPr>
        <w:ind w:left="780" w:hanging="307"/>
        <w:spacing w:after="0"/>
        <w:tabs>
          <w:tab w:leader="none" w:pos="78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Rule 13d-l(d)</w:t>
      </w:r>
    </w:p>
    <w:p>
      <w:pPr>
        <w:spacing w:after="0" w:line="238" w:lineRule="exact"/>
        <w:rPr>
          <w:sz w:val="24"/>
          <w:szCs w:val="24"/>
          <w:color w:val="auto"/>
        </w:rPr>
      </w:pPr>
    </w:p>
    <w:p>
      <w:pPr>
        <w:ind w:right="80" w:firstLine="342"/>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51"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Page 1 of 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2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940"/>
          </w:cols>
          <w:pgMar w:left="120" w:top="592" w:right="180" w:bottom="1440" w:gutter="0" w:footer="0" w:header="0"/>
        </w:sectPr>
      </w:pPr>
    </w:p>
    <w:bookmarkStart w:id="1" w:name="page2"/>
    <w:bookmarkEnd w:id="1"/>
    <w:p>
      <w:pPr>
        <w:ind w:left="360"/>
        <w:spacing w:after="0"/>
        <w:tabs>
          <w:tab w:leader="none" w:pos="1600" w:val="left"/>
        </w:tabs>
        <w:rPr>
          <w:sz w:val="20"/>
          <w:szCs w:val="20"/>
          <w:color w:val="auto"/>
        </w:rPr>
      </w:pPr>
      <w:r>
        <w:rPr>
          <w:rFonts w:ascii="Arial" w:cs="Arial" w:eastAsia="Arial" w:hAnsi="Arial"/>
          <w:sz w:val="19"/>
          <w:szCs w:val="19"/>
          <w:color w:val="auto"/>
        </w:rPr>
        <w:t>CUSIP No.</w:t>
      </w:r>
      <w:r>
        <w:rPr>
          <w:sz w:val="20"/>
          <w:szCs w:val="20"/>
          <w:color w:val="auto"/>
        </w:rPr>
        <w:tab/>
      </w:r>
      <w:r>
        <w:rPr>
          <w:rFonts w:ascii="Arial" w:cs="Arial" w:eastAsia="Arial" w:hAnsi="Arial"/>
          <w:sz w:val="17"/>
          <w:szCs w:val="17"/>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51435</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360" w:lineRule="exact"/>
        <w:rPr>
          <w:sz w:val="20"/>
          <w:szCs w:val="20"/>
          <w:color w:val="auto"/>
        </w:rPr>
      </w:pPr>
    </w:p>
    <w:p>
      <w:pPr>
        <w:ind w:left="1080" w:hanging="373"/>
        <w:spacing w:after="0"/>
        <w:tabs>
          <w:tab w:leader="none" w:pos="1080" w:val="left"/>
        </w:tabs>
        <w:numPr>
          <w:ilvl w:val="0"/>
          <w:numId w:val="3"/>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FORTISSIMO CAPITAL FUND II (Israel),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205105</wp:posOffset>
            </wp:positionV>
            <wp:extent cx="7389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80" w:hanging="373"/>
        <w:spacing w:after="0"/>
        <w:tabs>
          <w:tab w:leader="none" w:pos="1080" w:val="left"/>
        </w:tabs>
        <w:numPr>
          <w:ilvl w:val="0"/>
          <w:numId w:val="4"/>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52" w:lineRule="exact"/>
        <w:rPr>
          <w:rFonts w:ascii="Arial" w:cs="Arial" w:eastAsia="Arial" w:hAnsi="Arial"/>
          <w:sz w:val="19"/>
          <w:szCs w:val="19"/>
          <w:color w:val="auto"/>
        </w:rPr>
      </w:pPr>
    </w:p>
    <w:p>
      <w:pPr>
        <w:ind w:left="1360" w:hanging="311"/>
        <w:spacing w:after="0"/>
        <w:tabs>
          <w:tab w:leader="none" w:pos="1360" w:val="left"/>
        </w:tabs>
        <w:numPr>
          <w:ilvl w:val="1"/>
          <w:numId w:val="4"/>
        </w:numPr>
        <w:rPr>
          <w:rFonts w:ascii="MS PGothic" w:cs="MS PGothic" w:eastAsia="MS PGothic" w:hAnsi="MS PGothic"/>
          <w:sz w:val="19"/>
          <w:szCs w:val="19"/>
          <w:color w:val="auto"/>
        </w:rPr>
      </w:pPr>
      <w:r>
        <w:rPr>
          <w:rFonts w:ascii="Arial" w:cs="Arial" w:eastAsia="Arial" w:hAnsi="Arial"/>
          <w:sz w:val="19"/>
          <w:szCs w:val="19"/>
          <w:color w:val="auto"/>
        </w:rPr>
        <w:t>(a)</w:t>
      </w:r>
    </w:p>
    <w:p>
      <w:pPr>
        <w:spacing w:after="0" w:line="152" w:lineRule="exact"/>
        <w:rPr>
          <w:sz w:val="20"/>
          <w:szCs w:val="20"/>
          <w:color w:val="auto"/>
        </w:rPr>
      </w:pPr>
    </w:p>
    <w:p>
      <w:pPr>
        <w:ind w:left="1360" w:hanging="311"/>
        <w:spacing w:after="0"/>
        <w:tabs>
          <w:tab w:leader="none" w:pos="1360" w:val="left"/>
        </w:tabs>
        <w:numPr>
          <w:ilvl w:val="1"/>
          <w:numId w:val="5"/>
        </w:numPr>
        <w:rPr>
          <w:rFonts w:ascii="MS PGothic" w:cs="MS PGothic" w:eastAsia="MS PGothic" w:hAnsi="MS PGothic"/>
          <w:sz w:val="19"/>
          <w:szCs w:val="19"/>
          <w:color w:val="auto"/>
        </w:rPr>
      </w:pPr>
      <w:r>
        <w:rPr>
          <w:rFonts w:ascii="Arial" w:cs="Arial" w:eastAsia="Arial" w:hAnsi="Arial"/>
          <w:sz w:val="19"/>
          <w:szCs w:val="19"/>
          <w:color w:val="auto"/>
        </w:rPr>
        <w:t>(b)</w:t>
      </w:r>
    </w:p>
    <w:p>
      <w:pPr>
        <w:spacing w:after="0" w:line="166" w:lineRule="exact"/>
        <w:rPr>
          <w:rFonts w:ascii="MS PGothic" w:cs="MS PGothic" w:eastAsia="MS PGothic" w:hAnsi="MS PGothic"/>
          <w:sz w:val="19"/>
          <w:szCs w:val="19"/>
          <w:color w:val="auto"/>
        </w:rPr>
      </w:pPr>
    </w:p>
    <w:p>
      <w:pPr>
        <w:ind w:left="1080" w:hanging="373"/>
        <w:spacing w:after="0"/>
        <w:tabs>
          <w:tab w:leader="none" w:pos="1080" w:val="left"/>
        </w:tabs>
        <w:numPr>
          <w:ilvl w:val="0"/>
          <w:numId w:val="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60325</wp:posOffset>
            </wp:positionV>
            <wp:extent cx="7389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-183515</wp:posOffset>
            </wp:positionV>
            <wp:extent cx="7389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147" w:lineRule="exact"/>
        <w:rPr>
          <w:sz w:val="20"/>
          <w:szCs w:val="20"/>
          <w:color w:val="auto"/>
        </w:rPr>
      </w:pPr>
    </w:p>
    <w:tbl>
      <w:tblPr>
        <w:tblLayout w:type="fixed"/>
        <w:tblInd w:w="260" w:type="dxa"/>
        <w:tblCellMar>
          <w:top w:w="0" w:type="dxa"/>
          <w:left w:w="0" w:type="dxa"/>
          <w:bottom w:w="0" w:type="dxa"/>
          <w:right w:w="0" w:type="dxa"/>
        </w:tblCellMar>
      </w:tblPr>
      <w:tr>
        <w:trPr>
          <w:trHeight w:val="241"/>
        </w:trPr>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3"/>
          </w:tcPr>
          <w:p>
            <w:pPr>
              <w:ind w:left="140"/>
              <w:spacing w:after="0"/>
              <w:rPr>
                <w:sz w:val="20"/>
                <w:szCs w:val="20"/>
                <w:color w:val="auto"/>
              </w:rPr>
            </w:pPr>
            <w:r>
              <w:rPr>
                <w:rFonts w:ascii="Arial" w:cs="Arial" w:eastAsia="Arial" w:hAnsi="Arial"/>
                <w:sz w:val="19"/>
                <w:szCs w:val="19"/>
                <w:color w:val="auto"/>
              </w:rPr>
              <w:t>4.   Citizenship or Place of Organization</w:t>
            </w:r>
          </w:p>
        </w:tc>
        <w:tc>
          <w:tcPr>
            <w:tcW w:w="7880" w:type="dxa"/>
            <w:vAlign w:val="bottom"/>
            <w:gridSpan w:val="3"/>
          </w:tcPr>
          <w:p>
            <w:pPr>
              <w:ind w:left="80"/>
              <w:spacing w:after="0"/>
              <w:rPr>
                <w:sz w:val="20"/>
                <w:szCs w:val="20"/>
                <w:color w:val="auto"/>
              </w:rPr>
            </w:pPr>
            <w:r>
              <w:rPr>
                <w:rFonts w:ascii="Arial" w:cs="Arial" w:eastAsia="Arial" w:hAnsi="Arial"/>
                <w:sz w:val="19"/>
                <w:szCs w:val="19"/>
                <w:color w:val="auto"/>
              </w:rPr>
              <w:t>Cayman Islands</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740" w:type="dxa"/>
            <w:vAlign w:val="bottom"/>
            <w:tcBorders>
              <w:bottom w:val="single" w:sz="8" w:color="auto"/>
            </w:tcBorders>
            <w:gridSpan w:val="2"/>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1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9"/>
                <w:szCs w:val="19"/>
                <w:color w:val="auto"/>
              </w:rPr>
              <w:t>Number of</w:t>
            </w:r>
          </w:p>
        </w:tc>
        <w:tc>
          <w:tcPr>
            <w:tcW w:w="420" w:type="dxa"/>
            <w:vAlign w:val="bottom"/>
          </w:tcPr>
          <w:p>
            <w:pPr>
              <w:jc w:val="right"/>
              <w:ind w:right="5"/>
              <w:spacing w:after="0"/>
              <w:rPr>
                <w:sz w:val="20"/>
                <w:szCs w:val="20"/>
                <w:color w:val="auto"/>
              </w:rPr>
            </w:pPr>
            <w:r>
              <w:rPr>
                <w:rFonts w:ascii="Arial" w:cs="Arial" w:eastAsia="Arial" w:hAnsi="Arial"/>
                <w:sz w:val="19"/>
                <w:szCs w:val="19"/>
                <w:color w:val="auto"/>
              </w:rPr>
              <w:t>5.</w:t>
            </w:r>
          </w:p>
        </w:tc>
        <w:tc>
          <w:tcPr>
            <w:tcW w:w="1600" w:type="dxa"/>
            <w:vAlign w:val="bottom"/>
          </w:tcPr>
          <w:p>
            <w:pPr>
              <w:ind w:left="100"/>
              <w:spacing w:after="0"/>
              <w:rPr>
                <w:sz w:val="20"/>
                <w:szCs w:val="20"/>
                <w:color w:val="auto"/>
              </w:rPr>
            </w:pPr>
            <w:r>
              <w:rPr>
                <w:rFonts w:ascii="Arial" w:cs="Arial" w:eastAsia="Arial" w:hAnsi="Arial"/>
                <w:sz w:val="19"/>
                <w:szCs w:val="19"/>
                <w:color w:val="auto"/>
                <w:w w:val="94"/>
              </w:rPr>
              <w:t>Sole Voting Power</w:t>
            </w:r>
          </w:p>
        </w:tc>
        <w:tc>
          <w:tcPr>
            <w:tcW w:w="300" w:type="dxa"/>
            <w:vAlign w:val="bottom"/>
          </w:tcPr>
          <w:p>
            <w:pPr>
              <w:jc w:val="right"/>
              <w:spacing w:after="0"/>
              <w:rPr>
                <w:sz w:val="20"/>
                <w:szCs w:val="20"/>
                <w:color w:val="auto"/>
              </w:rPr>
            </w:pPr>
            <w:r>
              <w:rPr>
                <w:rFonts w:ascii="Arial" w:cs="Arial" w:eastAsia="Arial" w:hAnsi="Arial"/>
                <w:sz w:val="19"/>
                <w:szCs w:val="19"/>
                <w:color w:val="auto"/>
              </w:rPr>
              <w:t>0*</w:t>
            </w:r>
          </w:p>
        </w:tc>
        <w:tc>
          <w:tcPr>
            <w:tcW w:w="7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00" w:type="dxa"/>
            <w:vAlign w:val="bottom"/>
            <w:vMerge w:val="restart"/>
          </w:tcPr>
          <w:p>
            <w:pPr>
              <w:spacing w:after="0"/>
              <w:rPr>
                <w:sz w:val="7"/>
                <w:szCs w:val="7"/>
                <w:color w:val="auto"/>
              </w:rPr>
            </w:pPr>
          </w:p>
        </w:tc>
        <w:tc>
          <w:tcPr>
            <w:tcW w:w="1740" w:type="dxa"/>
            <w:vAlign w:val="bottom"/>
            <w:gridSpan w:val="2"/>
            <w:vMerge w:val="restart"/>
          </w:tcPr>
          <w:p>
            <w:pPr>
              <w:spacing w:after="0"/>
              <w:rPr>
                <w:sz w:val="20"/>
                <w:szCs w:val="20"/>
                <w:color w:val="auto"/>
              </w:rPr>
            </w:pPr>
            <w:r>
              <w:rPr>
                <w:rFonts w:ascii="Arial" w:cs="Arial" w:eastAsia="Arial" w:hAnsi="Arial"/>
                <w:sz w:val="19"/>
                <w:szCs w:val="19"/>
                <w:color w:val="auto"/>
              </w:rPr>
              <w:t>Shares</w:t>
            </w:r>
          </w:p>
        </w:tc>
        <w:tc>
          <w:tcPr>
            <w:tcW w:w="42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00" w:type="dxa"/>
            <w:vAlign w:val="bottom"/>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420" w:type="dxa"/>
            <w:vAlign w:val="bottom"/>
            <w:vMerge w:val="restart"/>
          </w:tcPr>
          <w:p>
            <w:pPr>
              <w:jc w:val="right"/>
              <w:ind w:right="5"/>
              <w:spacing w:after="0"/>
              <w:rPr>
                <w:sz w:val="20"/>
                <w:szCs w:val="20"/>
                <w:color w:val="auto"/>
              </w:rPr>
            </w:pPr>
            <w:r>
              <w:rPr>
                <w:rFonts w:ascii="Arial" w:cs="Arial" w:eastAsia="Arial" w:hAnsi="Arial"/>
                <w:sz w:val="19"/>
                <w:szCs w:val="19"/>
                <w:color w:val="auto"/>
              </w:rPr>
              <w:t>6.</w:t>
            </w:r>
          </w:p>
        </w:tc>
        <w:tc>
          <w:tcPr>
            <w:tcW w:w="1900" w:type="dxa"/>
            <w:vAlign w:val="bottom"/>
            <w:gridSpan w:val="2"/>
            <w:vMerge w:val="restart"/>
          </w:tcPr>
          <w:p>
            <w:pPr>
              <w:ind w:left="100"/>
              <w:spacing w:after="0"/>
              <w:rPr>
                <w:sz w:val="20"/>
                <w:szCs w:val="20"/>
                <w:color w:val="auto"/>
              </w:rPr>
            </w:pPr>
            <w:r>
              <w:rPr>
                <w:rFonts w:ascii="Arial" w:cs="Arial" w:eastAsia="Arial" w:hAnsi="Arial"/>
                <w:sz w:val="19"/>
                <w:szCs w:val="19"/>
                <w:color w:val="auto"/>
                <w:w w:val="99"/>
              </w:rPr>
              <w:t>Shared Voting Power</w:t>
            </w:r>
          </w:p>
        </w:tc>
        <w:tc>
          <w:tcPr>
            <w:tcW w:w="7560" w:type="dxa"/>
            <w:vAlign w:val="bottom"/>
            <w:vMerge w:val="restart"/>
          </w:tcPr>
          <w:p>
            <w:pPr>
              <w:jc w:val="right"/>
              <w:ind w:right="7285"/>
              <w:spacing w:after="0"/>
              <w:rPr>
                <w:sz w:val="20"/>
                <w:szCs w:val="20"/>
                <w:color w:val="auto"/>
              </w:rPr>
            </w:pPr>
            <w:r>
              <w:rPr>
                <w:rFonts w:ascii="Arial" w:cs="Arial" w:eastAsia="Arial" w:hAnsi="Arial"/>
                <w:sz w:val="19"/>
                <w:szCs w:val="19"/>
                <w:color w:val="auto"/>
                <w:w w:val="88"/>
              </w:rPr>
              <w:t>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1740" w:type="dxa"/>
            <w:vAlign w:val="bottom"/>
            <w:gridSpan w:val="2"/>
            <w:vMerge w:val="restart"/>
          </w:tcPr>
          <w:p>
            <w:pPr>
              <w:spacing w:after="0"/>
              <w:rPr>
                <w:sz w:val="20"/>
                <w:szCs w:val="20"/>
                <w:color w:val="auto"/>
              </w:rPr>
            </w:pPr>
            <w:r>
              <w:rPr>
                <w:rFonts w:ascii="Arial" w:cs="Arial" w:eastAsia="Arial" w:hAnsi="Arial"/>
                <w:sz w:val="19"/>
                <w:szCs w:val="19"/>
                <w:color w:val="auto"/>
              </w:rPr>
              <w:t>Beneficially by</w:t>
            </w:r>
          </w:p>
        </w:tc>
        <w:tc>
          <w:tcPr>
            <w:tcW w:w="42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5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740" w:type="dxa"/>
            <w:vAlign w:val="bottom"/>
            <w:gridSpan w:val="2"/>
          </w:tcPr>
          <w:p>
            <w:pPr>
              <w:spacing w:after="0" w:line="195" w:lineRule="exact"/>
              <w:rPr>
                <w:sz w:val="20"/>
                <w:szCs w:val="20"/>
                <w:color w:val="auto"/>
              </w:rPr>
            </w:pPr>
            <w:r>
              <w:rPr>
                <w:rFonts w:ascii="Arial" w:cs="Arial" w:eastAsia="Arial" w:hAnsi="Arial"/>
                <w:sz w:val="19"/>
                <w:szCs w:val="19"/>
                <w:color w:val="auto"/>
              </w:rPr>
              <w:t>Owned by Each</w:t>
            </w:r>
          </w:p>
        </w:tc>
        <w:tc>
          <w:tcPr>
            <w:tcW w:w="420" w:type="dxa"/>
            <w:vAlign w:val="bottom"/>
            <w:vMerge w:val="restart"/>
          </w:tcPr>
          <w:p>
            <w:pPr>
              <w:jc w:val="right"/>
              <w:ind w:right="5"/>
              <w:spacing w:after="0"/>
              <w:rPr>
                <w:sz w:val="20"/>
                <w:szCs w:val="20"/>
                <w:color w:val="auto"/>
              </w:rPr>
            </w:pPr>
            <w:r>
              <w:rPr>
                <w:rFonts w:ascii="Arial" w:cs="Arial" w:eastAsia="Arial" w:hAnsi="Arial"/>
                <w:sz w:val="19"/>
                <w:szCs w:val="19"/>
                <w:color w:val="auto"/>
              </w:rPr>
              <w:t>7.</w:t>
            </w:r>
          </w:p>
        </w:tc>
        <w:tc>
          <w:tcPr>
            <w:tcW w:w="1900" w:type="dxa"/>
            <w:vAlign w:val="bottom"/>
            <w:gridSpan w:val="2"/>
            <w:vMerge w:val="restart"/>
          </w:tcPr>
          <w:p>
            <w:pPr>
              <w:ind w:left="100"/>
              <w:spacing w:after="0"/>
              <w:rPr>
                <w:sz w:val="20"/>
                <w:szCs w:val="20"/>
                <w:color w:val="auto"/>
              </w:rPr>
            </w:pPr>
            <w:r>
              <w:rPr>
                <w:rFonts w:ascii="Arial" w:cs="Arial" w:eastAsia="Arial" w:hAnsi="Arial"/>
                <w:sz w:val="19"/>
                <w:szCs w:val="19"/>
                <w:color w:val="auto"/>
                <w:w w:val="91"/>
              </w:rPr>
              <w:t>Sole Dispositive Power</w:t>
            </w:r>
          </w:p>
        </w:tc>
        <w:tc>
          <w:tcPr>
            <w:tcW w:w="7560" w:type="dxa"/>
            <w:vAlign w:val="bottom"/>
            <w:vMerge w:val="restart"/>
          </w:tcPr>
          <w:p>
            <w:pPr>
              <w:jc w:val="right"/>
              <w:ind w:right="7165"/>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1740" w:type="dxa"/>
            <w:vAlign w:val="bottom"/>
            <w:gridSpan w:val="2"/>
            <w:vMerge w:val="restart"/>
          </w:tcPr>
          <w:p>
            <w:pPr>
              <w:spacing w:after="0" w:line="165" w:lineRule="exact"/>
              <w:rPr>
                <w:sz w:val="20"/>
                <w:szCs w:val="20"/>
                <w:color w:val="auto"/>
              </w:rPr>
            </w:pPr>
            <w:r>
              <w:rPr>
                <w:rFonts w:ascii="Arial" w:cs="Arial" w:eastAsia="Arial" w:hAnsi="Arial"/>
                <w:sz w:val="19"/>
                <w:szCs w:val="19"/>
                <w:color w:val="auto"/>
              </w:rPr>
              <w:t>Reporting</w:t>
            </w:r>
          </w:p>
        </w:tc>
        <w:tc>
          <w:tcPr>
            <w:tcW w:w="4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7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5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10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9"/>
                <w:szCs w:val="19"/>
                <w:color w:val="auto"/>
              </w:rPr>
              <w:t>Person With:</w:t>
            </w:r>
          </w:p>
        </w:tc>
        <w:tc>
          <w:tcPr>
            <w:tcW w:w="420" w:type="dxa"/>
            <w:vAlign w:val="bottom"/>
          </w:tcPr>
          <w:p>
            <w:pPr>
              <w:jc w:val="right"/>
              <w:ind w:right="5"/>
              <w:spacing w:after="0"/>
              <w:rPr>
                <w:sz w:val="20"/>
                <w:szCs w:val="20"/>
                <w:color w:val="auto"/>
              </w:rPr>
            </w:pPr>
            <w:r>
              <w:rPr>
                <w:rFonts w:ascii="Arial" w:cs="Arial" w:eastAsia="Arial" w:hAnsi="Arial"/>
                <w:sz w:val="19"/>
                <w:szCs w:val="19"/>
                <w:color w:val="auto"/>
              </w:rPr>
              <w:t>8.</w:t>
            </w:r>
          </w:p>
        </w:tc>
        <w:tc>
          <w:tcPr>
            <w:tcW w:w="9480" w:type="dxa"/>
            <w:vAlign w:val="bottom"/>
            <w:gridSpan w:val="4"/>
          </w:tcPr>
          <w:p>
            <w:pPr>
              <w:ind w:left="100"/>
              <w:spacing w:after="0"/>
              <w:rPr>
                <w:sz w:val="20"/>
                <w:szCs w:val="20"/>
                <w:color w:val="auto"/>
              </w:rPr>
            </w:pPr>
            <w:r>
              <w:rPr>
                <w:rFonts w:ascii="Arial" w:cs="Arial" w:eastAsia="Arial" w:hAnsi="Arial"/>
                <w:sz w:val="19"/>
                <w:szCs w:val="19"/>
                <w:color w:val="auto"/>
              </w:rPr>
              <w:t>Shared Dispositive Power  0*</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420" w:type="dxa"/>
            <w:vAlign w:val="bottom"/>
            <w:tcBorders>
              <w:bottom w:val="single" w:sz="8" w:color="auto"/>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1"/>
        </w:trPr>
        <w:tc>
          <w:tcPr>
            <w:tcW w:w="300" w:type="dxa"/>
            <w:vAlign w:val="bottom"/>
            <w:gridSpan w:val="2"/>
          </w:tcPr>
          <w:p>
            <w:pPr>
              <w:jc w:val="right"/>
              <w:ind w:right="45"/>
              <w:spacing w:after="0"/>
              <w:rPr>
                <w:sz w:val="20"/>
                <w:szCs w:val="20"/>
                <w:color w:val="auto"/>
              </w:rPr>
            </w:pPr>
            <w:r>
              <w:rPr>
                <w:rFonts w:ascii="Arial" w:cs="Arial" w:eastAsia="Arial" w:hAnsi="Arial"/>
                <w:sz w:val="19"/>
                <w:szCs w:val="19"/>
                <w:color w:val="auto"/>
                <w:w w:val="88"/>
              </w:rPr>
              <w:t>9.</w:t>
            </w:r>
          </w:p>
        </w:tc>
        <w:tc>
          <w:tcPr>
            <w:tcW w:w="11440" w:type="dxa"/>
            <w:vAlign w:val="bottom"/>
            <w:gridSpan w:val="6"/>
          </w:tcPr>
          <w:p>
            <w:pPr>
              <w:ind w:left="180"/>
              <w:spacing w:after="0"/>
              <w:rPr>
                <w:sz w:val="20"/>
                <w:szCs w:val="20"/>
                <w:color w:val="auto"/>
              </w:rPr>
            </w:pPr>
            <w:r>
              <w:rPr>
                <w:rFonts w:ascii="Arial" w:cs="Arial" w:eastAsia="Arial" w:hAnsi="Arial"/>
                <w:sz w:val="19"/>
                <w:szCs w:val="19"/>
                <w:color w:val="auto"/>
              </w:rPr>
              <w:t>Aggregate Amount Beneficially Owned by Each Reporting Person  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45720</wp:posOffset>
            </wp:positionV>
            <wp:extent cx="7625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24" w:lineRule="exact"/>
        <w:rPr>
          <w:sz w:val="20"/>
          <w:szCs w:val="20"/>
          <w:color w:val="auto"/>
        </w:rPr>
      </w:pPr>
    </w:p>
    <w:p>
      <w:pPr>
        <w:ind w:left="740" w:hanging="472"/>
        <w:spacing w:after="0"/>
        <w:tabs>
          <w:tab w:leader="none" w:pos="7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260"/>
        <w:spacing w:after="0"/>
        <w:tabs>
          <w:tab w:leader="none" w:pos="720" w:val="left"/>
          <w:tab w:leader="none" w:pos="4960" w:val="left"/>
        </w:tabs>
        <w:rPr>
          <w:sz w:val="20"/>
          <w:szCs w:val="20"/>
          <w:color w:val="auto"/>
        </w:rPr>
      </w:pPr>
      <w:r>
        <w:rPr>
          <w:rFonts w:ascii="Arial" w:cs="Arial" w:eastAsia="Arial" w:hAnsi="Arial"/>
          <w:sz w:val="19"/>
          <w:szCs w:val="19"/>
          <w:color w:val="auto"/>
        </w:rPr>
        <w:t>11.</w:t>
        <w:tab/>
        <w:t>Percent of Class Represented by Amount in Row (9)</w:t>
      </w:r>
      <w:r>
        <w:rPr>
          <w:sz w:val="20"/>
          <w:szCs w:val="20"/>
          <w:color w:val="auto"/>
        </w:rPr>
        <w:tab/>
      </w:r>
      <w:r>
        <w:rPr>
          <w:rFonts w:ascii="Arial" w:cs="Arial" w:eastAsia="Arial" w:hAnsi="Arial"/>
          <w:sz w:val="16"/>
          <w:szCs w:val="16"/>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740" w:hanging="472"/>
        <w:spacing w:after="0"/>
        <w:tabs>
          <w:tab w:leader="none" w:pos="740" w:val="left"/>
        </w:tabs>
        <w:numPr>
          <w:ilvl w:val="1"/>
          <w:numId w:val="7"/>
        </w:numPr>
        <w:rPr>
          <w:rFonts w:ascii="Arial" w:cs="Arial" w:eastAsia="Arial" w:hAnsi="Arial"/>
          <w:sz w:val="19"/>
          <w:szCs w:val="19"/>
          <w:color w:val="auto"/>
        </w:rPr>
      </w:pPr>
      <w:r>
        <w:rPr>
          <w:rFonts w:ascii="Arial" w:cs="Arial" w:eastAsia="Arial" w:hAnsi="Arial"/>
          <w:sz w:val="19"/>
          <w:szCs w:val="19"/>
          <w:color w:val="auto"/>
        </w:rPr>
        <w:t>Type of Reporting Person (See Instructions) PN</w:t>
      </w:r>
    </w:p>
    <w:p>
      <w:pPr>
        <w:spacing w:after="0" w:line="166" w:lineRule="exact"/>
        <w:rPr>
          <w:rFonts w:ascii="Arial" w:cs="Arial" w:eastAsia="Arial" w:hAnsi="Arial"/>
          <w:sz w:val="19"/>
          <w:szCs w:val="19"/>
          <w:color w:val="auto"/>
        </w:rPr>
      </w:pPr>
    </w:p>
    <w:p>
      <w:pPr>
        <w:jc w:val="both"/>
        <w:ind w:right="20"/>
        <w:spacing w:after="0" w:line="277" w:lineRule="auto"/>
        <w:rPr>
          <w:rFonts w:ascii="Arial" w:cs="Arial" w:eastAsia="Arial" w:hAnsi="Arial"/>
          <w:sz w:val="19"/>
          <w:szCs w:val="19"/>
          <w:color w:val="auto"/>
        </w:rPr>
      </w:pPr>
      <w:r>
        <w:rPr>
          <w:rFonts w:ascii="Arial" w:cs="Arial" w:eastAsia="Arial" w:hAnsi="Arial"/>
          <w:sz w:val="18"/>
          <w:szCs w:val="18"/>
          <w:color w:val="auto"/>
        </w:rPr>
        <w:t>* This Amendment No. 2 to Schedule 13G is filed jointly by Fortissimo Capital Fund II (GP), L.P., Fortissimo Capital Fund II (Israel) and Fortissimo Capital 2 Management (GP) Ltd. (together, the “Fortissimo Entities”) acting as a “group” within the meaning of Rule 13d-5(b)(1) under the Securities Exchange Act of 1934, as amended (the “Exchange Act”), pursuant to the Joint Filing Agreement among the Fortissimo Entities filed as Exhibit 1 to the Schedule 13G filed by the Fortissimo Entities on February 18, 2016 and incorporated herein by reference (the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625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-651510</wp:posOffset>
            </wp:positionV>
            <wp:extent cx="7625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27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2000"/>
          </w:cols>
          <w:pgMar w:left="120" w:top="755" w:right="120" w:bottom="1440" w:gutter="0" w:footer="0" w:header="0"/>
        </w:sectPr>
      </w:pPr>
    </w:p>
    <w:bookmarkStart w:id="2" w:name="page3"/>
    <w:bookmarkEnd w:id="2"/>
    <w:p>
      <w:pPr>
        <w:ind w:left="360"/>
        <w:spacing w:after="0"/>
        <w:tabs>
          <w:tab w:leader="none" w:pos="1600" w:val="left"/>
        </w:tabs>
        <w:rPr>
          <w:sz w:val="20"/>
          <w:szCs w:val="20"/>
          <w:color w:val="auto"/>
        </w:rPr>
      </w:pPr>
      <w:r>
        <w:rPr>
          <w:rFonts w:ascii="Arial" w:cs="Arial" w:eastAsia="Arial" w:hAnsi="Arial"/>
          <w:sz w:val="19"/>
          <w:szCs w:val="19"/>
          <w:color w:val="auto"/>
        </w:rPr>
        <w:t>CUSIP No.</w:t>
      </w:r>
      <w:r>
        <w:rPr>
          <w:sz w:val="20"/>
          <w:szCs w:val="20"/>
          <w:color w:val="auto"/>
        </w:rPr>
        <w:tab/>
      </w:r>
      <w:r>
        <w:rPr>
          <w:rFonts w:ascii="Arial" w:cs="Arial" w:eastAsia="Arial" w:hAnsi="Arial"/>
          <w:sz w:val="17"/>
          <w:szCs w:val="17"/>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51435</wp:posOffset>
            </wp:positionV>
            <wp:extent cx="73894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360" w:lineRule="exact"/>
        <w:rPr>
          <w:sz w:val="20"/>
          <w:szCs w:val="20"/>
          <w:color w:val="auto"/>
        </w:rPr>
      </w:pPr>
    </w:p>
    <w:p>
      <w:pPr>
        <w:ind w:left="1080" w:hanging="373"/>
        <w:spacing w:after="0"/>
        <w:tabs>
          <w:tab w:leader="none" w:pos="1080" w:val="left"/>
        </w:tabs>
        <w:numPr>
          <w:ilvl w:val="0"/>
          <w:numId w:val="8"/>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37" w:lineRule="exact"/>
        <w:rPr>
          <w:rFonts w:ascii="Arial" w:cs="Arial" w:eastAsia="Arial" w:hAnsi="Arial"/>
          <w:sz w:val="19"/>
          <w:szCs w:val="19"/>
          <w:color w:val="auto"/>
        </w:rPr>
      </w:pPr>
    </w:p>
    <w:p>
      <w:pPr>
        <w:ind w:left="1040"/>
        <w:spacing w:after="0"/>
        <w:rPr>
          <w:rFonts w:ascii="Arial" w:cs="Arial" w:eastAsia="Arial" w:hAnsi="Arial"/>
          <w:sz w:val="19"/>
          <w:szCs w:val="19"/>
          <w:color w:val="auto"/>
        </w:rPr>
      </w:pPr>
      <w:r>
        <w:rPr>
          <w:rFonts w:ascii="Arial" w:cs="Arial" w:eastAsia="Arial" w:hAnsi="Arial"/>
          <w:sz w:val="19"/>
          <w:szCs w:val="19"/>
          <w:color w:val="auto"/>
        </w:rPr>
        <w:t>FORTISSIMO CAPITAL FUND II (GP), LP</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left="1080" w:hanging="373"/>
        <w:spacing w:after="0"/>
        <w:tabs>
          <w:tab w:leader="none" w:pos="1080" w:val="left"/>
        </w:tabs>
        <w:numPr>
          <w:ilvl w:val="0"/>
          <w:numId w:val="8"/>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-419100</wp:posOffset>
            </wp:positionV>
            <wp:extent cx="73894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132" w:lineRule="exact"/>
        <w:rPr>
          <w:sz w:val="20"/>
          <w:szCs w:val="20"/>
          <w:color w:val="auto"/>
        </w:rPr>
      </w:pPr>
    </w:p>
    <w:p>
      <w:pPr>
        <w:ind w:left="1360" w:hanging="311"/>
        <w:spacing w:after="0"/>
        <w:tabs>
          <w:tab w:leader="none" w:pos="1360" w:val="left"/>
        </w:tabs>
        <w:numPr>
          <w:ilvl w:val="0"/>
          <w:numId w:val="9"/>
        </w:numPr>
        <w:rPr>
          <w:rFonts w:ascii="MS PGothic" w:cs="MS PGothic" w:eastAsia="MS PGothic" w:hAnsi="MS PGothic"/>
          <w:sz w:val="19"/>
          <w:szCs w:val="19"/>
          <w:color w:val="auto"/>
        </w:rPr>
      </w:pPr>
      <w:r>
        <w:rPr>
          <w:rFonts w:ascii="Arial" w:cs="Arial" w:eastAsia="Arial" w:hAnsi="Arial"/>
          <w:sz w:val="19"/>
          <w:szCs w:val="19"/>
          <w:color w:val="auto"/>
        </w:rPr>
        <w:t>(a)</w:t>
      </w:r>
    </w:p>
    <w:p>
      <w:pPr>
        <w:spacing w:after="0" w:line="152" w:lineRule="exact"/>
        <w:rPr>
          <w:sz w:val="20"/>
          <w:szCs w:val="20"/>
          <w:color w:val="auto"/>
        </w:rPr>
      </w:pPr>
    </w:p>
    <w:p>
      <w:pPr>
        <w:ind w:left="1360" w:hanging="311"/>
        <w:spacing w:after="0"/>
        <w:tabs>
          <w:tab w:leader="none" w:pos="1360" w:val="left"/>
        </w:tabs>
        <w:numPr>
          <w:ilvl w:val="1"/>
          <w:numId w:val="10"/>
        </w:numPr>
        <w:rPr>
          <w:rFonts w:ascii="MS PGothic" w:cs="MS PGothic" w:eastAsia="MS PGothic" w:hAnsi="MS PGothic"/>
          <w:sz w:val="19"/>
          <w:szCs w:val="19"/>
          <w:color w:val="auto"/>
        </w:rPr>
      </w:pPr>
      <w:r>
        <w:rPr>
          <w:rFonts w:ascii="Arial" w:cs="Arial" w:eastAsia="Arial" w:hAnsi="Arial"/>
          <w:sz w:val="19"/>
          <w:szCs w:val="19"/>
          <w:color w:val="auto"/>
        </w:rPr>
        <w:t>(b)</w:t>
      </w:r>
    </w:p>
    <w:p>
      <w:pPr>
        <w:spacing w:after="0" w:line="166" w:lineRule="exact"/>
        <w:rPr>
          <w:rFonts w:ascii="MS PGothic" w:cs="MS PGothic" w:eastAsia="MS PGothic" w:hAnsi="MS PGothic"/>
          <w:sz w:val="19"/>
          <w:szCs w:val="19"/>
          <w:color w:val="auto"/>
        </w:rPr>
      </w:pPr>
    </w:p>
    <w:p>
      <w:pPr>
        <w:ind w:left="1080" w:hanging="373"/>
        <w:spacing w:after="0"/>
        <w:tabs>
          <w:tab w:leader="none" w:pos="10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60325</wp:posOffset>
            </wp:positionV>
            <wp:extent cx="73894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-183515</wp:posOffset>
            </wp:positionV>
            <wp:extent cx="7389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3700" w:type="dxa"/>
            <w:vAlign w:val="bottom"/>
            <w:gridSpan w:val="3"/>
          </w:tcPr>
          <w:p>
            <w:pPr>
              <w:ind w:left="340"/>
              <w:spacing w:after="0"/>
              <w:rPr>
                <w:sz w:val="20"/>
                <w:szCs w:val="20"/>
                <w:color w:val="auto"/>
              </w:rPr>
            </w:pPr>
            <w:r>
              <w:rPr>
                <w:rFonts w:ascii="Arial" w:cs="Arial" w:eastAsia="Arial" w:hAnsi="Arial"/>
                <w:sz w:val="19"/>
                <w:szCs w:val="19"/>
                <w:color w:val="auto"/>
              </w:rPr>
              <w:t>4.   Citizenship or Place of Organization</w:t>
            </w:r>
          </w:p>
        </w:tc>
        <w:tc>
          <w:tcPr>
            <w:tcW w:w="520" w:type="dxa"/>
            <w:vAlign w:val="bottom"/>
          </w:tcPr>
          <w:p>
            <w:pPr>
              <w:jc w:val="center"/>
              <w:spacing w:after="0"/>
              <w:rPr>
                <w:sz w:val="20"/>
                <w:szCs w:val="20"/>
                <w:color w:val="auto"/>
              </w:rPr>
            </w:pPr>
            <w:r>
              <w:rPr>
                <w:rFonts w:ascii="Arial" w:cs="Arial" w:eastAsia="Arial" w:hAnsi="Arial"/>
                <w:sz w:val="19"/>
                <w:szCs w:val="19"/>
                <w:color w:val="auto"/>
                <w:w w:val="90"/>
              </w:rPr>
              <w:t>Israel</w:t>
            </w:r>
          </w:p>
        </w:tc>
        <w:tc>
          <w:tcPr>
            <w:tcW w:w="7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1740" w:type="dxa"/>
            <w:vAlign w:val="bottom"/>
          </w:tcPr>
          <w:p>
            <w:pPr>
              <w:spacing w:after="0"/>
              <w:rPr>
                <w:sz w:val="20"/>
                <w:szCs w:val="20"/>
                <w:color w:val="auto"/>
              </w:rPr>
            </w:pPr>
            <w:r>
              <w:rPr>
                <w:rFonts w:ascii="Arial" w:cs="Arial" w:eastAsia="Arial" w:hAnsi="Arial"/>
                <w:sz w:val="19"/>
                <w:szCs w:val="19"/>
                <w:color w:val="auto"/>
              </w:rPr>
              <w:t>Number of</w:t>
            </w:r>
          </w:p>
        </w:tc>
        <w:tc>
          <w:tcPr>
            <w:tcW w:w="420" w:type="dxa"/>
            <w:vAlign w:val="bottom"/>
          </w:tcPr>
          <w:p>
            <w:pPr>
              <w:jc w:val="right"/>
              <w:ind w:right="5"/>
              <w:spacing w:after="0"/>
              <w:rPr>
                <w:sz w:val="20"/>
                <w:szCs w:val="20"/>
                <w:color w:val="auto"/>
              </w:rPr>
            </w:pPr>
            <w:r>
              <w:rPr>
                <w:rFonts w:ascii="Arial" w:cs="Arial" w:eastAsia="Arial" w:hAnsi="Arial"/>
                <w:sz w:val="19"/>
                <w:szCs w:val="19"/>
                <w:color w:val="auto"/>
              </w:rPr>
              <w:t>5.</w:t>
            </w:r>
          </w:p>
        </w:tc>
        <w:tc>
          <w:tcPr>
            <w:tcW w:w="1540" w:type="dxa"/>
            <w:vAlign w:val="bottom"/>
          </w:tcPr>
          <w:p>
            <w:pPr>
              <w:ind w:left="100"/>
              <w:spacing w:after="0"/>
              <w:rPr>
                <w:sz w:val="20"/>
                <w:szCs w:val="20"/>
                <w:color w:val="auto"/>
              </w:rPr>
            </w:pPr>
            <w:r>
              <w:rPr>
                <w:rFonts w:ascii="Arial" w:cs="Arial" w:eastAsia="Arial" w:hAnsi="Arial"/>
                <w:sz w:val="19"/>
                <w:szCs w:val="19"/>
                <w:color w:val="auto"/>
                <w:w w:val="90"/>
              </w:rPr>
              <w:t>Sole Voting Power</w:t>
            </w:r>
          </w:p>
        </w:tc>
        <w:tc>
          <w:tcPr>
            <w:tcW w:w="520" w:type="dxa"/>
            <w:vAlign w:val="bottom"/>
          </w:tcPr>
          <w:p>
            <w:pPr>
              <w:jc w:val="right"/>
              <w:ind w:right="65"/>
              <w:spacing w:after="0"/>
              <w:rPr>
                <w:sz w:val="20"/>
                <w:szCs w:val="20"/>
                <w:color w:val="auto"/>
              </w:rPr>
            </w:pPr>
            <w:r>
              <w:rPr>
                <w:rFonts w:ascii="Arial" w:cs="Arial" w:eastAsia="Arial" w:hAnsi="Arial"/>
                <w:sz w:val="19"/>
                <w:szCs w:val="19"/>
                <w:color w:val="auto"/>
              </w:rPr>
              <w:t>0*</w:t>
            </w: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7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4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740" w:type="dxa"/>
            <w:vAlign w:val="bottom"/>
            <w:vMerge w:val="continue"/>
          </w:tcPr>
          <w:p>
            <w:pPr>
              <w:spacing w:after="0"/>
              <w:rPr>
                <w:sz w:val="10"/>
                <w:szCs w:val="10"/>
                <w:color w:val="auto"/>
              </w:rPr>
            </w:pPr>
          </w:p>
        </w:tc>
        <w:tc>
          <w:tcPr>
            <w:tcW w:w="420" w:type="dxa"/>
            <w:vAlign w:val="bottom"/>
            <w:vMerge w:val="restart"/>
          </w:tcPr>
          <w:p>
            <w:pPr>
              <w:jc w:val="right"/>
              <w:ind w:right="5"/>
              <w:spacing w:after="0"/>
              <w:rPr>
                <w:sz w:val="20"/>
                <w:szCs w:val="20"/>
                <w:color w:val="auto"/>
              </w:rPr>
            </w:pPr>
            <w:r>
              <w:rPr>
                <w:rFonts w:ascii="Arial" w:cs="Arial" w:eastAsia="Arial" w:hAnsi="Arial"/>
                <w:sz w:val="19"/>
                <w:szCs w:val="19"/>
                <w:color w:val="auto"/>
              </w:rPr>
              <w:t>6.</w:t>
            </w:r>
          </w:p>
        </w:tc>
        <w:tc>
          <w:tcPr>
            <w:tcW w:w="9480" w:type="dxa"/>
            <w:vAlign w:val="bottom"/>
            <w:gridSpan w:val="4"/>
            <w:vMerge w:val="restart"/>
          </w:tcPr>
          <w:p>
            <w:pPr>
              <w:ind w:left="100"/>
              <w:spacing w:after="0"/>
              <w:rPr>
                <w:sz w:val="20"/>
                <w:szCs w:val="20"/>
                <w:color w:val="auto"/>
              </w:rPr>
            </w:pPr>
            <w:r>
              <w:rPr>
                <w:rFonts w:ascii="Arial" w:cs="Arial" w:eastAsia="Arial" w:hAnsi="Arial"/>
                <w:sz w:val="19"/>
                <w:szCs w:val="19"/>
                <w:color w:val="auto"/>
              </w:rPr>
              <w:t>Shared Voting Power  0*</w:t>
            </w:r>
          </w:p>
        </w:tc>
        <w:tc>
          <w:tcPr>
            <w:tcW w:w="0" w:type="dxa"/>
            <w:vAlign w:val="bottom"/>
          </w:tcPr>
          <w:p>
            <w:pPr>
              <w:spacing w:after="0"/>
              <w:rPr>
                <w:sz w:val="1"/>
                <w:szCs w:val="1"/>
                <w:color w:val="auto"/>
              </w:rPr>
            </w:pPr>
          </w:p>
        </w:tc>
      </w:tr>
      <w:tr>
        <w:trPr>
          <w:trHeight w:val="170"/>
        </w:trPr>
        <w:tc>
          <w:tcPr>
            <w:tcW w:w="1740" w:type="dxa"/>
            <w:vAlign w:val="bottom"/>
            <w:vMerge w:val="restart"/>
          </w:tcPr>
          <w:p>
            <w:pPr>
              <w:spacing w:after="0"/>
              <w:rPr>
                <w:sz w:val="20"/>
                <w:szCs w:val="20"/>
                <w:color w:val="auto"/>
              </w:rPr>
            </w:pPr>
            <w:r>
              <w:rPr>
                <w:rFonts w:ascii="Arial" w:cs="Arial" w:eastAsia="Arial" w:hAnsi="Arial"/>
                <w:sz w:val="19"/>
                <w:szCs w:val="19"/>
                <w:color w:val="auto"/>
              </w:rPr>
              <w:t>Beneficially by</w:t>
            </w:r>
          </w:p>
        </w:tc>
        <w:tc>
          <w:tcPr>
            <w:tcW w:w="420" w:type="dxa"/>
            <w:vAlign w:val="bottom"/>
            <w:vMerge w:val="continue"/>
          </w:tcPr>
          <w:p>
            <w:pPr>
              <w:spacing w:after="0"/>
              <w:rPr>
                <w:sz w:val="14"/>
                <w:szCs w:val="14"/>
                <w:color w:val="auto"/>
              </w:rPr>
            </w:pPr>
          </w:p>
        </w:tc>
        <w:tc>
          <w:tcPr>
            <w:tcW w:w="9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740" w:type="dxa"/>
            <w:vAlign w:val="bottom"/>
          </w:tcPr>
          <w:p>
            <w:pPr>
              <w:spacing w:after="0" w:line="195" w:lineRule="exact"/>
              <w:rPr>
                <w:sz w:val="20"/>
                <w:szCs w:val="20"/>
                <w:color w:val="auto"/>
              </w:rPr>
            </w:pPr>
            <w:r>
              <w:rPr>
                <w:rFonts w:ascii="Arial" w:cs="Arial" w:eastAsia="Arial" w:hAnsi="Arial"/>
                <w:sz w:val="19"/>
                <w:szCs w:val="19"/>
                <w:color w:val="auto"/>
              </w:rPr>
              <w:t>Owned by Each</w:t>
            </w:r>
          </w:p>
        </w:tc>
        <w:tc>
          <w:tcPr>
            <w:tcW w:w="420" w:type="dxa"/>
            <w:vAlign w:val="bottom"/>
            <w:vMerge w:val="restart"/>
          </w:tcPr>
          <w:p>
            <w:pPr>
              <w:jc w:val="right"/>
              <w:ind w:right="5"/>
              <w:spacing w:after="0"/>
              <w:rPr>
                <w:sz w:val="20"/>
                <w:szCs w:val="20"/>
                <w:color w:val="auto"/>
              </w:rPr>
            </w:pPr>
            <w:r>
              <w:rPr>
                <w:rFonts w:ascii="Arial" w:cs="Arial" w:eastAsia="Arial" w:hAnsi="Arial"/>
                <w:sz w:val="19"/>
                <w:szCs w:val="19"/>
                <w:color w:val="auto"/>
              </w:rPr>
              <w:t>7.</w:t>
            </w:r>
          </w:p>
        </w:tc>
        <w:tc>
          <w:tcPr>
            <w:tcW w:w="2060" w:type="dxa"/>
            <w:vAlign w:val="bottom"/>
            <w:gridSpan w:val="2"/>
            <w:vMerge w:val="restart"/>
          </w:tcPr>
          <w:p>
            <w:pPr>
              <w:ind w:left="100"/>
              <w:spacing w:after="0"/>
              <w:rPr>
                <w:sz w:val="20"/>
                <w:szCs w:val="20"/>
                <w:color w:val="auto"/>
              </w:rPr>
            </w:pPr>
            <w:r>
              <w:rPr>
                <w:rFonts w:ascii="Arial" w:cs="Arial" w:eastAsia="Arial" w:hAnsi="Arial"/>
                <w:sz w:val="19"/>
                <w:szCs w:val="19"/>
                <w:color w:val="auto"/>
                <w:w w:val="99"/>
              </w:rPr>
              <w:t>Sole Dispositive Power</w:t>
            </w:r>
          </w:p>
        </w:tc>
        <w:tc>
          <w:tcPr>
            <w:tcW w:w="7400" w:type="dxa"/>
            <w:vAlign w:val="bottom"/>
            <w:vMerge w:val="restart"/>
          </w:tcPr>
          <w:p>
            <w:pPr>
              <w:jc w:val="right"/>
              <w:ind w:right="7105"/>
              <w:spacing w:after="0"/>
              <w:rPr>
                <w:sz w:val="20"/>
                <w:szCs w:val="20"/>
                <w:color w:val="auto"/>
              </w:rPr>
            </w:pPr>
            <w:r>
              <w:rPr>
                <w:rFonts w:ascii="Arial" w:cs="Arial" w:eastAsia="Arial" w:hAnsi="Arial"/>
                <w:sz w:val="19"/>
                <w:szCs w:val="19"/>
                <w:color w:val="auto"/>
                <w:w w:val="99"/>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1740" w:type="dxa"/>
            <w:vAlign w:val="bottom"/>
            <w:vMerge w:val="restart"/>
          </w:tcPr>
          <w:p>
            <w:pPr>
              <w:spacing w:after="0" w:line="165" w:lineRule="exact"/>
              <w:rPr>
                <w:sz w:val="20"/>
                <w:szCs w:val="20"/>
                <w:color w:val="auto"/>
              </w:rPr>
            </w:pPr>
            <w:r>
              <w:rPr>
                <w:rFonts w:ascii="Arial" w:cs="Arial" w:eastAsia="Arial" w:hAnsi="Arial"/>
                <w:sz w:val="19"/>
                <w:szCs w:val="19"/>
                <w:color w:val="auto"/>
              </w:rPr>
              <w:t>Reporting</w:t>
            </w:r>
          </w:p>
        </w:tc>
        <w:tc>
          <w:tcPr>
            <w:tcW w:w="420" w:type="dxa"/>
            <w:vAlign w:val="bottom"/>
            <w:vMerge w:val="continue"/>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7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740" w:type="dxa"/>
            <w:vAlign w:val="bottom"/>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1740" w:type="dxa"/>
            <w:vAlign w:val="bottom"/>
          </w:tcPr>
          <w:p>
            <w:pPr>
              <w:spacing w:after="0"/>
              <w:rPr>
                <w:sz w:val="20"/>
                <w:szCs w:val="20"/>
                <w:color w:val="auto"/>
              </w:rPr>
            </w:pPr>
            <w:r>
              <w:rPr>
                <w:rFonts w:ascii="Arial" w:cs="Arial" w:eastAsia="Arial" w:hAnsi="Arial"/>
                <w:sz w:val="19"/>
                <w:szCs w:val="19"/>
                <w:color w:val="auto"/>
              </w:rPr>
              <w:t>Person With:</w:t>
            </w:r>
          </w:p>
        </w:tc>
        <w:tc>
          <w:tcPr>
            <w:tcW w:w="420" w:type="dxa"/>
            <w:vAlign w:val="bottom"/>
          </w:tcPr>
          <w:p>
            <w:pPr>
              <w:jc w:val="right"/>
              <w:ind w:right="5"/>
              <w:spacing w:after="0"/>
              <w:rPr>
                <w:sz w:val="20"/>
                <w:szCs w:val="20"/>
                <w:color w:val="auto"/>
              </w:rPr>
            </w:pPr>
            <w:r>
              <w:rPr>
                <w:rFonts w:ascii="Arial" w:cs="Arial" w:eastAsia="Arial" w:hAnsi="Arial"/>
                <w:sz w:val="19"/>
                <w:szCs w:val="19"/>
                <w:color w:val="auto"/>
              </w:rPr>
              <w:t>8.</w:t>
            </w:r>
          </w:p>
        </w:tc>
        <w:tc>
          <w:tcPr>
            <w:tcW w:w="2060" w:type="dxa"/>
            <w:vAlign w:val="bottom"/>
            <w:gridSpan w:val="2"/>
          </w:tcPr>
          <w:p>
            <w:pPr>
              <w:ind w:left="100"/>
              <w:spacing w:after="0"/>
              <w:rPr>
                <w:sz w:val="20"/>
                <w:szCs w:val="20"/>
                <w:color w:val="auto"/>
              </w:rPr>
            </w:pPr>
            <w:r>
              <w:rPr>
                <w:rFonts w:ascii="Arial" w:cs="Arial" w:eastAsia="Arial" w:hAnsi="Arial"/>
                <w:sz w:val="19"/>
                <w:szCs w:val="19"/>
                <w:color w:val="auto"/>
                <w:w w:val="89"/>
              </w:rPr>
              <w:t>Shared Dispositive Power</w:t>
            </w:r>
          </w:p>
        </w:tc>
        <w:tc>
          <w:tcPr>
            <w:tcW w:w="7400" w:type="dxa"/>
            <w:vAlign w:val="bottom"/>
          </w:tcPr>
          <w:p>
            <w:pPr>
              <w:jc w:val="right"/>
              <w:ind w:right="6925"/>
              <w:spacing w:after="0"/>
              <w:rPr>
                <w:sz w:val="20"/>
                <w:szCs w:val="20"/>
                <w:color w:val="auto"/>
              </w:rPr>
            </w:pPr>
            <w:r>
              <w:rPr>
                <w:rFonts w:ascii="Arial" w:cs="Arial" w:eastAsia="Arial" w:hAnsi="Arial"/>
                <w:sz w:val="19"/>
                <w:szCs w:val="19"/>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60"/>
        <w:spacing w:after="0"/>
        <w:tabs>
          <w:tab w:leader="none" w:pos="660" w:val="left"/>
          <w:tab w:leader="none" w:pos="5920" w:val="left"/>
        </w:tabs>
        <w:rPr>
          <w:sz w:val="20"/>
          <w:szCs w:val="20"/>
          <w:color w:val="auto"/>
        </w:rPr>
      </w:pPr>
      <w:r>
        <w:rPr>
          <w:rFonts w:ascii="Arial" w:cs="Arial" w:eastAsia="Arial" w:hAnsi="Arial"/>
          <w:sz w:val="18"/>
          <w:szCs w:val="18"/>
          <w:color w:val="auto"/>
        </w:rPr>
        <w:t>9.</w:t>
        <w:tab/>
        <w:t>Aggregate Amount Beneficially Owned by Each Reporting Person</w:t>
      </w:r>
      <w:r>
        <w:rPr>
          <w:sz w:val="20"/>
          <w:szCs w:val="20"/>
          <w:color w:val="auto"/>
        </w:rPr>
        <w:tab/>
      </w: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260"/>
        <w:spacing w:after="0"/>
        <w:tabs>
          <w:tab w:leader="none" w:pos="68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260"/>
        <w:spacing w:after="0"/>
        <w:tabs>
          <w:tab w:leader="none" w:pos="660" w:val="left"/>
          <w:tab w:leader="none" w:pos="4860" w:val="left"/>
        </w:tabs>
        <w:rPr>
          <w:sz w:val="20"/>
          <w:szCs w:val="20"/>
          <w:color w:val="auto"/>
        </w:rPr>
      </w:pPr>
      <w:r>
        <w:rPr>
          <w:rFonts w:ascii="Arial" w:cs="Arial" w:eastAsia="Arial" w:hAnsi="Arial"/>
          <w:sz w:val="19"/>
          <w:szCs w:val="19"/>
          <w:color w:val="auto"/>
        </w:rPr>
        <w:t>11.</w:t>
        <w:tab/>
        <w:t>Percent of Class Represented by Amount in Row (9)</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700" w:hanging="432"/>
        <w:spacing w:after="0"/>
        <w:tabs>
          <w:tab w:leader="none" w:pos="70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Type of Reporting Person (See Instructions) PN</w:t>
      </w:r>
    </w:p>
    <w:p>
      <w:pPr>
        <w:spacing w:after="0" w:line="166" w:lineRule="exact"/>
        <w:rPr>
          <w:rFonts w:ascii="Arial" w:cs="Arial" w:eastAsia="Arial" w:hAnsi="Arial"/>
          <w:sz w:val="19"/>
          <w:szCs w:val="19"/>
          <w:color w:val="auto"/>
        </w:rPr>
      </w:pPr>
    </w:p>
    <w:p>
      <w:pPr>
        <w:ind w:right="300"/>
        <w:spacing w:after="0" w:line="275" w:lineRule="auto"/>
        <w:rPr>
          <w:rFonts w:ascii="Arial" w:cs="Arial" w:eastAsia="Arial" w:hAnsi="Arial"/>
          <w:sz w:val="19"/>
          <w:szCs w:val="19"/>
          <w:color w:val="auto"/>
        </w:rPr>
      </w:pPr>
      <w:r>
        <w:rPr>
          <w:rFonts w:ascii="Arial" w:cs="Arial" w:eastAsia="Arial" w:hAnsi="Arial"/>
          <w:sz w:val="19"/>
          <w:szCs w:val="19"/>
          <w:color w:val="auto"/>
        </w:rPr>
        <w:t>* This Amendment No. 2 to Schedule 13G is filed jointly by the Fortissimo Entities acting as a “group” within the meaning of Rule 13d-5(b)(1) under the Exchange Act, pursuant to the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625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7625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2000"/>
          </w:cols>
          <w:pgMar w:left="120" w:top="755" w:right="120" w:bottom="1440" w:gutter="0" w:footer="0" w:header="0"/>
        </w:sectPr>
      </w:pPr>
    </w:p>
    <w:bookmarkStart w:id="3" w:name="page4"/>
    <w:bookmarkEnd w:id="3"/>
    <w:p>
      <w:pPr>
        <w:ind w:left="360"/>
        <w:spacing w:after="0"/>
        <w:tabs>
          <w:tab w:leader="none" w:pos="1600" w:val="left"/>
        </w:tabs>
        <w:rPr>
          <w:sz w:val="20"/>
          <w:szCs w:val="20"/>
          <w:color w:val="auto"/>
        </w:rPr>
      </w:pPr>
      <w:r>
        <w:rPr>
          <w:rFonts w:ascii="Arial" w:cs="Arial" w:eastAsia="Arial" w:hAnsi="Arial"/>
          <w:sz w:val="19"/>
          <w:szCs w:val="19"/>
          <w:color w:val="auto"/>
        </w:rPr>
        <w:t>CUSIP No.</w:t>
      </w:r>
      <w:r>
        <w:rPr>
          <w:sz w:val="20"/>
          <w:szCs w:val="20"/>
          <w:color w:val="auto"/>
        </w:rPr>
        <w:tab/>
      </w:r>
      <w:r>
        <w:rPr>
          <w:rFonts w:ascii="Arial" w:cs="Arial" w:eastAsia="Arial" w:hAnsi="Arial"/>
          <w:sz w:val="17"/>
          <w:szCs w:val="17"/>
          <w:color w:val="auto"/>
        </w:rPr>
        <w:t>M6372Q113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60325</wp:posOffset>
            </wp:positionV>
            <wp:extent cx="73894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375" w:lineRule="exact"/>
        <w:rPr>
          <w:sz w:val="20"/>
          <w:szCs w:val="20"/>
          <w:color w:val="auto"/>
        </w:rPr>
      </w:pPr>
    </w:p>
    <w:p>
      <w:pPr>
        <w:ind w:left="1080" w:hanging="373"/>
        <w:spacing w:after="0"/>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Names of Reporting Persons.</w:t>
      </w: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FORTISSIMO CAPITAL 2 MANAGEMENT (GP)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205105</wp:posOffset>
            </wp:positionV>
            <wp:extent cx="73894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80" w:hanging="373"/>
        <w:spacing w:after="0"/>
        <w:tabs>
          <w:tab w:leader="none" w:pos="10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152" w:lineRule="exact"/>
        <w:rPr>
          <w:rFonts w:ascii="Arial" w:cs="Arial" w:eastAsia="Arial" w:hAnsi="Arial"/>
          <w:sz w:val="19"/>
          <w:szCs w:val="19"/>
          <w:color w:val="auto"/>
        </w:rPr>
      </w:pPr>
    </w:p>
    <w:p>
      <w:pPr>
        <w:ind w:left="1360" w:hanging="311"/>
        <w:spacing w:after="0"/>
        <w:tabs>
          <w:tab w:leader="none" w:pos="1360" w:val="left"/>
        </w:tabs>
        <w:numPr>
          <w:ilvl w:val="1"/>
          <w:numId w:val="13"/>
        </w:numPr>
        <w:rPr>
          <w:rFonts w:ascii="MS PGothic" w:cs="MS PGothic" w:eastAsia="MS PGothic" w:hAnsi="MS PGothic"/>
          <w:sz w:val="19"/>
          <w:szCs w:val="19"/>
          <w:color w:val="auto"/>
        </w:rPr>
      </w:pPr>
      <w:r>
        <w:rPr>
          <w:rFonts w:ascii="Arial" w:cs="Arial" w:eastAsia="Arial" w:hAnsi="Arial"/>
          <w:sz w:val="19"/>
          <w:szCs w:val="19"/>
          <w:color w:val="auto"/>
        </w:rPr>
        <w:t>(a)</w:t>
      </w:r>
    </w:p>
    <w:p>
      <w:pPr>
        <w:spacing w:after="0" w:line="152" w:lineRule="exact"/>
        <w:rPr>
          <w:sz w:val="20"/>
          <w:szCs w:val="20"/>
          <w:color w:val="auto"/>
        </w:rPr>
      </w:pPr>
    </w:p>
    <w:p>
      <w:pPr>
        <w:ind w:left="1360" w:hanging="311"/>
        <w:spacing w:after="0"/>
        <w:tabs>
          <w:tab w:leader="none" w:pos="1360" w:val="left"/>
        </w:tabs>
        <w:numPr>
          <w:ilvl w:val="1"/>
          <w:numId w:val="14"/>
        </w:numPr>
        <w:rPr>
          <w:rFonts w:ascii="MS PGothic" w:cs="MS PGothic" w:eastAsia="MS PGothic" w:hAnsi="MS PGothic"/>
          <w:sz w:val="19"/>
          <w:szCs w:val="19"/>
          <w:color w:val="auto"/>
        </w:rPr>
      </w:pPr>
      <w:r>
        <w:rPr>
          <w:rFonts w:ascii="Arial" w:cs="Arial" w:eastAsia="Arial" w:hAnsi="Arial"/>
          <w:sz w:val="19"/>
          <w:szCs w:val="19"/>
          <w:color w:val="auto"/>
        </w:rPr>
        <w:t>(b)</w:t>
      </w:r>
    </w:p>
    <w:p>
      <w:pPr>
        <w:spacing w:after="0" w:line="166" w:lineRule="exact"/>
        <w:rPr>
          <w:rFonts w:ascii="MS PGothic" w:cs="MS PGothic" w:eastAsia="MS PGothic" w:hAnsi="MS PGothic"/>
          <w:sz w:val="19"/>
          <w:szCs w:val="19"/>
          <w:color w:val="auto"/>
        </w:rPr>
      </w:pPr>
    </w:p>
    <w:p>
      <w:pPr>
        <w:ind w:left="1080" w:hanging="373"/>
        <w:spacing w:after="0"/>
        <w:tabs>
          <w:tab w:leader="none" w:pos="10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60325</wp:posOffset>
            </wp:positionV>
            <wp:extent cx="73894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231775</wp:posOffset>
            </wp:positionH>
            <wp:positionV relativeFrom="paragraph">
              <wp:posOffset>-183515</wp:posOffset>
            </wp:positionV>
            <wp:extent cx="73894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pacing w:after="0" w:line="147"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3720" w:type="dxa"/>
            <w:vAlign w:val="bottom"/>
            <w:gridSpan w:val="3"/>
          </w:tcPr>
          <w:p>
            <w:pPr>
              <w:ind w:left="340"/>
              <w:spacing w:after="0"/>
              <w:rPr>
                <w:sz w:val="20"/>
                <w:szCs w:val="20"/>
                <w:color w:val="auto"/>
              </w:rPr>
            </w:pPr>
            <w:r>
              <w:rPr>
                <w:rFonts w:ascii="Arial" w:cs="Arial" w:eastAsia="Arial" w:hAnsi="Arial"/>
                <w:sz w:val="19"/>
                <w:szCs w:val="19"/>
                <w:color w:val="auto"/>
              </w:rPr>
              <w:t>4.   Citizenship or Place of Organization</w:t>
            </w:r>
          </w:p>
        </w:tc>
        <w:tc>
          <w:tcPr>
            <w:tcW w:w="500" w:type="dxa"/>
            <w:vAlign w:val="bottom"/>
          </w:tcPr>
          <w:p>
            <w:pPr>
              <w:jc w:val="right"/>
              <w:spacing w:after="0"/>
              <w:rPr>
                <w:sz w:val="20"/>
                <w:szCs w:val="20"/>
                <w:color w:val="auto"/>
              </w:rPr>
            </w:pPr>
            <w:r>
              <w:rPr>
                <w:rFonts w:ascii="Arial" w:cs="Arial" w:eastAsia="Arial" w:hAnsi="Arial"/>
                <w:sz w:val="19"/>
                <w:szCs w:val="19"/>
                <w:color w:val="auto"/>
                <w:w w:val="98"/>
              </w:rPr>
              <w:t>Israel</w:t>
            </w:r>
          </w:p>
        </w:tc>
        <w:tc>
          <w:tcPr>
            <w:tcW w:w="7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1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08"/>
        </w:trPr>
        <w:tc>
          <w:tcPr>
            <w:tcW w:w="1740" w:type="dxa"/>
            <w:vAlign w:val="bottom"/>
          </w:tcPr>
          <w:p>
            <w:pPr>
              <w:spacing w:after="0"/>
              <w:rPr>
                <w:sz w:val="20"/>
                <w:szCs w:val="20"/>
                <w:color w:val="auto"/>
              </w:rPr>
            </w:pPr>
            <w:r>
              <w:rPr>
                <w:rFonts w:ascii="Arial" w:cs="Arial" w:eastAsia="Arial" w:hAnsi="Arial"/>
                <w:sz w:val="19"/>
                <w:szCs w:val="19"/>
                <w:color w:val="auto"/>
              </w:rPr>
              <w:t>Number of</w:t>
            </w:r>
          </w:p>
        </w:tc>
        <w:tc>
          <w:tcPr>
            <w:tcW w:w="420" w:type="dxa"/>
            <w:vAlign w:val="bottom"/>
          </w:tcPr>
          <w:p>
            <w:pPr>
              <w:jc w:val="right"/>
              <w:ind w:right="5"/>
              <w:spacing w:after="0"/>
              <w:rPr>
                <w:sz w:val="20"/>
                <w:szCs w:val="20"/>
                <w:color w:val="auto"/>
              </w:rPr>
            </w:pPr>
            <w:r>
              <w:rPr>
                <w:rFonts w:ascii="Arial" w:cs="Arial" w:eastAsia="Arial" w:hAnsi="Arial"/>
                <w:sz w:val="19"/>
                <w:szCs w:val="19"/>
                <w:color w:val="auto"/>
              </w:rPr>
              <w:t>5.</w:t>
            </w:r>
          </w:p>
        </w:tc>
        <w:tc>
          <w:tcPr>
            <w:tcW w:w="1560" w:type="dxa"/>
            <w:vAlign w:val="bottom"/>
          </w:tcPr>
          <w:p>
            <w:pPr>
              <w:ind w:left="100"/>
              <w:spacing w:after="0"/>
              <w:rPr>
                <w:sz w:val="20"/>
                <w:szCs w:val="20"/>
                <w:color w:val="auto"/>
              </w:rPr>
            </w:pPr>
            <w:r>
              <w:rPr>
                <w:rFonts w:ascii="Arial" w:cs="Arial" w:eastAsia="Arial" w:hAnsi="Arial"/>
                <w:sz w:val="19"/>
                <w:szCs w:val="19"/>
                <w:color w:val="auto"/>
                <w:w w:val="92"/>
              </w:rPr>
              <w:t>Sole Voting Power</w:t>
            </w:r>
          </w:p>
        </w:tc>
        <w:tc>
          <w:tcPr>
            <w:tcW w:w="500" w:type="dxa"/>
            <w:vAlign w:val="bottom"/>
          </w:tcPr>
          <w:p>
            <w:pPr>
              <w:jc w:val="right"/>
              <w:ind w:right="65"/>
              <w:spacing w:after="0"/>
              <w:rPr>
                <w:sz w:val="20"/>
                <w:szCs w:val="20"/>
                <w:color w:val="auto"/>
              </w:rPr>
            </w:pPr>
            <w:r>
              <w:rPr>
                <w:rFonts w:ascii="Arial" w:cs="Arial" w:eastAsia="Arial" w:hAnsi="Arial"/>
                <w:sz w:val="19"/>
                <w:szCs w:val="19"/>
                <w:color w:val="auto"/>
              </w:rPr>
              <w:t>0*</w:t>
            </w: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74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42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740" w:type="dxa"/>
            <w:vAlign w:val="bottom"/>
            <w:vMerge w:val="continue"/>
          </w:tcPr>
          <w:p>
            <w:pPr>
              <w:spacing w:after="0"/>
              <w:rPr>
                <w:sz w:val="10"/>
                <w:szCs w:val="10"/>
                <w:color w:val="auto"/>
              </w:rPr>
            </w:pPr>
          </w:p>
        </w:tc>
        <w:tc>
          <w:tcPr>
            <w:tcW w:w="420" w:type="dxa"/>
            <w:vAlign w:val="bottom"/>
            <w:vMerge w:val="restart"/>
          </w:tcPr>
          <w:p>
            <w:pPr>
              <w:jc w:val="right"/>
              <w:ind w:right="5"/>
              <w:spacing w:after="0"/>
              <w:rPr>
                <w:sz w:val="20"/>
                <w:szCs w:val="20"/>
                <w:color w:val="auto"/>
              </w:rPr>
            </w:pPr>
            <w:r>
              <w:rPr>
                <w:rFonts w:ascii="Arial" w:cs="Arial" w:eastAsia="Arial" w:hAnsi="Arial"/>
                <w:sz w:val="19"/>
                <w:szCs w:val="19"/>
                <w:color w:val="auto"/>
              </w:rPr>
              <w:t>6.</w:t>
            </w:r>
          </w:p>
        </w:tc>
        <w:tc>
          <w:tcPr>
            <w:tcW w:w="9480" w:type="dxa"/>
            <w:vAlign w:val="bottom"/>
            <w:gridSpan w:val="4"/>
            <w:vMerge w:val="restart"/>
          </w:tcPr>
          <w:p>
            <w:pPr>
              <w:ind w:left="100"/>
              <w:spacing w:after="0"/>
              <w:rPr>
                <w:sz w:val="20"/>
                <w:szCs w:val="20"/>
                <w:color w:val="auto"/>
              </w:rPr>
            </w:pPr>
            <w:r>
              <w:rPr>
                <w:rFonts w:ascii="Arial" w:cs="Arial" w:eastAsia="Arial" w:hAnsi="Arial"/>
                <w:sz w:val="19"/>
                <w:szCs w:val="19"/>
                <w:color w:val="auto"/>
              </w:rPr>
              <w:t>Shared Voting Power  0*</w:t>
            </w:r>
          </w:p>
        </w:tc>
        <w:tc>
          <w:tcPr>
            <w:tcW w:w="0" w:type="dxa"/>
            <w:vAlign w:val="bottom"/>
          </w:tcPr>
          <w:p>
            <w:pPr>
              <w:spacing w:after="0"/>
              <w:rPr>
                <w:sz w:val="1"/>
                <w:szCs w:val="1"/>
                <w:color w:val="auto"/>
              </w:rPr>
            </w:pPr>
          </w:p>
        </w:tc>
      </w:tr>
      <w:tr>
        <w:trPr>
          <w:trHeight w:val="170"/>
        </w:trPr>
        <w:tc>
          <w:tcPr>
            <w:tcW w:w="1740" w:type="dxa"/>
            <w:vAlign w:val="bottom"/>
            <w:vMerge w:val="restart"/>
          </w:tcPr>
          <w:p>
            <w:pPr>
              <w:spacing w:after="0"/>
              <w:rPr>
                <w:sz w:val="20"/>
                <w:szCs w:val="20"/>
                <w:color w:val="auto"/>
              </w:rPr>
            </w:pPr>
            <w:r>
              <w:rPr>
                <w:rFonts w:ascii="Arial" w:cs="Arial" w:eastAsia="Arial" w:hAnsi="Arial"/>
                <w:sz w:val="19"/>
                <w:szCs w:val="19"/>
                <w:color w:val="auto"/>
              </w:rPr>
              <w:t>Beneficially by</w:t>
            </w:r>
          </w:p>
        </w:tc>
        <w:tc>
          <w:tcPr>
            <w:tcW w:w="420" w:type="dxa"/>
            <w:vAlign w:val="bottom"/>
            <w:vMerge w:val="continue"/>
          </w:tcPr>
          <w:p>
            <w:pPr>
              <w:spacing w:after="0"/>
              <w:rPr>
                <w:sz w:val="14"/>
                <w:szCs w:val="14"/>
                <w:color w:val="auto"/>
              </w:rPr>
            </w:pPr>
          </w:p>
        </w:tc>
        <w:tc>
          <w:tcPr>
            <w:tcW w:w="94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740" w:type="dxa"/>
            <w:vAlign w:val="bottom"/>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740" w:type="dxa"/>
            <w:vAlign w:val="bottom"/>
          </w:tcPr>
          <w:p>
            <w:pPr>
              <w:spacing w:after="0" w:line="195" w:lineRule="exact"/>
              <w:rPr>
                <w:sz w:val="20"/>
                <w:szCs w:val="20"/>
                <w:color w:val="auto"/>
              </w:rPr>
            </w:pPr>
            <w:r>
              <w:rPr>
                <w:rFonts w:ascii="Arial" w:cs="Arial" w:eastAsia="Arial" w:hAnsi="Arial"/>
                <w:sz w:val="19"/>
                <w:szCs w:val="19"/>
                <w:color w:val="auto"/>
              </w:rPr>
              <w:t>Owned by Each</w:t>
            </w:r>
          </w:p>
        </w:tc>
        <w:tc>
          <w:tcPr>
            <w:tcW w:w="420" w:type="dxa"/>
            <w:vAlign w:val="bottom"/>
            <w:vMerge w:val="restart"/>
          </w:tcPr>
          <w:p>
            <w:pPr>
              <w:jc w:val="right"/>
              <w:ind w:right="5"/>
              <w:spacing w:after="0"/>
              <w:rPr>
                <w:sz w:val="20"/>
                <w:szCs w:val="20"/>
                <w:color w:val="auto"/>
              </w:rPr>
            </w:pPr>
            <w:r>
              <w:rPr>
                <w:rFonts w:ascii="Arial" w:cs="Arial" w:eastAsia="Arial" w:hAnsi="Arial"/>
                <w:sz w:val="19"/>
                <w:szCs w:val="19"/>
                <w:color w:val="auto"/>
              </w:rPr>
              <w:t>7.</w:t>
            </w:r>
          </w:p>
        </w:tc>
        <w:tc>
          <w:tcPr>
            <w:tcW w:w="2060" w:type="dxa"/>
            <w:vAlign w:val="bottom"/>
            <w:gridSpan w:val="2"/>
            <w:vMerge w:val="restart"/>
          </w:tcPr>
          <w:p>
            <w:pPr>
              <w:ind w:left="100"/>
              <w:spacing w:after="0"/>
              <w:rPr>
                <w:sz w:val="20"/>
                <w:szCs w:val="20"/>
                <w:color w:val="auto"/>
              </w:rPr>
            </w:pPr>
            <w:r>
              <w:rPr>
                <w:rFonts w:ascii="Arial" w:cs="Arial" w:eastAsia="Arial" w:hAnsi="Arial"/>
                <w:sz w:val="19"/>
                <w:szCs w:val="19"/>
                <w:color w:val="auto"/>
                <w:w w:val="99"/>
              </w:rPr>
              <w:t>Sole Dispositive Power</w:t>
            </w:r>
          </w:p>
        </w:tc>
        <w:tc>
          <w:tcPr>
            <w:tcW w:w="7400" w:type="dxa"/>
            <w:vAlign w:val="bottom"/>
            <w:vMerge w:val="restart"/>
          </w:tcPr>
          <w:p>
            <w:pPr>
              <w:jc w:val="right"/>
              <w:ind w:right="7105"/>
              <w:spacing w:after="0"/>
              <w:rPr>
                <w:sz w:val="20"/>
                <w:szCs w:val="20"/>
                <w:color w:val="auto"/>
              </w:rPr>
            </w:pPr>
            <w:r>
              <w:rPr>
                <w:rFonts w:ascii="Arial" w:cs="Arial" w:eastAsia="Arial" w:hAnsi="Arial"/>
                <w:sz w:val="19"/>
                <w:szCs w:val="19"/>
                <w:color w:val="auto"/>
                <w:w w:val="99"/>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1740" w:type="dxa"/>
            <w:vAlign w:val="bottom"/>
            <w:vMerge w:val="restart"/>
          </w:tcPr>
          <w:p>
            <w:pPr>
              <w:spacing w:after="0" w:line="165" w:lineRule="exact"/>
              <w:rPr>
                <w:sz w:val="20"/>
                <w:szCs w:val="20"/>
                <w:color w:val="auto"/>
              </w:rPr>
            </w:pPr>
            <w:r>
              <w:rPr>
                <w:rFonts w:ascii="Arial" w:cs="Arial" w:eastAsia="Arial" w:hAnsi="Arial"/>
                <w:sz w:val="19"/>
                <w:szCs w:val="19"/>
                <w:color w:val="auto"/>
              </w:rPr>
              <w:t>Reporting</w:t>
            </w:r>
          </w:p>
        </w:tc>
        <w:tc>
          <w:tcPr>
            <w:tcW w:w="420" w:type="dxa"/>
            <w:vAlign w:val="bottom"/>
            <w:vMerge w:val="continue"/>
          </w:tcPr>
          <w:p>
            <w:pPr>
              <w:spacing w:after="0"/>
              <w:rPr>
                <w:sz w:val="8"/>
                <w:szCs w:val="8"/>
                <w:color w:val="auto"/>
              </w:rPr>
            </w:pPr>
          </w:p>
        </w:tc>
        <w:tc>
          <w:tcPr>
            <w:tcW w:w="2060" w:type="dxa"/>
            <w:vAlign w:val="bottom"/>
            <w:gridSpan w:val="2"/>
            <w:vMerge w:val="continue"/>
          </w:tcPr>
          <w:p>
            <w:pPr>
              <w:spacing w:after="0"/>
              <w:rPr>
                <w:sz w:val="8"/>
                <w:szCs w:val="8"/>
                <w:color w:val="auto"/>
              </w:rPr>
            </w:pPr>
          </w:p>
        </w:tc>
        <w:tc>
          <w:tcPr>
            <w:tcW w:w="74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740" w:type="dxa"/>
            <w:vAlign w:val="bottom"/>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1740" w:type="dxa"/>
            <w:vAlign w:val="bottom"/>
          </w:tcPr>
          <w:p>
            <w:pPr>
              <w:spacing w:after="0"/>
              <w:rPr>
                <w:sz w:val="20"/>
                <w:szCs w:val="20"/>
                <w:color w:val="auto"/>
              </w:rPr>
            </w:pPr>
            <w:r>
              <w:rPr>
                <w:rFonts w:ascii="Arial" w:cs="Arial" w:eastAsia="Arial" w:hAnsi="Arial"/>
                <w:sz w:val="19"/>
                <w:szCs w:val="19"/>
                <w:color w:val="auto"/>
              </w:rPr>
              <w:t>Person With:</w:t>
            </w:r>
          </w:p>
        </w:tc>
        <w:tc>
          <w:tcPr>
            <w:tcW w:w="420" w:type="dxa"/>
            <w:vAlign w:val="bottom"/>
          </w:tcPr>
          <w:p>
            <w:pPr>
              <w:jc w:val="right"/>
              <w:ind w:right="5"/>
              <w:spacing w:after="0"/>
              <w:rPr>
                <w:sz w:val="20"/>
                <w:szCs w:val="20"/>
                <w:color w:val="auto"/>
              </w:rPr>
            </w:pPr>
            <w:r>
              <w:rPr>
                <w:rFonts w:ascii="Arial" w:cs="Arial" w:eastAsia="Arial" w:hAnsi="Arial"/>
                <w:sz w:val="19"/>
                <w:szCs w:val="19"/>
                <w:color w:val="auto"/>
              </w:rPr>
              <w:t>8.</w:t>
            </w:r>
          </w:p>
        </w:tc>
        <w:tc>
          <w:tcPr>
            <w:tcW w:w="2060" w:type="dxa"/>
            <w:vAlign w:val="bottom"/>
            <w:gridSpan w:val="2"/>
          </w:tcPr>
          <w:p>
            <w:pPr>
              <w:ind w:left="100"/>
              <w:spacing w:after="0"/>
              <w:rPr>
                <w:sz w:val="20"/>
                <w:szCs w:val="20"/>
                <w:color w:val="auto"/>
              </w:rPr>
            </w:pPr>
            <w:r>
              <w:rPr>
                <w:rFonts w:ascii="Arial" w:cs="Arial" w:eastAsia="Arial" w:hAnsi="Arial"/>
                <w:sz w:val="19"/>
                <w:szCs w:val="19"/>
                <w:color w:val="auto"/>
                <w:w w:val="89"/>
              </w:rPr>
              <w:t>Shared Dispositive Power</w:t>
            </w:r>
          </w:p>
        </w:tc>
        <w:tc>
          <w:tcPr>
            <w:tcW w:w="7400" w:type="dxa"/>
            <w:vAlign w:val="bottom"/>
          </w:tcPr>
          <w:p>
            <w:pPr>
              <w:jc w:val="right"/>
              <w:ind w:right="6865"/>
              <w:spacing w:after="0"/>
              <w:rPr>
                <w:sz w:val="20"/>
                <w:szCs w:val="20"/>
                <w:color w:val="auto"/>
              </w:rPr>
            </w:pPr>
            <w:r>
              <w:rPr>
                <w:rFonts w:ascii="Arial" w:cs="Arial" w:eastAsia="Arial" w:hAnsi="Arial"/>
                <w:sz w:val="19"/>
                <w:szCs w:val="19"/>
                <w:color w:val="auto"/>
              </w:rPr>
              <w:t>0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740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60"/>
        <w:spacing w:after="0"/>
        <w:tabs>
          <w:tab w:leader="none" w:pos="660" w:val="left"/>
          <w:tab w:leader="none" w:pos="5920" w:val="left"/>
        </w:tabs>
        <w:rPr>
          <w:sz w:val="20"/>
          <w:szCs w:val="20"/>
          <w:color w:val="auto"/>
        </w:rPr>
      </w:pPr>
      <w:r>
        <w:rPr>
          <w:rFonts w:ascii="Arial" w:cs="Arial" w:eastAsia="Arial" w:hAnsi="Arial"/>
          <w:sz w:val="18"/>
          <w:szCs w:val="18"/>
          <w:color w:val="auto"/>
        </w:rPr>
        <w:t>9.</w:t>
        <w:tab/>
        <w:t>Aggregate Amount Beneficially Owned by Each Reporting Person</w:t>
      </w:r>
      <w:r>
        <w:rPr>
          <w:sz w:val="20"/>
          <w:szCs w:val="20"/>
          <w:color w:val="auto"/>
        </w:rPr>
        <w:tab/>
      </w: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260"/>
        <w:spacing w:after="0"/>
        <w:tabs>
          <w:tab w:leader="none" w:pos="68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color w:val="auto"/>
        </w:rPr>
        <w:t>Check if the Aggregate Amount in Row (9) Excludes Certain Shares (See Instructions).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260"/>
        <w:spacing w:after="0"/>
        <w:tabs>
          <w:tab w:leader="none" w:pos="660" w:val="left"/>
          <w:tab w:leader="none" w:pos="4860" w:val="left"/>
        </w:tabs>
        <w:rPr>
          <w:sz w:val="20"/>
          <w:szCs w:val="20"/>
          <w:color w:val="auto"/>
        </w:rPr>
      </w:pPr>
      <w:r>
        <w:rPr>
          <w:rFonts w:ascii="Arial" w:cs="Arial" w:eastAsia="Arial" w:hAnsi="Arial"/>
          <w:sz w:val="19"/>
          <w:szCs w:val="19"/>
          <w:color w:val="auto"/>
        </w:rPr>
        <w:t>11.</w:t>
        <w:tab/>
        <w:t>Percent of Class Represented by Amount in Row (9)</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625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147" w:lineRule="exact"/>
        <w:rPr>
          <w:sz w:val="20"/>
          <w:szCs w:val="20"/>
          <w:color w:val="auto"/>
        </w:rPr>
      </w:pPr>
    </w:p>
    <w:p>
      <w:pPr>
        <w:ind w:left="700" w:hanging="432"/>
        <w:spacing w:after="0"/>
        <w:tabs>
          <w:tab w:leader="none" w:pos="7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Type of Reporting Person (See Instructions) PN</w:t>
      </w:r>
    </w:p>
    <w:p>
      <w:pPr>
        <w:spacing w:after="0" w:line="166" w:lineRule="exact"/>
        <w:rPr>
          <w:rFonts w:ascii="Arial" w:cs="Arial" w:eastAsia="Arial" w:hAnsi="Arial"/>
          <w:sz w:val="19"/>
          <w:szCs w:val="19"/>
          <w:color w:val="auto"/>
        </w:rPr>
      </w:pPr>
    </w:p>
    <w:p>
      <w:pPr>
        <w:ind w:right="300"/>
        <w:spacing w:after="0" w:line="275" w:lineRule="auto"/>
        <w:rPr>
          <w:rFonts w:ascii="Arial" w:cs="Arial" w:eastAsia="Arial" w:hAnsi="Arial"/>
          <w:sz w:val="19"/>
          <w:szCs w:val="19"/>
          <w:color w:val="auto"/>
        </w:rPr>
      </w:pPr>
      <w:r>
        <w:rPr>
          <w:rFonts w:ascii="Arial" w:cs="Arial" w:eastAsia="Arial" w:hAnsi="Arial"/>
          <w:sz w:val="19"/>
          <w:szCs w:val="19"/>
          <w:color w:val="auto"/>
        </w:rPr>
        <w:t>* This Amendment No. 2 to Schedule 13G is filed jointly by the Fortissimo Entities acting as a “group” within the meaning of Rule 13d-5(b)(1) under the Exchange Act, pursuant to the Joint Filing Agreement among the Fortissimo Entities filed as Exhibit 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625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-362585</wp:posOffset>
            </wp:positionV>
            <wp:extent cx="7625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2000"/>
          </w:cols>
          <w:pgMar w:left="120" w:top="770" w:right="12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Item 1.</w:t>
      </w:r>
    </w:p>
    <w:p>
      <w:pPr>
        <w:spacing w:after="0" w:line="244" w:lineRule="exact"/>
        <w:rPr>
          <w:sz w:val="20"/>
          <w:szCs w:val="20"/>
          <w:color w:val="auto"/>
        </w:rPr>
      </w:pPr>
    </w:p>
    <w:p>
      <w:pPr>
        <w:ind w:left="680" w:hanging="344"/>
        <w:spacing w:after="0"/>
        <w:tabs>
          <w:tab w:leader="none" w:pos="680" w:val="left"/>
        </w:tabs>
        <w:numPr>
          <w:ilvl w:val="0"/>
          <w:numId w:val="16"/>
        </w:numPr>
        <w:rPr>
          <w:rFonts w:ascii="Arial" w:cs="Arial" w:eastAsia="Arial" w:hAnsi="Arial"/>
          <w:sz w:val="19"/>
          <w:szCs w:val="19"/>
          <w:b w:val="1"/>
          <w:bCs w:val="1"/>
          <w:color w:val="auto"/>
        </w:rPr>
      </w:pPr>
      <w:r>
        <w:rPr>
          <w:rFonts w:ascii="Arial" w:cs="Arial" w:eastAsia="Arial" w:hAnsi="Arial"/>
          <w:sz w:val="19"/>
          <w:szCs w:val="19"/>
          <w:color w:val="auto"/>
        </w:rPr>
        <w:t>The name of the Issuer is Kornit Digital Ltd.</w:t>
      </w:r>
    </w:p>
    <w:p>
      <w:pPr>
        <w:spacing w:after="0" w:line="237" w:lineRule="exact"/>
        <w:rPr>
          <w:rFonts w:ascii="Arial" w:cs="Arial" w:eastAsia="Arial" w:hAnsi="Arial"/>
          <w:sz w:val="19"/>
          <w:szCs w:val="19"/>
          <w:b w:val="1"/>
          <w:bCs w:val="1"/>
          <w:color w:val="auto"/>
        </w:rPr>
      </w:pPr>
    </w:p>
    <w:p>
      <w:pPr>
        <w:ind w:left="680" w:hanging="344"/>
        <w:spacing w:after="0"/>
        <w:tabs>
          <w:tab w:leader="none" w:pos="680" w:val="left"/>
        </w:tabs>
        <w:numPr>
          <w:ilvl w:val="0"/>
          <w:numId w:val="16"/>
        </w:numPr>
        <w:rPr>
          <w:rFonts w:ascii="Arial" w:cs="Arial" w:eastAsia="Arial" w:hAnsi="Arial"/>
          <w:sz w:val="19"/>
          <w:szCs w:val="19"/>
          <w:b w:val="1"/>
          <w:bCs w:val="1"/>
          <w:color w:val="auto"/>
        </w:rPr>
      </w:pPr>
      <w:r>
        <w:rPr>
          <w:rFonts w:ascii="Arial" w:cs="Arial" w:eastAsia="Arial" w:hAnsi="Arial"/>
          <w:sz w:val="19"/>
          <w:szCs w:val="19"/>
          <w:color w:val="auto"/>
        </w:rPr>
        <w:t>The address of the Issuer’s principal executive offices is: 12 Ha’Amal Street, Rosh Ha’Ayin 4809246, Israel.</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238" w:lineRule="exact"/>
        <w:rPr>
          <w:sz w:val="20"/>
          <w:szCs w:val="20"/>
          <w:color w:val="auto"/>
        </w:rPr>
      </w:pPr>
    </w:p>
    <w:p>
      <w:pPr>
        <w:ind w:left="1020" w:right="20" w:hanging="341"/>
        <w:spacing w:after="0" w:line="287" w:lineRule="auto"/>
        <w:tabs>
          <w:tab w:leader="none" w:pos="10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 (d) </w:t>
      </w:r>
      <w:r>
        <w:rPr>
          <w:rFonts w:ascii="Arial" w:cs="Arial" w:eastAsia="Arial" w:hAnsi="Arial"/>
          <w:sz w:val="18"/>
          <w:szCs w:val="18"/>
          <w:color w:val="auto"/>
        </w:rPr>
        <w:t>This Amendment No. 2 to Schedule 13G is being filed by Fortissimo Capital Fund II (Israel), L.P. (“FF II”); Fortissimo Capital Fund II</w:t>
      </w:r>
      <w:r>
        <w:rPr>
          <w:rFonts w:ascii="Arial" w:cs="Arial" w:eastAsia="Arial" w:hAnsi="Arial"/>
          <w:sz w:val="18"/>
          <w:szCs w:val="18"/>
          <w:b w:val="1"/>
          <w:bCs w:val="1"/>
          <w:color w:val="auto"/>
        </w:rPr>
        <w:t xml:space="preserve"> </w:t>
      </w:r>
      <w:r>
        <w:rPr>
          <w:rFonts w:ascii="Arial" w:cs="Arial" w:eastAsia="Arial" w:hAnsi="Arial"/>
          <w:sz w:val="18"/>
          <w:szCs w:val="18"/>
          <w:color w:val="auto"/>
        </w:rPr>
        <w:t>(GP), L.P. (“FF II GP”) and Fortissimo Capital 2 Management (GP) Ltd. (FF II MGMT”), FF II, FF II GP and FF II MGMT are collectively referred to herein as the “Reporting Persons”), with respect to beneficial ownership of the Ordinary Shares of the Issuer.</w:t>
      </w:r>
    </w:p>
    <w:p>
      <w:pPr>
        <w:spacing w:after="0" w:line="170" w:lineRule="exact"/>
        <w:rPr>
          <w:rFonts w:ascii="Arial" w:cs="Arial" w:eastAsia="Arial" w:hAnsi="Arial"/>
          <w:sz w:val="18"/>
          <w:szCs w:val="18"/>
          <w:b w:val="1"/>
          <w:bCs w:val="1"/>
          <w:color w:val="auto"/>
        </w:rPr>
      </w:pPr>
    </w:p>
    <w:p>
      <w:pPr>
        <w:ind w:left="1020" w:hanging="341"/>
        <w:spacing w:after="0" w:line="255" w:lineRule="auto"/>
        <w:tabs>
          <w:tab w:leader="none" w:pos="102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and (c) </w:t>
      </w:r>
      <w:r>
        <w:rPr>
          <w:rFonts w:ascii="Arial" w:cs="Arial" w:eastAsia="Arial" w:hAnsi="Arial"/>
          <w:sz w:val="19"/>
          <w:szCs w:val="19"/>
          <w:color w:val="auto"/>
        </w:rPr>
        <w:t>FF II is a limited partnership organized and existing under the laws of the Cayman Islands and whose business address is 14 Hamelacha</w:t>
      </w:r>
      <w:r>
        <w:rPr>
          <w:rFonts w:ascii="Arial" w:cs="Arial" w:eastAsia="Arial" w:hAnsi="Arial"/>
          <w:sz w:val="19"/>
          <w:szCs w:val="19"/>
          <w:b w:val="1"/>
          <w:bCs w:val="1"/>
          <w:color w:val="auto"/>
        </w:rPr>
        <w:t xml:space="preserve"> </w:t>
      </w:r>
      <w:r>
        <w:rPr>
          <w:rFonts w:ascii="Arial" w:cs="Arial" w:eastAsia="Arial" w:hAnsi="Arial"/>
          <w:sz w:val="19"/>
          <w:szCs w:val="19"/>
          <w:color w:val="auto"/>
        </w:rPr>
        <w:t>Street, Park Afek, Rosh Ha’ayin Israel 48091. FF II is the record holder of the Ordinary Shares of the Issuer. FF II GP is a limited partnership organized and existing under the laws of the State of Israel and whose principal business is to act as the sole general partner of FF II. Its business address is 14 Hamelacha Street, Park Afek, Rosh Ha’ayin Israel 48091. The general partner of FFII GP is FFF II MGMT, an Israel company whose business address is 14 Hamelacha Street, Park Afek, Rosh Ha’ayin Israel 48091. FFII MGMT’s principal business is to act as the sole general partner of FF II GP. The sole shareholder and director of FF II MGMT is Yuval Cohen (the “Control Person”). The Control Person’s business address is 14 Hamelacha Street, Park Afek, Rosh Haayin Israel 48091 and his principal business activity is managing the investments of each of the Reporting Persons.</w:t>
      </w:r>
    </w:p>
    <w:p>
      <w:pPr>
        <w:spacing w:after="0" w:line="202" w:lineRule="exact"/>
        <w:rPr>
          <w:sz w:val="20"/>
          <w:szCs w:val="20"/>
          <w:color w:val="auto"/>
        </w:rPr>
      </w:pPr>
    </w:p>
    <w:p>
      <w:pPr>
        <w:ind w:left="1020" w:hanging="341"/>
        <w:spacing w:after="0"/>
        <w:tabs>
          <w:tab w:leader="none" w:pos="1020" w:val="left"/>
        </w:tabs>
        <w:numPr>
          <w:ilvl w:val="0"/>
          <w:numId w:val="18"/>
        </w:numPr>
        <w:rPr>
          <w:rFonts w:ascii="Arial" w:cs="Arial" w:eastAsia="Arial" w:hAnsi="Arial"/>
          <w:sz w:val="19"/>
          <w:szCs w:val="19"/>
          <w:b w:val="1"/>
          <w:bCs w:val="1"/>
          <w:color w:val="auto"/>
        </w:rPr>
      </w:pPr>
      <w:r>
        <w:rPr>
          <w:rFonts w:ascii="Arial" w:cs="Arial" w:eastAsia="Arial" w:hAnsi="Arial"/>
          <w:sz w:val="19"/>
          <w:szCs w:val="19"/>
          <w:color w:val="auto"/>
        </w:rPr>
        <w:t>The CUSIP number of the Issuer’s Ordinary Shares is M 6372Q113</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Not applicable</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27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960"/>
          </w:cols>
          <w:pgMar w:left="120" w:top="692" w:right="16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4840" w:type="dxa"/>
            <w:vAlign w:val="bottom"/>
            <w:gridSpan w:val="2"/>
          </w:tcPr>
          <w:p>
            <w:pPr>
              <w:spacing w:after="0"/>
              <w:rPr>
                <w:sz w:val="20"/>
                <w:szCs w:val="20"/>
                <w:color w:val="auto"/>
              </w:rPr>
            </w:pPr>
            <w:r>
              <w:rPr>
                <w:rFonts w:ascii="Arial" w:cs="Arial" w:eastAsia="Arial" w:hAnsi="Arial"/>
                <w:sz w:val="19"/>
                <w:szCs w:val="19"/>
                <w:b w:val="1"/>
                <w:bCs w:val="1"/>
                <w:color w:val="auto"/>
              </w:rPr>
              <w:t>Item 4. Ownership</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4820" w:type="dxa"/>
            <w:vAlign w:val="bottom"/>
            <w:tcBorders>
              <w:bottom w:val="single" w:sz="8" w:color="auto"/>
            </w:tcBorders>
          </w:tcPr>
          <w:p>
            <w:pPr>
              <w:ind w:left="3220"/>
              <w:spacing w:after="0"/>
              <w:rPr>
                <w:sz w:val="20"/>
                <w:szCs w:val="20"/>
                <w:color w:val="auto"/>
              </w:rPr>
            </w:pPr>
            <w:r>
              <w:rPr>
                <w:rFonts w:ascii="Arial" w:cs="Arial" w:eastAsia="Arial" w:hAnsi="Arial"/>
                <w:sz w:val="19"/>
                <w:szCs w:val="19"/>
                <w:color w:val="auto"/>
              </w:rPr>
              <w:t>Name of Fund</w:t>
            </w: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Number of Shares</w:t>
            </w:r>
          </w:p>
        </w:tc>
        <w:tc>
          <w:tcPr>
            <w:tcW w:w="3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w w:val="96"/>
              </w:rPr>
              <w:t>Percentage Holdings*</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Fortissimo Capital Fund II (Israel) L.P.</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jc w:val="right"/>
              <w:ind w:right="120"/>
              <w:spacing w:after="0"/>
              <w:rPr>
                <w:sz w:val="20"/>
                <w:szCs w:val="20"/>
                <w:color w:val="auto"/>
              </w:rPr>
            </w:pPr>
            <w:r>
              <w:rPr>
                <w:rFonts w:ascii="Arial" w:cs="Arial" w:eastAsia="Arial" w:hAnsi="Arial"/>
                <w:sz w:val="19"/>
                <w:szCs w:val="19"/>
                <w:color w:val="auto"/>
              </w:rPr>
              <w:t>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Fortissimo Capital Fund II (GP), L.P.</w:t>
            </w:r>
          </w:p>
        </w:tc>
        <w:tc>
          <w:tcPr>
            <w:tcW w:w="5080" w:type="dxa"/>
            <w:vAlign w:val="bottom"/>
            <w:gridSpan w:val="4"/>
            <w:shd w:val="clear" w:color="auto" w:fill="CCEEFF"/>
          </w:tcPr>
          <w:p>
            <w:pPr>
              <w:jc w:val="right"/>
              <w:ind w:right="120"/>
              <w:spacing w:after="0"/>
              <w:rPr>
                <w:sz w:val="20"/>
                <w:szCs w:val="20"/>
                <w:color w:val="auto"/>
              </w:rPr>
            </w:pPr>
            <w:r>
              <w:rPr>
                <w:rFonts w:ascii="Arial" w:cs="Arial" w:eastAsia="Arial" w:hAnsi="Arial"/>
                <w:sz w:val="19"/>
                <w:szCs w:val="19"/>
                <w:color w:val="auto"/>
              </w:rPr>
              <w:t>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9"/>
                <w:szCs w:val="19"/>
                <w:color w:val="auto"/>
              </w:rPr>
              <w:t>Fortissimo Capital 2 Management (GP) Ltd.</w:t>
            </w:r>
          </w:p>
        </w:tc>
        <w:tc>
          <w:tcPr>
            <w:tcW w:w="5080" w:type="dxa"/>
            <w:vAlign w:val="bottom"/>
            <w:gridSpan w:val="4"/>
            <w:shd w:val="clear" w:color="auto" w:fill="CCEEFF"/>
          </w:tcPr>
          <w:p>
            <w:pPr>
              <w:jc w:val="right"/>
              <w:ind w:right="120"/>
              <w:spacing w:after="0"/>
              <w:rPr>
                <w:sz w:val="20"/>
                <w:szCs w:val="20"/>
                <w:color w:val="auto"/>
              </w:rPr>
            </w:pPr>
            <w:r>
              <w:rPr>
                <w:rFonts w:ascii="Arial" w:cs="Arial" w:eastAsia="Arial" w:hAnsi="Arial"/>
                <w:sz w:val="19"/>
                <w:szCs w:val="19"/>
                <w:color w:val="auto"/>
              </w:rPr>
              <w:t>0**</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4"/>
          </w:tcPr>
          <w:p>
            <w:pPr>
              <w:jc w:val="right"/>
              <w:ind w:right="3260"/>
              <w:spacing w:after="0"/>
              <w:rPr>
                <w:sz w:val="20"/>
                <w:szCs w:val="20"/>
                <w:color w:val="auto"/>
              </w:rPr>
            </w:pPr>
            <w:r>
              <w:rPr>
                <w:rFonts w:ascii="Arial" w:cs="Arial" w:eastAsia="Arial" w:hAnsi="Arial"/>
                <w:sz w:val="19"/>
                <w:szCs w:val="19"/>
                <w:color w:val="auto"/>
              </w:rPr>
              <w:t>Page 6 of 8 pages</w:t>
            </w:r>
          </w:p>
        </w:tc>
        <w:tc>
          <w:tcPr>
            <w:tcW w:w="1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692" w:right="120" w:bottom="1440" w:gutter="0" w:footer="0" w:header="0"/>
        </w:sectPr>
      </w:pPr>
    </w:p>
    <w:bookmarkStart w:id="6" w:name="page7"/>
    <w:bookmarkEnd w:id="6"/>
    <w:p>
      <w:pPr>
        <w:ind w:left="6" w:right="260" w:hanging="6"/>
        <w:spacing w:after="0" w:line="275" w:lineRule="auto"/>
        <w:tabs>
          <w:tab w:leader="none" w:pos="145"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This Amendment No. 2 to Schedule 13G is filed jointly by the Fortissimo Entities acting as a “group” within the meaning of Rule 13d-5(b)(1) under the Exchange Act, pursuant to the Joint Filing Agreement.</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19"/>
          <w:szCs w:val="19"/>
          <w:color w:val="auto"/>
        </w:rPr>
        <w:t>**FF II is the registered owner of the Ordinary Shares of the Issuer.</w:t>
      </w:r>
    </w:p>
    <w:p>
      <w:pPr>
        <w:spacing w:after="0" w:line="238" w:lineRule="exact"/>
        <w:rPr>
          <w:sz w:val="20"/>
          <w:szCs w:val="20"/>
          <w:color w:val="auto"/>
        </w:rPr>
      </w:pPr>
    </w:p>
    <w:p>
      <w:pPr>
        <w:ind w:left="6" w:right="20" w:firstLine="342"/>
        <w:spacing w:after="0" w:line="288" w:lineRule="auto"/>
        <w:rPr>
          <w:sz w:val="20"/>
          <w:szCs w:val="20"/>
          <w:color w:val="auto"/>
        </w:rPr>
      </w:pPr>
      <w:r>
        <w:rPr>
          <w:rFonts w:ascii="Arial" w:cs="Arial" w:eastAsia="Arial" w:hAnsi="Arial"/>
          <w:sz w:val="17"/>
          <w:szCs w:val="17"/>
          <w:color w:val="auto"/>
        </w:rPr>
        <w:t>FFC GP, in its capacity of being the sole general partner of FF II, controls and manages FF II. Accordingly, FF II GP is the beneficial owner of the Ordinary Shares held by FF II. FF II GP, in its capacity as the general partner of FF II, has the voting and dispositive power over the Ordinary Shares held by</w:t>
      </w:r>
    </w:p>
    <w:p>
      <w:pPr>
        <w:ind w:left="266" w:hanging="266"/>
        <w:spacing w:after="0"/>
        <w:tabs>
          <w:tab w:leader="none" w:pos="266" w:val="left"/>
        </w:tabs>
        <w:numPr>
          <w:ilvl w:val="0"/>
          <w:numId w:val="20"/>
        </w:numPr>
        <w:rPr>
          <w:rFonts w:ascii="Arial" w:cs="Arial" w:eastAsia="Arial" w:hAnsi="Arial"/>
          <w:sz w:val="19"/>
          <w:szCs w:val="19"/>
          <w:color w:val="auto"/>
        </w:rPr>
      </w:pPr>
      <w:r>
        <w:rPr>
          <w:rFonts w:ascii="Arial" w:cs="Arial" w:eastAsia="Arial" w:hAnsi="Arial"/>
          <w:sz w:val="19"/>
          <w:szCs w:val="19"/>
          <w:color w:val="auto"/>
        </w:rPr>
        <w:t>II. FF II GP may be deemed to be the indirect beneficial owner of the Ordinary Shares held by FF II.</w:t>
      </w:r>
    </w:p>
    <w:p>
      <w:pPr>
        <w:spacing w:after="0" w:line="224" w:lineRule="exact"/>
        <w:rPr>
          <w:rFonts w:ascii="Arial" w:cs="Arial" w:eastAsia="Arial" w:hAnsi="Arial"/>
          <w:sz w:val="19"/>
          <w:szCs w:val="19"/>
          <w:color w:val="auto"/>
        </w:rPr>
      </w:pPr>
    </w:p>
    <w:p>
      <w:pPr>
        <w:ind w:left="6" w:right="260" w:firstLine="342"/>
        <w:spacing w:after="0" w:line="284" w:lineRule="auto"/>
        <w:rPr>
          <w:rFonts w:ascii="Arial" w:cs="Arial" w:eastAsia="Arial" w:hAnsi="Arial"/>
          <w:sz w:val="19"/>
          <w:szCs w:val="19"/>
          <w:color w:val="auto"/>
        </w:rPr>
      </w:pPr>
      <w:r>
        <w:rPr>
          <w:rFonts w:ascii="Arial" w:cs="Arial" w:eastAsia="Arial" w:hAnsi="Arial"/>
          <w:sz w:val="18"/>
          <w:szCs w:val="18"/>
          <w:color w:val="auto"/>
        </w:rPr>
        <w:t>FF II MGMT, in its capacity as being the sole general partner of FF II GP, controls and manages FF II GP. FF II MGMT, in its capacity as the general partner of FF II GP, has the voting and dispositive power over the Ordinary Shares beneficially owned by FF II GP. Accordingly, FF II MGMT may be deemed to be the indirect beneficial owner of the Ordinary Shares deemed to be indirectly and beneficially owned by FF II GP.</w:t>
      </w:r>
    </w:p>
    <w:p>
      <w:pPr>
        <w:spacing w:after="0" w:line="172" w:lineRule="exact"/>
        <w:rPr>
          <w:sz w:val="20"/>
          <w:szCs w:val="20"/>
          <w:color w:val="auto"/>
        </w:rPr>
      </w:pPr>
    </w:p>
    <w:p>
      <w:pPr>
        <w:ind w:left="166"/>
        <w:spacing w:after="0"/>
        <w:rPr>
          <w:sz w:val="20"/>
          <w:szCs w:val="20"/>
          <w:color w:val="auto"/>
        </w:rPr>
      </w:pPr>
      <w:r>
        <w:rPr>
          <w:rFonts w:ascii="Arial" w:cs="Arial" w:eastAsia="Arial" w:hAnsi="Arial"/>
          <w:sz w:val="19"/>
          <w:szCs w:val="19"/>
          <w:b w:val="1"/>
          <w:bCs w:val="1"/>
          <w:color w:val="auto"/>
        </w:rPr>
        <w:t>Item 5. Ownership of Five Percent or Less of a Class</w:t>
      </w:r>
    </w:p>
    <w:p>
      <w:pPr>
        <w:spacing w:after="0" w:line="29" w:lineRule="exact"/>
        <w:rPr>
          <w:sz w:val="20"/>
          <w:szCs w:val="20"/>
          <w:color w:val="auto"/>
        </w:rPr>
      </w:pPr>
    </w:p>
    <w:p>
      <w:pPr>
        <w:ind w:left="546" w:hanging="176"/>
        <w:spacing w:after="0"/>
        <w:tabs>
          <w:tab w:leader="none" w:pos="546"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YES</w:t>
      </w:r>
    </w:p>
    <w:p>
      <w:pPr>
        <w:spacing w:after="0" w:line="219" w:lineRule="exact"/>
        <w:rPr>
          <w:sz w:val="20"/>
          <w:szCs w:val="20"/>
          <w:color w:val="auto"/>
        </w:rPr>
      </w:pPr>
    </w:p>
    <w:p>
      <w:pPr>
        <w:ind w:left="106"/>
        <w:spacing w:after="0"/>
        <w:rPr>
          <w:sz w:val="20"/>
          <w:szCs w:val="20"/>
          <w:color w:val="auto"/>
        </w:rPr>
      </w:pPr>
      <w:r>
        <w:rPr>
          <w:rFonts w:ascii="Arial" w:cs="Arial" w:eastAsia="Arial" w:hAnsi="Arial"/>
          <w:sz w:val="19"/>
          <w:szCs w:val="19"/>
          <w:b w:val="1"/>
          <w:bCs w:val="1"/>
          <w:color w:val="auto"/>
        </w:rPr>
        <w:t>Item 6. Ownership of More than Five Percent on Behalf of Another Person.</w:t>
      </w:r>
    </w:p>
    <w:p>
      <w:pPr>
        <w:spacing w:after="0" w:line="244" w:lineRule="exact"/>
        <w:rPr>
          <w:sz w:val="20"/>
          <w:szCs w:val="20"/>
          <w:color w:val="auto"/>
        </w:rPr>
      </w:pPr>
    </w:p>
    <w:p>
      <w:pPr>
        <w:ind w:left="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746" w:right="280" w:hanging="683"/>
        <w:spacing w:after="0" w:line="282" w:lineRule="auto"/>
        <w:rPr>
          <w:sz w:val="20"/>
          <w:szCs w:val="20"/>
          <w:color w:val="auto"/>
        </w:rPr>
      </w:pPr>
      <w:r>
        <w:rPr>
          <w:rFonts w:ascii="Arial" w:cs="Arial" w:eastAsia="Arial" w:hAnsi="Arial"/>
          <w:sz w:val="19"/>
          <w:szCs w:val="19"/>
          <w:b w:val="1"/>
          <w:bCs w:val="1"/>
          <w:color w:val="auto"/>
        </w:rPr>
        <w:t>Item 7. Identification and Classification of the Subsidiary Which Acquired the Security Being Reported on By the Parent Holding Company or Control Person</w:t>
      </w:r>
    </w:p>
    <w:p>
      <w:pPr>
        <w:spacing w:after="0" w:line="177" w:lineRule="exact"/>
        <w:rPr>
          <w:sz w:val="20"/>
          <w:szCs w:val="20"/>
          <w:color w:val="auto"/>
        </w:rPr>
      </w:pPr>
    </w:p>
    <w:p>
      <w:pPr>
        <w:ind w:left="36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126"/>
        <w:spacing w:after="0"/>
        <w:rPr>
          <w:sz w:val="20"/>
          <w:szCs w:val="20"/>
          <w:color w:val="auto"/>
        </w:rPr>
      </w:pPr>
      <w:r>
        <w:rPr>
          <w:rFonts w:ascii="Arial" w:cs="Arial" w:eastAsia="Arial" w:hAnsi="Arial"/>
          <w:sz w:val="19"/>
          <w:szCs w:val="19"/>
          <w:b w:val="1"/>
          <w:bCs w:val="1"/>
          <w:color w:val="auto"/>
        </w:rPr>
        <w:t>Item 8. Identification and Classification of Members of the Group</w:t>
      </w:r>
    </w:p>
    <w:p>
      <w:pPr>
        <w:spacing w:after="0" w:line="244" w:lineRule="exact"/>
        <w:rPr>
          <w:sz w:val="20"/>
          <w:szCs w:val="20"/>
          <w:color w:val="auto"/>
        </w:rPr>
      </w:pPr>
    </w:p>
    <w:p>
      <w:pPr>
        <w:ind w:left="6" w:firstLine="342"/>
        <w:spacing w:after="0" w:line="275" w:lineRule="auto"/>
        <w:rPr>
          <w:sz w:val="20"/>
          <w:szCs w:val="20"/>
          <w:color w:val="auto"/>
        </w:rPr>
      </w:pPr>
      <w:r>
        <w:rPr>
          <w:rFonts w:ascii="Arial" w:cs="Arial" w:eastAsia="Arial" w:hAnsi="Arial"/>
          <w:sz w:val="19"/>
          <w:szCs w:val="19"/>
          <w:color w:val="auto"/>
        </w:rPr>
        <w:t>See the Joint Filing Agreement attached as Exhibit 1 to Schedule 13G filed by the Reporting Persons on February 18, 2016, which is incorporated herein by reference</w:t>
      </w:r>
      <w:r>
        <w:rPr>
          <w:rFonts w:ascii="Arial" w:cs="Arial" w:eastAsia="Arial" w:hAnsi="Arial"/>
          <w:sz w:val="19"/>
          <w:szCs w:val="19"/>
          <w:b w:val="1"/>
          <w:bCs w:val="1"/>
          <w:color w:val="auto"/>
        </w:rPr>
        <w:t>.</w:t>
      </w:r>
    </w:p>
    <w:p>
      <w:pPr>
        <w:spacing w:after="0" w:line="178" w:lineRule="exact"/>
        <w:rPr>
          <w:sz w:val="20"/>
          <w:szCs w:val="20"/>
          <w:color w:val="auto"/>
        </w:rPr>
      </w:pPr>
    </w:p>
    <w:p>
      <w:pPr>
        <w:ind w:left="246"/>
        <w:spacing w:after="0"/>
        <w:rPr>
          <w:sz w:val="20"/>
          <w:szCs w:val="20"/>
          <w:color w:val="auto"/>
        </w:rPr>
      </w:pPr>
      <w:r>
        <w:rPr>
          <w:rFonts w:ascii="Arial" w:cs="Arial" w:eastAsia="Arial" w:hAnsi="Arial"/>
          <w:sz w:val="19"/>
          <w:szCs w:val="19"/>
          <w:b w:val="1"/>
          <w:bCs w:val="1"/>
          <w:color w:val="auto"/>
        </w:rPr>
        <w:t>Item 9. Notice of Dissolution of Group</w:t>
      </w:r>
    </w:p>
    <w:p>
      <w:pPr>
        <w:spacing w:after="0" w:line="244" w:lineRule="exact"/>
        <w:rPr>
          <w:sz w:val="20"/>
          <w:szCs w:val="20"/>
          <w:color w:val="auto"/>
        </w:rPr>
      </w:pPr>
    </w:p>
    <w:p>
      <w:pPr>
        <w:ind w:left="346"/>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ind w:left="546"/>
        <w:spacing w:after="0"/>
        <w:rPr>
          <w:sz w:val="20"/>
          <w:szCs w:val="20"/>
          <w:color w:val="auto"/>
        </w:rPr>
      </w:pPr>
      <w:r>
        <w:rPr>
          <w:rFonts w:ascii="Arial" w:cs="Arial" w:eastAsia="Arial" w:hAnsi="Arial"/>
          <w:sz w:val="19"/>
          <w:szCs w:val="19"/>
          <w:b w:val="1"/>
          <w:bCs w:val="1"/>
          <w:color w:val="auto"/>
        </w:rPr>
        <w:t>Item 10.Certifications</w:t>
      </w:r>
    </w:p>
    <w:p>
      <w:pPr>
        <w:spacing w:after="0" w:line="244" w:lineRule="exact"/>
        <w:rPr>
          <w:sz w:val="20"/>
          <w:szCs w:val="20"/>
          <w:color w:val="auto"/>
        </w:rPr>
      </w:pPr>
    </w:p>
    <w:p>
      <w:pPr>
        <w:ind w:left="346"/>
        <w:spacing w:after="0"/>
        <w:rPr>
          <w:sz w:val="20"/>
          <w:szCs w:val="20"/>
          <w:color w:val="auto"/>
        </w:rPr>
      </w:pPr>
      <w:r>
        <w:rPr>
          <w:rFonts w:ascii="Arial" w:cs="Arial" w:eastAsia="Arial" w:hAnsi="Arial"/>
          <w:sz w:val="19"/>
          <w:szCs w:val="19"/>
          <w:color w:val="auto"/>
        </w:rPr>
        <w:t>Not Applicable</w:t>
      </w:r>
    </w:p>
    <w:p>
      <w:pPr>
        <w:spacing w:after="0" w:line="352" w:lineRule="exact"/>
        <w:rPr>
          <w:sz w:val="20"/>
          <w:szCs w:val="20"/>
          <w:color w:val="auto"/>
        </w:rPr>
      </w:pPr>
    </w:p>
    <w:p>
      <w:pPr>
        <w:jc w:val="center"/>
        <w:ind w:right="-45"/>
        <w:spacing w:after="0"/>
        <w:rPr>
          <w:sz w:val="20"/>
          <w:szCs w:val="20"/>
          <w:color w:val="auto"/>
        </w:rPr>
      </w:pPr>
      <w:r>
        <w:rPr>
          <w:rFonts w:ascii="Arial" w:cs="Arial" w:eastAsia="Arial" w:hAnsi="Arial"/>
          <w:sz w:val="19"/>
          <w:szCs w:val="19"/>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625080" cy="27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p>
      <w:pPr>
        <w:sectPr>
          <w:pgSz w:w="12240" w:h="15840" w:orient="portrait"/>
          <w:cols w:equalWidth="0" w:num="1">
            <w:col w:w="11966"/>
          </w:cols>
          <w:pgMar w:left="114" w:top="1155" w:right="160" w:bottom="1440" w:gutter="0" w:footer="0" w:header="0"/>
        </w:sectPr>
      </w:pPr>
    </w:p>
    <w:bookmarkStart w:id="7" w:name="page8"/>
    <w:bookmarkEnd w:id="7"/>
    <w:p>
      <w:pPr>
        <w:jc w:val="center"/>
        <w:spacing w:after="0"/>
        <w:rPr>
          <w:sz w:val="20"/>
          <w:szCs w:val="20"/>
          <w:color w:val="auto"/>
        </w:rPr>
      </w:pPr>
      <w:r>
        <w:rPr>
          <w:rFonts w:ascii="Arial" w:cs="Arial" w:eastAsia="Arial" w:hAnsi="Arial"/>
          <w:sz w:val="19"/>
          <w:szCs w:val="19"/>
          <w:b w:val="1"/>
          <w:bCs w:val="1"/>
          <w:u w:val="single" w:color="auto"/>
          <w:color w:val="auto"/>
        </w:rPr>
        <w:t>Exhibit Index</w:t>
      </w:r>
    </w:p>
    <w:p>
      <w:pPr>
        <w:spacing w:after="0" w:line="244" w:lineRule="exact"/>
        <w:rPr>
          <w:sz w:val="20"/>
          <w:szCs w:val="20"/>
          <w:color w:val="auto"/>
        </w:rPr>
      </w:pPr>
    </w:p>
    <w:p>
      <w:pPr>
        <w:ind w:left="840" w:hanging="840"/>
        <w:spacing w:after="0" w:line="257" w:lineRule="auto"/>
        <w:rPr>
          <w:rFonts w:ascii="Arial" w:cs="Arial" w:eastAsia="Arial" w:hAnsi="Arial"/>
          <w:sz w:val="19"/>
          <w:szCs w:val="19"/>
          <w:u w:val="single" w:color="auto"/>
          <w:color w:val="0000EE"/>
        </w:rPr>
      </w:pPr>
      <w:hyperlink r:id="rId46">
        <w:r>
          <w:rPr>
            <w:rFonts w:ascii="Arial" w:cs="Arial" w:eastAsia="Arial" w:hAnsi="Arial"/>
            <w:sz w:val="19"/>
            <w:szCs w:val="19"/>
            <w:u w:val="single" w:color="auto"/>
            <w:color w:val="0000EE"/>
          </w:rPr>
          <w:t>Exhibit 1. Joint Filing Agreement as required by Rule 13d-1(k)(1) under the Securities Exchange Act of 1934, as amended (filed as Exhibit 1 to the Schedule</w:t>
        </w:r>
      </w:hyperlink>
      <w:r>
        <w:rPr>
          <w:rFonts w:ascii="Arial" w:cs="Arial" w:eastAsia="Arial" w:hAnsi="Arial"/>
          <w:sz w:val="19"/>
          <w:szCs w:val="19"/>
          <w:u w:val="single" w:color="auto"/>
          <w:color w:val="0000EE"/>
        </w:rPr>
        <w:t xml:space="preserve"> </w:t>
      </w:r>
      <w:hyperlink r:id="rId46">
        <w:r>
          <w:rPr>
            <w:rFonts w:ascii="Arial" w:cs="Arial" w:eastAsia="Arial" w:hAnsi="Arial"/>
            <w:sz w:val="19"/>
            <w:szCs w:val="19"/>
            <w:u w:val="single" w:color="auto"/>
            <w:color w:val="0000EE"/>
          </w:rPr>
          <w:t>13G filed by the Reporting Persons on February 18, 2016).</w:t>
        </w:r>
      </w:hyperlink>
    </w:p>
    <w:p>
      <w:pPr>
        <w:spacing w:after="0" w:line="2"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Dated: March 14, 2019</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Fortissimo Capital Fund II (Israel) L.P.</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By its General Partner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Fortissimo Capital Fund II (GP), L.P.</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By its General Partner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Fortissimo Capital 2 Management (GP) Ltd.</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5769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57695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Yuval Cohen, Director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Fortissimo Capital Fund II (GP), L.P.</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By its General Partner: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Fortissimo Capital 2 Management (GP) Ltd.</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5769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57695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Yuval Cohen, Director</w:t>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Fortissimo Capital 2 Management (GP) Ltd.</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 Yuval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15240</wp:posOffset>
            </wp:positionV>
            <wp:extent cx="35769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576955" cy="8890"/>
                    </a:xfrm>
                    <a:prstGeom prst="rect">
                      <a:avLst/>
                    </a:prstGeom>
                    <a:noFill/>
                  </pic:spPr>
                </pic:pic>
              </a:graphicData>
            </a:graphic>
          </wp:anchor>
        </w:drawing>
      </w:r>
    </w:p>
    <w:p>
      <w:pPr>
        <w:spacing w:after="0" w:line="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Yuval Cohen, Director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62508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625080" cy="27305"/>
                    </a:xfrm>
                    <a:prstGeom prst="rect">
                      <a:avLst/>
                    </a:prstGeom>
                    <a:noFill/>
                  </pic:spPr>
                </pic:pic>
              </a:graphicData>
            </a:graphic>
          </wp:anchor>
        </w:drawing>
      </w:r>
    </w:p>
    <w:sectPr>
      <w:pgSz w:w="12240" w:h="15840" w:orient="portrait"/>
      <w:cols w:equalWidth="0" w:num="1">
        <w:col w:w="12000"/>
      </w:cols>
      <w:pgMar w:left="120" w:top="692"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lvl w:ilvl="1">
      <w:lvlJc w:val="left"/>
      <w:lvlText w:val="☒"/>
      <w:numFmt w:val="bullet"/>
      <w:start w:val="1"/>
    </w:lvl>
  </w:abstractNum>
  <w:abstractNum w:abstractNumId="4">
    <w:nsid w:val="3352255A"/>
    <w:multiLevelType w:val="hybridMultilevel"/>
    <w:lvl w:ilvl="0">
      <w:lvlJc w:val="left"/>
      <w:lvlText w:val="%1."/>
      <w:numFmt w:val="decimal"/>
      <w:start w:val="2"/>
    </w:lvl>
    <w:lvl w:ilvl="1">
      <w:lvlJc w:val="left"/>
      <w:lvlText w:val="☐"/>
      <w:numFmt w:val="bullet"/>
      <w:start w:val="1"/>
    </w:lvl>
  </w:abstractNum>
  <w:abstractNum w:abstractNumId="5">
    <w:nsid w:val="109CF92E"/>
    <w:multiLevelType w:val="hybridMultilevel"/>
    <w:lvl w:ilvl="0">
      <w:lvlJc w:val="left"/>
      <w:lvlText w:val="%1."/>
      <w:numFmt w:val="decimal"/>
      <w:start w:val="10"/>
    </w:lvl>
  </w:abstractNum>
  <w:abstractNum w:abstractNumId="6">
    <w:nsid w:val="DED7263"/>
    <w:multiLevelType w:val="hybridMultilevel"/>
    <w:lvl w:ilvl="0">
      <w:lvlJc w:val="left"/>
      <w:lvlText w:val="*"/>
      <w:numFmt w:val="bullet"/>
      <w:start w:val="1"/>
    </w:lvl>
    <w:lvl w:ilvl="1">
      <w:lvlJc w:val="left"/>
      <w:lvlText w:val="%2."/>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2"/>
    </w:lvl>
    <w:lvl w:ilvl="1">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2."/>
      <w:numFmt w:val="decimal"/>
      <w:start w:val="1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2"/>
    </w:lvl>
    <w:lvl w:ilvl="1">
      <w:lvlJc w:val="left"/>
      <w:lvlText w:val="☒"/>
      <w:numFmt w:val="bullet"/>
      <w:start w:val="1"/>
    </w:lvl>
  </w:abstractNum>
  <w:abstractNum w:abstractNumId="13">
    <w:nsid w:val="519B500D"/>
    <w:multiLevelType w:val="hybridMultilevel"/>
    <w:lvl w:ilvl="0">
      <w:lvlJc w:val="left"/>
      <w:lvlText w:val="%1."/>
      <w:numFmt w:val="decimal"/>
      <w:start w:val="2"/>
    </w:lvl>
    <w:lvl w:ilvl="1">
      <w:lvlJc w:val="left"/>
      <w:lvlText w:val="☐"/>
      <w:numFmt w:val="bullet"/>
      <w:start w:val="1"/>
    </w:lvl>
  </w:abstractNum>
  <w:abstractNum w:abstractNumId="14">
    <w:nsid w:val="431BD7B7"/>
    <w:multiLevelType w:val="hybridMultilevel"/>
    <w:lvl w:ilvl="0">
      <w:lvlJc w:val="left"/>
      <w:lvlText w:val="*"/>
      <w:numFmt w:val="bullet"/>
      <w:start w:val="1"/>
    </w:lvl>
    <w:lvl w:ilvl="1">
      <w:lvlJc w:val="left"/>
      <w:lvlText w:val="%2."/>
      <w:numFmt w:val="decimal"/>
      <w:start w:val="12"/>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5"/>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upperLetter"/>
      <w:start w:val="32"/>
    </w:lvl>
    <w:lvl w:ilvl="1">
      <w:lvlJc w:val="left"/>
      <w:lvlText w:val="%2"/>
      <w:numFmt w:val="upperLetter"/>
      <w:start w:val="1"/>
    </w:lvl>
  </w:abstractNum>
  <w:abstractNum w:abstractNumId="20">
    <w:nsid w:val="628C895D"/>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46" Type="http://schemas.openxmlformats.org/officeDocument/2006/relationships/hyperlink" Target="http://www.sec.gov/Archives/edgar/data/1625791/000161577416004245/s102645_sc13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2019-12-15T19:16:47Z</dcterms:created>
  <dcterms:modified xsi:type="dcterms:W3CDTF">2019-12-15T19:16:47Z</dcterms:modified>
</cp:coreProperties>
</file>