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September 2024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001-36903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12 Ha’Amal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Park Afek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4824096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9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Annual Shareholder Meeting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scheduled, Kornit Digital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Kornit</w:t>
      </w:r>
      <w:r>
        <w:rPr>
          <w:rFonts w:ascii="Times New Roman" w:cs="Times New Roman" w:eastAsia="Times New Roman" w:hAnsi="Times New Roman"/>
          <w:sz w:val="18"/>
          <w:szCs w:val="18"/>
          <w:color w:val="auto"/>
        </w:rPr>
        <w:t>”) held its 2024 annual general meeting of shareholders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at</w:t>
      </w:r>
    </w:p>
    <w:p>
      <w:pPr>
        <w:spacing w:after="0" w:line="31"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18"/>
          <w:szCs w:val="18"/>
          <w:color w:val="auto"/>
        </w:rPr>
        <w:t>3:00 p.m., Israel time, on August 29, 2024, at Kornit’s offices at 12 Ha’Amal Street, Park Afek, Rosh Ha’Ayin, Israel. At the Annual Meeting, the Company’s shareholders voted on two proposals, which are listed below and which were described in more detail in the Company’s notice and proxy statement for the Annual Meeting, which were attached as Exhibit 99.1 to the Report of Foreign Private Issuer on Form 6-K (a “</w:t>
      </w:r>
      <w:r>
        <w:rPr>
          <w:rFonts w:ascii="Times New Roman" w:cs="Times New Roman" w:eastAsia="Times New Roman" w:hAnsi="Times New Roman"/>
          <w:sz w:val="18"/>
          <w:szCs w:val="18"/>
          <w:b w:val="1"/>
          <w:bCs w:val="1"/>
          <w:color w:val="auto"/>
        </w:rPr>
        <w:t>Form 6-K</w:t>
      </w:r>
      <w:r>
        <w:rPr>
          <w:rFonts w:ascii="Times New Roman" w:cs="Times New Roman" w:eastAsia="Times New Roman" w:hAnsi="Times New Roman"/>
          <w:sz w:val="18"/>
          <w:szCs w:val="18"/>
          <w:color w:val="auto"/>
        </w:rPr>
        <w:t>”) that the Company furnished to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July 24, 2024.</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on the presence in person or by proxy at the Annual Meeting of 32,171,581, or 67.66%, of the Company’s 47,551,899 outstanding ordinary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par value 0.01 New Israeli Shekels per share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as of the July 23, 2024 record date for the Annual Meeting, constituting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the minimum percentage of outstanding shares (25%) required for a quorum under the Company’s Articles of Association,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each of the following two proposals (and, as applicable, sub-proposals thereof) was approved by the requisite majority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under the Israeli Companies Law, 5759-1999 (the “</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and the Articles, based on the tallies of votes specified below:</w:t>
      </w:r>
    </w:p>
    <w:p>
      <w:pPr>
        <w:spacing w:after="0" w:line="207" w:lineRule="exact"/>
        <w:rPr>
          <w:sz w:val="20"/>
          <w:szCs w:val="20"/>
          <w:color w:val="auto"/>
        </w:rPr>
      </w:pPr>
    </w:p>
    <w:p>
      <w:pPr>
        <w:ind w:left="340" w:right="18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Re-election of each of Yuval Cohen, Stephen Nigro and Ronen Samuel for a three-year term as a Class III director of the Company, until the Company’s annual general meeting of shareholders in 2027 and until his successor is duly elected and qualified (majority needed for election of each director nominee: ordinary majority of votes cast, excluding abstentions):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Director Nominee</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Votes in Favor</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7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Yuval Cohen</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30,059,707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2,088,190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Nigro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31,167,833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980,053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23,695</w:t>
            </w:r>
          </w:p>
        </w:tc>
      </w:tr>
      <w:tr>
        <w:trPr>
          <w:trHeight w:val="216"/>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Ronen Samuel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29,096,296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3,051,589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23,695</w:t>
            </w:r>
          </w:p>
        </w:tc>
      </w:tr>
    </w:tbl>
    <w:p>
      <w:pPr>
        <w:spacing w:after="0" w:line="198" w:lineRule="exact"/>
        <w:rPr>
          <w:sz w:val="20"/>
          <w:szCs w:val="20"/>
          <w:color w:val="auto"/>
        </w:rPr>
      </w:pPr>
    </w:p>
    <w:p>
      <w:pPr>
        <w:ind w:left="340" w:right="160" w:hanging="332"/>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Re-appointment of Kost Forer Gabbay &amp; Kasierer, registered public accounting firm, a member firm of Ernst &amp; Young Global, as the Company’s independent registered public accounting firm for the year ending December 31, 2024 and the additional period until the Company’s 2025 annual general meeting of shareholders, and authorization of the Company’s board of directors (or the audit committee thereof) to fix such accounting firm’s annual compensation (majority needed for approval: ordinary majority of votes cast, excluding abstentions):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in Favor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62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31,911,680.</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7,339</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252,562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 by Reference</w:t>
      </w:r>
    </w:p>
    <w:p>
      <w:pPr>
        <w:spacing w:after="0" w:line="229" w:lineRule="exact"/>
        <w:rPr>
          <w:sz w:val="20"/>
          <w:szCs w:val="20"/>
          <w:color w:val="auto"/>
        </w:rPr>
      </w:pPr>
    </w:p>
    <w:p>
      <w:pPr>
        <w:ind w:right="140" w:firstLine="63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contents of this Form 6-K are hereby incorporated by reference into the Proxy Statement and into the Company’s Registration Statements on Form S-8 (File No.’s </w:t>
      </w:r>
      <w:hyperlink r:id="rId13">
        <w:r>
          <w:rPr>
            <w:rFonts w:ascii="Times New Roman" w:cs="Times New Roman" w:eastAsia="Times New Roman" w:hAnsi="Times New Roman"/>
            <w:sz w:val="18"/>
            <w:szCs w:val="18"/>
            <w:u w:val="single" w:color="auto"/>
            <w:color w:val="0000EE"/>
          </w:rPr>
          <w:t>333-203970</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333-214015</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333-217039</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EE"/>
          </w:rPr>
          <w:t>333-223794</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333-230567</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333-237346</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333-254749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0">
        <w:r>
          <w:rPr>
            <w:rFonts w:ascii="Times New Roman" w:cs="Times New Roman" w:eastAsia="Times New Roman" w:hAnsi="Times New Roman"/>
            <w:sz w:val="18"/>
            <w:szCs w:val="18"/>
            <w:u w:val="single" w:color="auto"/>
            <w:color w:val="0000EE"/>
          </w:rPr>
          <w:t>333-263975</w:t>
        </w:r>
      </w:hyperlink>
      <w:r>
        <w:rPr>
          <w:rFonts w:ascii="Times New Roman" w:cs="Times New Roman" w:eastAsia="Times New Roman" w:hAnsi="Times New Roman"/>
          <w:sz w:val="18"/>
          <w:szCs w:val="18"/>
          <w:color w:val="auto"/>
        </w:rPr>
        <w:t>).</w:t>
      </w:r>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25"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September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Lauri Hanover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13" Type="http://schemas.openxmlformats.org/officeDocument/2006/relationships/hyperlink" Target="http://www.sec.gov/Archives/edgar/data/1625791/000161577415000908/s101052_forms8.htm" TargetMode="External"/><Relationship Id="rId14" Type="http://schemas.openxmlformats.org/officeDocument/2006/relationships/hyperlink" Target="http://www.sec.gov/Archives/edgar/data/1625791/000121390016017339/fs82016_kornitdigital.htm" TargetMode="External"/><Relationship Id="rId15" Type="http://schemas.openxmlformats.org/officeDocument/2006/relationships/hyperlink" Target="http://www.sec.gov/Archives/edgar/data/1625791/000121390017003012/fs82017_kornitdigital.htm" TargetMode="External"/><Relationship Id="rId16" Type="http://schemas.openxmlformats.org/officeDocument/2006/relationships/hyperlink" Target="http://www.sec.gov/Archives/edgar/data/1625791/000121390018003205/fs82018_kornitdigital.htm" TargetMode="External"/><Relationship Id="rId17" Type="http://schemas.openxmlformats.org/officeDocument/2006/relationships/hyperlink" Target="http://www.sec.gov/Archives/edgar/data/1625791/000121390019005079/fs82019_kornitdigitalltd.htm" TargetMode="External"/><Relationship Id="rId18" Type="http://schemas.openxmlformats.org/officeDocument/2006/relationships/hyperlink" Target="http://www.sec.gov/Archives/edgar/data/1625791/000121390020007116/ea119827-s8_kornitdigital.htm" TargetMode="External"/><Relationship Id="rId19" Type="http://schemas.openxmlformats.org/officeDocument/2006/relationships/hyperlink" Target="http://www.sec.gov/Archives/edgar/data/1625791/000121390021017777/ea138332-s8_kornitdigital.htm" TargetMode="External"/><Relationship Id="rId20" Type="http://schemas.openxmlformats.org/officeDocument/2006/relationships/hyperlink" Target="http://www.sec.gov/Archives/edgar/data/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2024-09-09T05:17:30Z</dcterms:created>
  <dcterms:modified xsi:type="dcterms:W3CDTF">2024-09-09T05:17:30Z</dcterms:modified>
</cp:coreProperties>
</file>