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SD</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2945130</wp:posOffset>
            </wp:positionH>
            <wp:positionV relativeFrom="paragraph">
              <wp:posOffset>142875</wp:posOffset>
            </wp:positionV>
            <wp:extent cx="1259840" cy="771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59840" cy="771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Kornit Digital Ltd</w:t>
      </w:r>
      <w:r>
        <w:rPr>
          <w:rFonts w:ascii="Times New Roman" w:cs="Times New Roman" w:eastAsia="Times New Roman" w:hAnsi="Times New Roman"/>
          <w:sz w:val="21"/>
          <w:szCs w:val="21"/>
          <w:color w:val="auto"/>
        </w:rPr>
        <w: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540" w:type="dxa"/>
            <w:vAlign w:val="bottom"/>
            <w:gridSpan w:val="3"/>
          </w:tcPr>
          <w:p>
            <w:pPr>
              <w:jc w:val="center"/>
              <w:ind w:right="900"/>
              <w:spacing w:after="0"/>
              <w:rPr>
                <w:sz w:val="20"/>
                <w:szCs w:val="20"/>
                <w:color w:val="auto"/>
              </w:rPr>
            </w:pPr>
            <w:r>
              <w:rPr>
                <w:rFonts w:ascii="Times New Roman" w:cs="Times New Roman" w:eastAsia="Times New Roman" w:hAnsi="Times New Roman"/>
                <w:sz w:val="18"/>
                <w:szCs w:val="18"/>
                <w:b w:val="1"/>
                <w:bCs w:val="1"/>
                <w:color w:val="auto"/>
                <w:w w:val="99"/>
              </w:rPr>
              <w:t>Israel</w:t>
            </w:r>
          </w:p>
        </w:tc>
        <w:tc>
          <w:tcPr>
            <w:tcW w:w="2900" w:type="dxa"/>
            <w:vAlign w:val="bottom"/>
            <w:gridSpan w:val="3"/>
          </w:tcPr>
          <w:p>
            <w:pPr>
              <w:jc w:val="right"/>
              <w:ind w:right="1420"/>
              <w:spacing w:after="0"/>
              <w:rPr>
                <w:sz w:val="20"/>
                <w:szCs w:val="20"/>
                <w:color w:val="auto"/>
              </w:rPr>
            </w:pPr>
            <w:r>
              <w:rPr>
                <w:rFonts w:ascii="Times New Roman" w:cs="Times New Roman" w:eastAsia="Times New Roman" w:hAnsi="Times New Roman"/>
                <w:sz w:val="18"/>
                <w:szCs w:val="18"/>
                <w:b w:val="1"/>
                <w:bCs w:val="1"/>
                <w:color w:val="auto"/>
              </w:rPr>
              <w:t>001-36903</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(State or other jurisdiction of</w:t>
            </w:r>
          </w:p>
        </w:tc>
        <w:tc>
          <w:tcPr>
            <w:tcW w:w="220" w:type="dxa"/>
            <w:vAlign w:val="bottom"/>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c>
          <w:tcPr>
            <w:tcW w:w="2900" w:type="dxa"/>
            <w:vAlign w:val="bottom"/>
            <w:tcBorders>
              <w:top w:val="single" w:sz="8" w:color="auto"/>
            </w:tcBorders>
            <w:gridSpan w:val="3"/>
          </w:tcPr>
          <w:p>
            <w:pPr>
              <w:jc w:val="center"/>
              <w:ind w:right="70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234"/>
        </w:trPr>
        <w:tc>
          <w:tcPr>
            <w:tcW w:w="454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color w:val="auto"/>
              </w:rPr>
              <w:t>incorporation or organization)</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53"/>
        </w:trPr>
        <w:tc>
          <w:tcPr>
            <w:tcW w:w="4540" w:type="dxa"/>
            <w:vAlign w:val="bottom"/>
            <w:tcBorders>
              <w:bottom w:val="single" w:sz="8" w:color="auto"/>
            </w:tcBorders>
            <w:gridSpan w:val="3"/>
          </w:tcPr>
          <w:p>
            <w:pPr>
              <w:jc w:val="center"/>
              <w:ind w:left="890"/>
              <w:spacing w:after="0"/>
              <w:rPr>
                <w:sz w:val="20"/>
                <w:szCs w:val="20"/>
                <w:color w:val="auto"/>
              </w:rPr>
            </w:pPr>
            <w:r>
              <w:rPr>
                <w:rFonts w:ascii="Times New Roman" w:cs="Times New Roman" w:eastAsia="Times New Roman" w:hAnsi="Times New Roman"/>
                <w:sz w:val="18"/>
                <w:szCs w:val="18"/>
                <w:b w:val="1"/>
                <w:bCs w:val="1"/>
                <w:color w:val="auto"/>
                <w:w w:val="99"/>
              </w:rPr>
              <w:t>12 Ha`Amal St., Afek Park, Rosh-Ha`Ayin</w:t>
            </w:r>
          </w:p>
        </w:tc>
        <w:tc>
          <w:tcPr>
            <w:tcW w:w="9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tcPr>
          <w:p>
            <w:pPr>
              <w:jc w:val="right"/>
              <w:ind w:right="2350"/>
              <w:spacing w:after="0"/>
              <w:rPr>
                <w:sz w:val="20"/>
                <w:szCs w:val="20"/>
                <w:color w:val="auto"/>
              </w:rPr>
            </w:pPr>
            <w:r>
              <w:rPr>
                <w:rFonts w:ascii="Times New Roman" w:cs="Times New Roman" w:eastAsia="Times New Roman" w:hAnsi="Times New Roman"/>
                <w:sz w:val="18"/>
                <w:szCs w:val="18"/>
                <w:b w:val="1"/>
                <w:bCs w:val="1"/>
                <w:color w:val="auto"/>
              </w:rPr>
              <w:t>4809246</w:t>
            </w:r>
          </w:p>
        </w:tc>
      </w:tr>
      <w:tr>
        <w:trPr>
          <w:trHeight w:val="234"/>
        </w:trPr>
        <w:tc>
          <w:tcPr>
            <w:tcW w:w="4540" w:type="dxa"/>
            <w:vAlign w:val="bottom"/>
            <w:gridSpan w:val="3"/>
          </w:tcPr>
          <w:p>
            <w:pPr>
              <w:jc w:val="center"/>
              <w:ind w:left="8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bl>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Lauri Hanover, Chief Financial Officer, +97235148777</w:t>
      </w:r>
    </w:p>
    <w:p>
      <w:pPr>
        <w:spacing w:after="0" w:line="31" w:lineRule="exact"/>
        <w:rPr>
          <w:sz w:val="24"/>
          <w:szCs w:val="24"/>
          <w:color w:val="auto"/>
        </w:rPr>
      </w:pPr>
    </w:p>
    <w:p>
      <w:pPr>
        <w:ind w:left="1820"/>
        <w:spacing w:after="0"/>
        <w:rPr>
          <w:sz w:val="20"/>
          <w:szCs w:val="20"/>
          <w:color w:val="auto"/>
        </w:rPr>
      </w:pPr>
      <w:r>
        <w:rPr>
          <w:rFonts w:ascii="Times New Roman" w:cs="Times New Roman" w:eastAsia="Times New Roman" w:hAnsi="Times New Roman"/>
          <w:sz w:val="18"/>
          <w:szCs w:val="18"/>
          <w:color w:val="auto"/>
        </w:rPr>
        <w:t>(Name and telephone number, including area code, of the person to contact in connection with this report)</w:t>
      </w:r>
    </w:p>
    <w:p>
      <w:pPr>
        <w:spacing w:after="0" w:line="20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w:t>
      </w:r>
    </w:p>
    <w:p>
      <w:pPr>
        <w:spacing w:after="0" w:line="225" w:lineRule="exact"/>
        <w:rPr>
          <w:sz w:val="24"/>
          <w:szCs w:val="24"/>
          <w:color w:val="auto"/>
        </w:rPr>
      </w:pPr>
    </w:p>
    <w:p>
      <w:pPr>
        <w:ind w:left="220" w:hanging="215"/>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626110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Section 1- Conflict Minerals Disclosures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Kornit Digital Ltd.’s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Conflict Minerals Report is provided as Exhibit 1.01 to this Form SD and is publicly available at:</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http://www.kornit.com/conflict-minerals-policy/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The contents of the website referred to in this Form SD is included for general information only and is not incorporated by reference in this Form SD.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filed its Conflict Minerals Report as Exhibit 1.01 hereto as required by Item 1.01 of Form SD.</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Exhibits</w:t>
      </w:r>
    </w:p>
    <w:p>
      <w:pPr>
        <w:spacing w:after="0" w:line="229" w:lineRule="exact"/>
        <w:rPr>
          <w:sz w:val="20"/>
          <w:szCs w:val="20"/>
          <w:color w:val="auto"/>
        </w:rPr>
      </w:pPr>
    </w:p>
    <w:p>
      <w:pPr>
        <w:spacing w:after="0"/>
        <w:tabs>
          <w:tab w:leader="none" w:pos="1240" w:val="left"/>
        </w:tabs>
        <w:rPr>
          <w:sz w:val="20"/>
          <w:szCs w:val="20"/>
          <w:color w:val="auto"/>
        </w:rPr>
      </w:pPr>
      <w:r>
        <w:rPr>
          <w:rFonts w:ascii="Times New Roman" w:cs="Times New Roman" w:eastAsia="Times New Roman" w:hAnsi="Times New Roman"/>
          <w:sz w:val="18"/>
          <w:szCs w:val="18"/>
          <w:color w:val="auto"/>
        </w:rPr>
        <w:t>Exhibit 1.01 -</w:t>
      </w:r>
      <w:r>
        <w:rPr>
          <w:sz w:val="20"/>
          <w:szCs w:val="20"/>
          <w:color w:val="auto"/>
        </w:rPr>
        <w:tab/>
      </w:r>
      <w:r>
        <w:rPr>
          <w:rFonts w:ascii="Times New Roman" w:cs="Times New Roman" w:eastAsia="Times New Roman" w:hAnsi="Times New Roman"/>
          <w:sz w:val="17"/>
          <w:szCs w:val="17"/>
          <w:u w:val="single" w:color="auto"/>
          <w:color w:val="0000EE"/>
        </w:rPr>
        <w:t>Conflict Minerals Report is attached per Section 1 of this 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4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900" w:right="799" w:bottom="1440" w:gutter="0" w:footer="0" w:header="0"/>
        </w:sectPr>
      </w:pPr>
    </w:p>
    <w:bookmarkStart w:id="2" w:name="page3"/>
    <w:bookmarkEnd w:id="2"/>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u w:val="single" w:color="auto"/>
          <w:color w:val="auto"/>
        </w:rPr>
        <w:t>Kornit Digital Ltd.</w:t>
      </w:r>
    </w:p>
    <w:p>
      <w:pPr>
        <w:spacing w:after="0" w:line="2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i w:val="1"/>
          <w:iCs w:val="1"/>
          <w:color w:val="auto"/>
        </w:rPr>
        <w:t>(Registrant)</w:t>
      </w:r>
    </w:p>
    <w:p>
      <w:pPr>
        <w:spacing w:after="0" w:line="207"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Lauri Hanover</w:t>
      </w:r>
    </w:p>
    <w:p>
      <w:pPr>
        <w:spacing w:after="0" w:line="36"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Lauri Hanover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-127635</wp:posOffset>
            </wp:positionV>
            <wp:extent cx="249428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7"/>
          <w:szCs w:val="17"/>
          <w:color w:val="auto"/>
        </w:rPr>
        <w:t>May 20, 2025</w:t>
      </w:r>
    </w:p>
    <w:p>
      <w:pPr>
        <w:spacing w:after="0" w:line="200" w:lineRule="exact"/>
        <w:rPr>
          <w:sz w:val="20"/>
          <w:szCs w:val="20"/>
          <w:color w:val="auto"/>
        </w:rPr>
      </w:pPr>
    </w:p>
    <w:p>
      <w:pPr>
        <w:spacing w:after="0" w:line="2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40"/>
          </w:cols>
          <w:pgMar w:left="320" w:top="900" w:right="9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 of Kornit Digital Ltd.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w:t>
      </w:r>
    </w:p>
    <w:p>
      <w:pPr>
        <w:spacing w:after="0" w:line="229" w:lineRule="exact"/>
        <w:rPr>
          <w:sz w:val="20"/>
          <w:szCs w:val="20"/>
          <w:color w:val="auto"/>
        </w:rPr>
      </w:pPr>
    </w:p>
    <w:p>
      <w:pPr>
        <w:ind w:right="40" w:firstLine="648"/>
        <w:spacing w:after="0" w:line="282" w:lineRule="auto"/>
        <w:rPr>
          <w:sz w:val="20"/>
          <w:szCs w:val="20"/>
          <w:color w:val="auto"/>
        </w:rPr>
      </w:pPr>
      <w:r>
        <w:rPr>
          <w:rFonts w:ascii="Times New Roman" w:cs="Times New Roman" w:eastAsia="Times New Roman" w:hAnsi="Times New Roman"/>
          <w:sz w:val="18"/>
          <w:szCs w:val="18"/>
          <w:color w:val="auto"/>
        </w:rPr>
        <w:t>Kornit Digital Ltd. (“Kornit,” “we,” the “Company” or “our company”) develops, designs and markets innovative digital printing solutions for the global printed textile industry, with a major focus on the fashion, apparel and home décor segments of the industry.</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Our vision is to create a better world where everybody can bond, design and express their identities, one impression at a time.</w:t>
      </w:r>
    </w:p>
    <w:p>
      <w:pPr>
        <w:spacing w:after="0" w:line="225"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Our mission is to revolutionize the fast-changing industry by facilitating and expediting the transition from analog processes that have not evolved for decades and are not fit for the rapidly changing business models and self-disruption needs of the industry, to digital methods of garment, apparel and home decor finished goods production and decoration that address the contemporary supply, demand, social and environmental needs of the industry in which we operate.</w:t>
      </w:r>
    </w:p>
    <w:p>
      <w:pPr>
        <w:spacing w:after="0" w:line="180" w:lineRule="exact"/>
        <w:rPr>
          <w:sz w:val="20"/>
          <w:szCs w:val="20"/>
          <w:color w:val="auto"/>
        </w:rPr>
      </w:pPr>
    </w:p>
    <w:p>
      <w:pPr>
        <w:ind w:right="40" w:firstLine="648"/>
        <w:spacing w:after="0" w:line="255" w:lineRule="auto"/>
        <w:rPr>
          <w:sz w:val="20"/>
          <w:szCs w:val="20"/>
          <w:color w:val="auto"/>
        </w:rPr>
      </w:pPr>
      <w:r>
        <w:rPr>
          <w:rFonts w:ascii="Times New Roman" w:cs="Times New Roman" w:eastAsia="Times New Roman" w:hAnsi="Times New Roman"/>
          <w:sz w:val="18"/>
          <w:szCs w:val="18"/>
          <w:color w:val="auto"/>
        </w:rPr>
        <w:t>We focus on the rapidly growing high throughput, direct-to-garment, or DTG, and Direct-to-Fabric segments of the printed and decorated textile industry. Our solutions include our proprietary digital printing systems, ink and other consumables, associated software and value-added services that allow for printing large scale, short to medium runs, of complex images and designs directly on finished garments and fabrics. Our solutions address the growing production gaps reflected in the need to shift to shorter runs, proximity production, partial or full on-demand production, and microfactory models by enabling our customers to print and decorate high quality products in a time efficient, cost-effective and environmentally friendly manner. This allows textile manufacturers to transition from their traditional business and operating models of supply based on demand predictions, to partial or full on demand or made-to-order models, by which decoration of fabric and production of finished goods only takes place once a customer order has been issued.</w:t>
      </w:r>
    </w:p>
    <w:p>
      <w:pPr>
        <w:spacing w:after="0" w:line="189" w:lineRule="exact"/>
        <w:rPr>
          <w:sz w:val="20"/>
          <w:szCs w:val="20"/>
          <w:color w:val="auto"/>
        </w:rPr>
      </w:pPr>
    </w:p>
    <w:p>
      <w:pPr>
        <w:ind w:right="180" w:firstLine="648"/>
        <w:spacing w:after="0" w:line="258" w:lineRule="auto"/>
        <w:rPr>
          <w:sz w:val="20"/>
          <w:szCs w:val="20"/>
          <w:color w:val="auto"/>
        </w:rPr>
      </w:pPr>
      <w:r>
        <w:rPr>
          <w:rFonts w:ascii="Times New Roman" w:cs="Times New Roman" w:eastAsia="Times New Roman" w:hAnsi="Times New Roman"/>
          <w:sz w:val="18"/>
          <w:szCs w:val="18"/>
          <w:color w:val="auto"/>
        </w:rPr>
        <w:t>Our solutions are differentiated from other digital methods of production because they eliminate the need to pretreat fabrics prior to printing, thereby offering our customers the ability to digitally print high quality images and designs on a variety of fabrics in a streamlined and environmentally friendly manner. When compared to analog methods of production, our solutions also significantly reduce production lead times and enable customers to more efficiently and cost-effectively produce smaller quantities of individually printed designs, thereby mitigating the risk of excess inventory, which is a significant challenge for the industry.</w:t>
      </w:r>
    </w:p>
    <w:p>
      <w:pPr>
        <w:spacing w:after="0" w:line="183" w:lineRule="exact"/>
        <w:rPr>
          <w:sz w:val="20"/>
          <w:szCs w:val="20"/>
          <w:color w:val="auto"/>
        </w:rPr>
      </w:pPr>
    </w:p>
    <w:p>
      <w:pPr>
        <w:ind w:right="320" w:firstLine="648"/>
        <w:spacing w:after="0" w:line="261" w:lineRule="auto"/>
        <w:rPr>
          <w:sz w:val="20"/>
          <w:szCs w:val="20"/>
          <w:color w:val="auto"/>
        </w:rPr>
      </w:pPr>
      <w:r>
        <w:rPr>
          <w:rFonts w:ascii="Times New Roman" w:cs="Times New Roman" w:eastAsia="Times New Roman" w:hAnsi="Times New Roman"/>
          <w:sz w:val="18"/>
          <w:szCs w:val="18"/>
          <w:color w:val="auto"/>
        </w:rPr>
        <w:t>The success of evolving omni-channel apparel retail is dependent heavily on the ability to show a large variety of designs. Since it is more and more difficult to predict consumer preferences and demand, it is increasingly difficult to stock every possible design. Having digital capacity available allows printers, brands and retailers to offer unlimited design with minimal to no inventory risk. We believe we are well positioned to continue taking advantage of this trend.</w:t>
      </w:r>
    </w:p>
    <w:p>
      <w:pPr>
        <w:spacing w:after="0" w:line="180" w:lineRule="exact"/>
        <w:rPr>
          <w:sz w:val="20"/>
          <w:szCs w:val="20"/>
          <w:color w:val="auto"/>
        </w:rPr>
      </w:pPr>
    </w:p>
    <w:p>
      <w:pPr>
        <w:ind w:right="80" w:firstLine="648"/>
        <w:spacing w:after="0" w:line="254" w:lineRule="auto"/>
        <w:rPr>
          <w:sz w:val="20"/>
          <w:szCs w:val="20"/>
          <w:color w:val="auto"/>
        </w:rPr>
      </w:pPr>
      <w:r>
        <w:rPr>
          <w:rFonts w:ascii="Times New Roman" w:cs="Times New Roman" w:eastAsia="Times New Roman" w:hAnsi="Times New Roman"/>
          <w:sz w:val="18"/>
          <w:szCs w:val="18"/>
          <w:color w:val="auto"/>
        </w:rPr>
        <w:t>Our DTG solutions utilize our patented wet-on-wet printing methodology that eliminates the common practice of separately coating and drying textiles prior to printing. This methodology also enables printing on a wide range of untreated natural, synthetic and man-made fabrics, including cotton, wool, polyester, lycra and denim. With throughputs ranging from 40 to approximately 400 garments per hour, our entry level, industrial and mass production DTG solutions are suited to the needs of a variety of customers, from smaller industrial operators with limited budgets to mass producers with complex manufacturing requirements. Our patented NeoPigment ink and other consumables have been specially formulated to be compatible with our systems and overcome the quality-related challenges that pigment-based inks have traditionally faced when used in digital printing. Our software solutions simplify order to production workflows in the printing process, by offering a complete solution from web and traditional order intake through graphic job preparation and execution. We also offer customers maintenance and support services, as well as value-added services and application consulting, aimed at optimizing the number of impressions printed by our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right="300" w:firstLine="648"/>
        <w:spacing w:after="0" w:line="266" w:lineRule="auto"/>
        <w:rPr>
          <w:sz w:val="20"/>
          <w:szCs w:val="20"/>
          <w:color w:val="auto"/>
        </w:rPr>
      </w:pPr>
      <w:r>
        <w:rPr>
          <w:rFonts w:ascii="Times New Roman" w:cs="Times New Roman" w:eastAsia="Times New Roman" w:hAnsi="Times New Roman"/>
          <w:sz w:val="18"/>
          <w:szCs w:val="18"/>
          <w:color w:val="auto"/>
        </w:rPr>
        <w:t>In April 2021, we supplemented our original DTG printing solutions with our Kornit MAX technology, which enables exemplary retail print quality and durability standards, together with enhanced production speed. The breakthrough technological innovation has been achieved thanks to new additional process and consumables capabilities, enabling optimal control over print quality and durability on a significantly larger media variety..</w:t>
      </w:r>
    </w:p>
    <w:p>
      <w:pPr>
        <w:spacing w:after="0" w:line="176" w:lineRule="exact"/>
        <w:rPr>
          <w:sz w:val="20"/>
          <w:szCs w:val="20"/>
          <w:color w:val="auto"/>
        </w:rPr>
      </w:pPr>
    </w:p>
    <w:p>
      <w:pPr>
        <w:ind w:right="140" w:firstLine="648"/>
        <w:spacing w:after="0" w:line="261" w:lineRule="auto"/>
        <w:rPr>
          <w:sz w:val="20"/>
          <w:szCs w:val="20"/>
          <w:color w:val="auto"/>
        </w:rPr>
      </w:pPr>
      <w:r>
        <w:rPr>
          <w:rFonts w:ascii="Times New Roman" w:cs="Times New Roman" w:eastAsia="Times New Roman" w:hAnsi="Times New Roman"/>
          <w:sz w:val="18"/>
          <w:szCs w:val="18"/>
          <w:color w:val="auto"/>
        </w:rPr>
        <w:t>We have also introduced XDI technology, which allows layered 3D printing. This capability is available as part of Kornit’s unique MAX printing engine. Kornit XDi brings a new dimension to digital printing by enabling the printing of multiple layers to create 3D-effects. XDi’s unique premium applications open new markets for our customers and offer creative freedom powered by a simple, single-step, digital and sustainable process. Our customers are now able to do much more with their printing equipment and enter into higher margin premium markets.</w:t>
      </w:r>
    </w:p>
    <w:p>
      <w:pPr>
        <w:spacing w:after="0" w:line="180" w:lineRule="exact"/>
        <w:rPr>
          <w:sz w:val="20"/>
          <w:szCs w:val="20"/>
          <w:color w:val="auto"/>
        </w:rPr>
      </w:pPr>
    </w:p>
    <w:p>
      <w:pPr>
        <w:ind w:right="120" w:firstLine="648"/>
        <w:spacing w:after="0" w:line="281" w:lineRule="auto"/>
        <w:rPr>
          <w:sz w:val="20"/>
          <w:szCs w:val="20"/>
          <w:color w:val="auto"/>
        </w:rPr>
      </w:pPr>
      <w:r>
        <w:rPr>
          <w:rFonts w:ascii="Times New Roman" w:cs="Times New Roman" w:eastAsia="Times New Roman" w:hAnsi="Times New Roman"/>
          <w:sz w:val="17"/>
          <w:szCs w:val="17"/>
          <w:color w:val="auto"/>
        </w:rPr>
        <w:t>In July 2022, we introduced the Atlas MAX Poly, which extended our technological capabilities in high quality printing on polyester even further by leveraging the Kornit MAX technology and incorporating it as part of our proprietary polyester printing process, which is based on the NeoPigment® Olympia ink set. In January 2024, we launched the Apollo, a digital mass production platform, designed to be capable of printing up to approximately 400 shirts per hour, and handled by a single operator. The Apollo leverages the MAX technology, and the Eco-Rapid ink set and consumables.</w:t>
      </w:r>
    </w:p>
    <w:p>
      <w:pPr>
        <w:spacing w:after="0" w:line="164" w:lineRule="exact"/>
        <w:rPr>
          <w:sz w:val="20"/>
          <w:szCs w:val="20"/>
          <w:color w:val="auto"/>
        </w:rPr>
      </w:pPr>
    </w:p>
    <w:p>
      <w:pPr>
        <w:ind w:right="60" w:firstLine="648"/>
        <w:spacing w:after="0" w:line="253" w:lineRule="auto"/>
        <w:rPr>
          <w:sz w:val="20"/>
          <w:szCs w:val="20"/>
          <w:color w:val="auto"/>
        </w:rPr>
      </w:pPr>
      <w:r>
        <w:rPr>
          <w:rFonts w:ascii="Times New Roman" w:cs="Times New Roman" w:eastAsia="Times New Roman" w:hAnsi="Times New Roman"/>
          <w:sz w:val="18"/>
          <w:szCs w:val="18"/>
          <w:color w:val="auto"/>
        </w:rPr>
        <w:t>Building on the expertise and capabilities that we have accumulated in developing and offering differentiated solutions for the industrial DTG market, we also market industrial digital printing solutions which target the on-demand Direct-to-Fabric market. Our Direct-to-Fabric capabilities cater to different market segments such as fashion and home décor. Like our DTG products, our Direct-to-Fabric solutions are designed to print on a wide range of fabrics. Our digital Direct-to-Fabric printing products also use our wet-on-wet patent and are leading single-step, eco-friendly, stand-alone industrial Direct-to-Fabric digital textile printing products available on the market. Our systems within our Direct-to-Fabric business include the Presto MAX. Our Presto MAX platform brings unique capabilities to the market allowing our customers to digitally print on dyed fabrics, utilizing our white NeoPigment® ink, both as a spot color and as a base. Presto MAX also allows printing using Neon colors to achieve expanded color gamut and a wide variety of applications. Presto MAX includes Kornit’s innovative XDi technology allowing 3D-effects and enabling our customers to penetrate higher margin premium markets. During the last quarter of 2024, we commenced the final test stage of our “Vivido” ink set. The Vivido is expected to enable the printing of deep and natural blacks while reducing ink consumption and improving hand feel. Additionally, we anticipate to launch the Qualiset system also as part of the Presto MAX platform, which facilitates automatic machine calibrations ensuring quality and consistency.</w:t>
      </w:r>
    </w:p>
    <w:p>
      <w:pPr>
        <w:spacing w:after="0" w:line="192" w:lineRule="exact"/>
        <w:rPr>
          <w:sz w:val="20"/>
          <w:szCs w:val="20"/>
          <w:color w:val="auto"/>
        </w:rPr>
      </w:pPr>
    </w:p>
    <w:p>
      <w:pPr>
        <w:ind w:firstLine="641"/>
        <w:spacing w:after="0" w:line="282" w:lineRule="auto"/>
        <w:rPr>
          <w:sz w:val="20"/>
          <w:szCs w:val="20"/>
          <w:color w:val="auto"/>
        </w:rPr>
      </w:pPr>
      <w:r>
        <w:rPr>
          <w:rFonts w:ascii="Times New Roman" w:cs="Times New Roman" w:eastAsia="Times New Roman" w:hAnsi="Times New Roman"/>
          <w:sz w:val="18"/>
          <w:szCs w:val="18"/>
          <w:color w:val="auto"/>
        </w:rPr>
        <w:t>Kornit was founded in 2002 in Israel, shipped its first system in 2005 and, as of December 31, 2024, had approximately 865 active customers globally. As of December 31, 2024, we had 715 employees, with 396 located in Israel, 120 in the United States, 158 in Europe and 41 in Asia Pacific.</w:t>
      </w:r>
    </w:p>
    <w:p>
      <w:pPr>
        <w:spacing w:after="0" w:line="162"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In the year ended December 31, 2024, we generated revenues of $203.8 million, representing a decrease of 7.3% as compared with the prior fiscal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year.</w:t>
      </w:r>
    </w:p>
    <w:p>
      <w:pPr>
        <w:spacing w:after="0" w:line="207" w:lineRule="exact"/>
        <w:rPr>
          <w:sz w:val="20"/>
          <w:szCs w:val="20"/>
          <w:color w:val="auto"/>
        </w:rPr>
      </w:pPr>
    </w:p>
    <w:p>
      <w:pPr>
        <w:ind w:left="20" w:right="360" w:firstLine="629"/>
        <w:spacing w:after="0" w:line="282" w:lineRule="auto"/>
        <w:rPr>
          <w:sz w:val="20"/>
          <w:szCs w:val="20"/>
          <w:color w:val="auto"/>
        </w:rPr>
      </w:pPr>
      <w:r>
        <w:rPr>
          <w:rFonts w:ascii="Times New Roman" w:cs="Times New Roman" w:eastAsia="Times New Roman" w:hAnsi="Times New Roman"/>
          <w:sz w:val="18"/>
          <w:szCs w:val="18"/>
          <w:color w:val="auto"/>
        </w:rPr>
        <w:t>In the year ended December 31, 2024, we generated 56% of our revenues from the United States, 25% from the Europe, Middle East and Asia (“EMEA”) geographic region, 11% from the Asia Pacific geographic region and 8% from other geographic regions.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18"/>
          <w:szCs w:val="18"/>
          <w:b w:val="1"/>
          <w:bCs w:val="1"/>
          <w:u w:val="single" w:color="auto"/>
          <w:color w:val="auto"/>
        </w:rPr>
        <w:t>Conflict Mineral Rule Overview, Scope, and Covered Products:</w:t>
      </w:r>
    </w:p>
    <w:p>
      <w:pPr>
        <w:spacing w:after="0" w:line="229" w:lineRule="exact"/>
        <w:rPr>
          <w:sz w:val="20"/>
          <w:szCs w:val="20"/>
          <w:color w:val="auto"/>
        </w:rPr>
      </w:pPr>
    </w:p>
    <w:p>
      <w:pPr>
        <w:ind w:right="20" w:firstLine="648"/>
        <w:spacing w:after="0" w:line="281" w:lineRule="auto"/>
        <w:rPr>
          <w:sz w:val="20"/>
          <w:szCs w:val="20"/>
          <w:color w:val="auto"/>
        </w:rPr>
      </w:pPr>
      <w:r>
        <w:rPr>
          <w:rFonts w:ascii="Times New Roman" w:cs="Times New Roman" w:eastAsia="Times New Roman" w:hAnsi="Times New Roman"/>
          <w:sz w:val="17"/>
          <w:szCs w:val="17"/>
          <w:color w:val="auto"/>
        </w:rPr>
        <w:t>Issuers that file reports with the Securities and Exchange Commission (“SEC”) under Sections 13(a) or 15(d) of the Securities Exchange Act of 1934, as amended (“Exchange Act”), must comply with Section 1502 of the Dodd-Frank Wall Street Reform and Consumer Protection Act of 2010, which contains reporting requirements associated with conflict minerals that are necessary to the functionality or production of a product manufactured, or contracted to be manufactured, by an issuer. These reporting requirements are implemented by the SEC’s Rule 13p-1 under the Exchange Act (the “Rule”).</w:t>
      </w:r>
    </w:p>
    <w:p>
      <w:pPr>
        <w:spacing w:after="0" w:line="164" w:lineRule="exact"/>
        <w:rPr>
          <w:sz w:val="20"/>
          <w:szCs w:val="20"/>
          <w:color w:val="auto"/>
        </w:rPr>
      </w:pPr>
    </w:p>
    <w:p>
      <w:pPr>
        <w:ind w:right="40" w:firstLine="641"/>
        <w:spacing w:after="0" w:line="261" w:lineRule="auto"/>
        <w:rPr>
          <w:sz w:val="20"/>
          <w:szCs w:val="20"/>
          <w:color w:val="auto"/>
        </w:rPr>
      </w:pPr>
      <w:r>
        <w:rPr>
          <w:rFonts w:ascii="Times New Roman" w:cs="Times New Roman" w:eastAsia="Times New Roman" w:hAnsi="Times New Roman"/>
          <w:sz w:val="18"/>
          <w:szCs w:val="18"/>
          <w:color w:val="auto"/>
        </w:rPr>
        <w:t>If a registrant cannot establish with absolute certainty that the necessary conflict minerals in its products originated from sources other than the Democratic Republic of the Congo (“DRC”) or an adjoining country (the “Covered Countries”), or originate solely from recycled and/or scrap sources, the registrant must submit a specialized disclosure report under Form SD that describes the steps that the registrant took to determine the origin, or likely origin, of the necessary conflict minerals in its products or in the manufacture of its products.</w:t>
      </w:r>
    </w:p>
    <w:p>
      <w:pPr>
        <w:spacing w:after="0" w:line="180" w:lineRule="exact"/>
        <w:rPr>
          <w:sz w:val="20"/>
          <w:szCs w:val="20"/>
          <w:color w:val="auto"/>
        </w:rPr>
      </w:pPr>
    </w:p>
    <w:p>
      <w:pPr>
        <w:ind w:right="80" w:firstLine="641"/>
        <w:spacing w:after="0" w:line="261" w:lineRule="auto"/>
        <w:rPr>
          <w:sz w:val="20"/>
          <w:szCs w:val="20"/>
          <w:color w:val="auto"/>
        </w:rPr>
      </w:pPr>
      <w:r>
        <w:rPr>
          <w:rFonts w:ascii="Times New Roman" w:cs="Times New Roman" w:eastAsia="Times New Roman" w:hAnsi="Times New Roman"/>
          <w:sz w:val="18"/>
          <w:szCs w:val="18"/>
          <w:color w:val="auto"/>
        </w:rPr>
        <w:t>If a registrant has reason to believe that any of the conflict minerals in its mineral supply chain may have originated in the DRC and/or a Covered Country, or if the registrant is unable to determine the absolute country of origin of those conflict minerals, then the registrant must exercise due diligence on the conflict minerals’ source and chain of custody, and the registrant must annually submit a Conflict Minerals Report to the SEC that includes a description of those due diligence measures.</w:t>
      </w:r>
    </w:p>
    <w:p>
      <w:pPr>
        <w:spacing w:after="0" w:line="180" w:lineRule="exact"/>
        <w:rPr>
          <w:sz w:val="20"/>
          <w:szCs w:val="20"/>
          <w:color w:val="auto"/>
        </w:rPr>
      </w:pPr>
    </w:p>
    <w:p>
      <w:pPr>
        <w:ind w:right="100" w:firstLine="648"/>
        <w:spacing w:after="0" w:line="254" w:lineRule="auto"/>
        <w:rPr>
          <w:sz w:val="20"/>
          <w:szCs w:val="20"/>
          <w:color w:val="auto"/>
        </w:rPr>
      </w:pPr>
      <w:r>
        <w:rPr>
          <w:rFonts w:ascii="Times New Roman" w:cs="Times New Roman" w:eastAsia="Times New Roman" w:hAnsi="Times New Roman"/>
          <w:sz w:val="18"/>
          <w:szCs w:val="18"/>
          <w:color w:val="auto"/>
        </w:rPr>
        <w:t>As an SEC-registered issuer that offers products that include tin, tungsten, tantalum and gold (“Conflict Minerals”) that are necessary for the production and/or functionality of those manufactured products, we are subject to the Rule. As part of our company’s desire to take responsibility for and concern ourselves with human rights issues, we decided to review our company’s supply chain according to the EU regulation’s guidance as well, and, based on that guidance, have included conflict-affected or high-risk areas (“CAHRAs”) when approaching suppliers for information. As such, we conduct due diligence on our minerals supply chain according to the Organization for Economic Co-operation and Development (“OECD”) Due Diligence Guidance for Responsible Supply Chains of Minerals from Conflict-Affected and High-Risk Areas (2016) and related Supplements (the “OECD Due Diligence Guidance”). It should be noted that our company does not directly purchase or procure raw materials from the mine sites, as we are a downstream company. Instead, we (or our suppliers) purchase cassiterite, columbite-tantalite (coltan), wolframite, gold, or their derivatives, which presently are limited to tin, tantalum, tungsten, and gold (collectively “3TG”) - related materials, after processing by smelters or refiners.</w:t>
      </w:r>
    </w:p>
    <w:p>
      <w:pPr>
        <w:spacing w:after="0" w:line="188"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Kornit is committed to responsible sourcing practices and ensuring that it does not benefit, directly or indirectly, from the propagation of armed conflict or human rights abuses in areas of conflict, such as the CAHRAs. The goal of the due diligence process is not to eliminate sourcing from the CAHRAs, but rather to ascertain, to our best possible knowledge and per the requirements of the Rule, the most reasonable country of origin of the necessary conflict minerals, which were necessary to the functionality or production of our products manufactured or contracted to manufacture in 2024, as detailed in the reasonable country of origin inquiry (“RCOI”) section below.</w:t>
      </w:r>
    </w:p>
    <w:p>
      <w:pPr>
        <w:spacing w:after="0" w:line="39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Reasonable Country of Origin Inquiry (RCOI)</w:t>
      </w:r>
    </w:p>
    <w:p>
      <w:pPr>
        <w:spacing w:after="0" w:line="229" w:lineRule="exact"/>
        <w:rPr>
          <w:sz w:val="20"/>
          <w:szCs w:val="20"/>
          <w:color w:val="auto"/>
        </w:rPr>
      </w:pPr>
    </w:p>
    <w:p>
      <w:pPr>
        <w:jc w:val="both"/>
        <w:ind w:firstLine="648"/>
        <w:spacing w:after="0" w:line="312" w:lineRule="auto"/>
        <w:rPr>
          <w:sz w:val="20"/>
          <w:szCs w:val="20"/>
          <w:color w:val="auto"/>
        </w:rPr>
      </w:pPr>
      <w:r>
        <w:rPr>
          <w:rFonts w:ascii="Times New Roman" w:cs="Times New Roman" w:eastAsia="Times New Roman" w:hAnsi="Times New Roman"/>
          <w:sz w:val="17"/>
          <w:szCs w:val="17"/>
          <w:color w:val="auto"/>
        </w:rPr>
        <w:t>Kornit is committed to ethical practices and compliance with all applicable laws and regulations. We are committed to working with our customers and suppliers to responsibly source the materials and components that we use to manufacture our products that may contain the necessary conflict minerals.</w:t>
      </w:r>
    </w:p>
    <w:p>
      <w:pPr>
        <w:spacing w:after="0" w:line="136" w:lineRule="exact"/>
        <w:rPr>
          <w:sz w:val="20"/>
          <w:szCs w:val="20"/>
          <w:color w:val="auto"/>
        </w:rPr>
      </w:pPr>
    </w:p>
    <w:p>
      <w:pPr>
        <w:ind w:right="600" w:firstLine="648"/>
        <w:spacing w:after="0" w:line="262" w:lineRule="auto"/>
        <w:rPr>
          <w:sz w:val="20"/>
          <w:szCs w:val="20"/>
          <w:color w:val="auto"/>
        </w:rPr>
      </w:pPr>
      <w:r>
        <w:rPr>
          <w:rFonts w:ascii="Times New Roman" w:cs="Times New Roman" w:eastAsia="Times New Roman" w:hAnsi="Times New Roman"/>
          <w:sz w:val="18"/>
          <w:szCs w:val="18"/>
          <w:color w:val="auto"/>
        </w:rPr>
        <w:t xml:space="preserve">In accordance with our Conflict Minerals Policy, which can be viewed at: </w:t>
      </w:r>
      <w:r>
        <w:rPr>
          <w:rFonts w:ascii="Times New Roman" w:cs="Times New Roman" w:eastAsia="Times New Roman" w:hAnsi="Times New Roman"/>
          <w:sz w:val="18"/>
          <w:szCs w:val="18"/>
          <w:b w:val="1"/>
          <w:bCs w:val="1"/>
          <w:color w:val="auto"/>
        </w:rPr>
        <w:t>http://www.kornit.com/conflict-minerals-policy/</w:t>
      </w:r>
      <w:r>
        <w:rPr>
          <w:rFonts w:ascii="Times New Roman" w:cs="Times New Roman" w:eastAsia="Times New Roman" w:hAnsi="Times New Roman"/>
          <w:sz w:val="18"/>
          <w:szCs w:val="18"/>
          <w:color w:val="auto"/>
        </w:rPr>
        <w:t>, which is not incorporated by reference herein, Kornit has concluded in good faith that during the 2024 calendar year, we have manufactured and contracted to manufacture products containing all four Conflict Minerals and have determined that the use of these minerals is necessary to the functionality or production of our products.</w:t>
      </w:r>
    </w:p>
    <w:p>
      <w:pPr>
        <w:spacing w:after="0" w:line="180"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 xml:space="preserve">We performed an RCOI simultaneously with the due diligence phase through which we sought to determine whether the Conflict Minerals necessary for the functionality or production of our products did or did not receive a compliant or active designation from the Responsible Minerals Initiative’s (“RMI”) independent smelter and refiner validation program,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Responsible Minerals Assurance Process (“RMAP”). This was conducted simultaneously due to the large number of applicable suppliers from which we source materials that we surveyed and the timeframe in which we needed to complete both the RCOI and due diligence efforts. Our RCOI employed several methods to assess whether the necessary Conflict Minerals in our products originated, or likely originated, from CAHRAs.</w:t>
      </w:r>
    </w:p>
    <w:p>
      <w:pPr>
        <w:spacing w:after="0" w:line="187" w:lineRule="exact"/>
        <w:rPr>
          <w:sz w:val="20"/>
          <w:szCs w:val="20"/>
          <w:color w:val="auto"/>
        </w:rPr>
      </w:pPr>
    </w:p>
    <w:p>
      <w:pPr>
        <w:ind w:right="280" w:firstLine="648"/>
        <w:spacing w:after="0" w:line="258" w:lineRule="auto"/>
        <w:rPr>
          <w:sz w:val="20"/>
          <w:szCs w:val="20"/>
          <w:color w:val="auto"/>
        </w:rPr>
      </w:pPr>
      <w:r>
        <w:rPr>
          <w:rFonts w:ascii="Times New Roman" w:cs="Times New Roman" w:eastAsia="Times New Roman" w:hAnsi="Times New Roman"/>
          <w:sz w:val="18"/>
          <w:szCs w:val="18"/>
          <w:color w:val="auto"/>
        </w:rPr>
        <w:t>Based on the RCOI conducted, Kornit has reason to believe that a portion of the Conflict Minerals that are necessary for the functionality of its products originated, or likely originated, in the CAHRAs, and has reason to believe that those necessary Conflict Minerals may not be from entirely recycled or scrap sources. As part of our commitment to responsible sourcing, we do not seek to eliminate the sourcing of Conflict Minerals from the CAHRAs, but rather to source the necessary minerals from sources that do not directly or indirectly finance or benefit armed groups in those locations. Based on this result, we conducted due diligence activities and have detailed those efforts in this Conflict Minerals Report.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 Design</w:t>
      </w:r>
    </w:p>
    <w:p>
      <w:pPr>
        <w:spacing w:after="0" w:line="229" w:lineRule="exact"/>
        <w:rPr>
          <w:sz w:val="20"/>
          <w:szCs w:val="20"/>
          <w:color w:val="auto"/>
        </w:rPr>
      </w:pPr>
    </w:p>
    <w:p>
      <w:pPr>
        <w:ind w:right="80" w:firstLine="648"/>
        <w:spacing w:after="0" w:line="256" w:lineRule="auto"/>
        <w:rPr>
          <w:sz w:val="20"/>
          <w:szCs w:val="20"/>
          <w:color w:val="auto"/>
        </w:rPr>
      </w:pPr>
      <w:r>
        <w:rPr>
          <w:rFonts w:ascii="Times New Roman" w:cs="Times New Roman" w:eastAsia="Times New Roman" w:hAnsi="Times New Roman"/>
          <w:sz w:val="18"/>
          <w:szCs w:val="18"/>
          <w:color w:val="auto"/>
        </w:rPr>
        <w:t>In accordance with the Rule and Form SD, we undertook due diligence to determine whether the Conflict Minerals necessary for the functionality or production of our products, which were manufactured, or contracted to manufacture in 2024, originated from smelters or refiners (“SoRs”) that have received a complaint or active designation from the RMI’s RMAP Third Party Audit program for smelters or refiners. We designed our due diligence measures to be in conformity, in all material respects, with the internationally recognized due diligence framework as set forth in the Organization for Economic Cooperation and Development (“OECD”) Due Diligence Guidance for Responsible Supply Chains of Minerals from Conflict-Affected and High-Risk Areas (OECD, 2016) (“OECD Framework”) and related supplements for Conflict Minerals.</w:t>
      </w:r>
    </w:p>
    <w:p>
      <w:pPr>
        <w:spacing w:after="0" w:line="187"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The five steps defined in the OECD Due Diligence Guidance are: (1) establishment of strong internal company management systems; (2) identification and assessment of risks in the supply chain; (3) design and implementation of a strategy to respond to risks as they are identified; (4) carrying out independent third-party audits of smelters’ and refiners’ due diligence practices; and (5) reporting annually on supply chain due diligence.</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Due Diligence Performed</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due diligence measures we undertook consisted primarily of:</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 Establishing strong company management systems - We reviewed and maintained our management systems that had been previously established through the following actions:</w:t>
      </w:r>
    </w:p>
    <w:p>
      <w:pPr>
        <w:spacing w:after="0" w:line="162" w:lineRule="exact"/>
        <w:rPr>
          <w:sz w:val="20"/>
          <w:szCs w:val="20"/>
          <w:color w:val="auto"/>
        </w:rPr>
      </w:pPr>
    </w:p>
    <w:p>
      <w:pPr>
        <w:ind w:left="980" w:right="60" w:hanging="324"/>
        <w:spacing w:after="0" w:line="261"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our policy, Kornit strives to only use 3TG minerals from smelters or refiners that have been audited and verified as conflict-free compliant or active by the Responsible Minerals Assurance Process (“RMAP”) and requires its suppliers to only source 3TG minerals from verified smelters or refiners. More information on our sourcing expectations of suppliers can be found in our Conflict Minerals Policy, which is available at the following link: http://www.kornit.com/conflict-minerals-policy/, which is not incorporated by reference herein.</w:t>
      </w:r>
    </w:p>
    <w:p>
      <w:pPr>
        <w:spacing w:after="0" w:line="179" w:lineRule="exact"/>
        <w:rPr>
          <w:rFonts w:ascii="Times New Roman" w:cs="Times New Roman" w:eastAsia="Times New Roman" w:hAnsi="Times New Roman"/>
          <w:sz w:val="18"/>
          <w:szCs w:val="18"/>
          <w:color w:val="auto"/>
        </w:rPr>
      </w:pPr>
    </w:p>
    <w:p>
      <w:pPr>
        <w:ind w:left="980" w:right="340" w:hanging="324"/>
        <w:spacing w:after="0" w:line="266"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Updated the Conflict Minerals Governance Charter to set the Conflict Minerals annual work plan including: our steps for compliance, objectives, timelines, internal management and cross functional team (such as supplier management, engineering, finance and legal) with identified roles and responsibilities, all to support supply chain due diligence.</w:t>
      </w:r>
    </w:p>
    <w:p>
      <w:pPr>
        <w:spacing w:after="0" w:line="175" w:lineRule="exact"/>
        <w:rPr>
          <w:rFonts w:ascii="Times New Roman" w:cs="Times New Roman" w:eastAsia="Times New Roman" w:hAnsi="Times New Roman"/>
          <w:sz w:val="18"/>
          <w:szCs w:val="18"/>
          <w:color w:val="auto"/>
        </w:rPr>
      </w:pPr>
    </w:p>
    <w:p>
      <w:pPr>
        <w:jc w:val="both"/>
        <w:ind w:left="980" w:right="40" w:hanging="324"/>
        <w:spacing w:after="0" w:line="266"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Established a process whereby we engage with suppliers and refer them to training materials online, materials that include an overview of the relevant Conflict Minerals regulations and provide instructions on how to respond to the due diligence survey (that was based on the Conflict Minerals Reporting Template of at least version 6.31 or above).</w:t>
      </w:r>
    </w:p>
    <w:p>
      <w:pPr>
        <w:spacing w:after="0" w:line="175"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Maintained a conflict minerals provision in our standard Terms and Conditions of Purchase to require suppliers to fully support Kornit’s efforts to keep its supply chain free from conflict minerals and comply with applicable governmental laws.</w:t>
      </w:r>
    </w:p>
    <w:p>
      <w:pPr>
        <w:spacing w:after="0" w:line="161" w:lineRule="exact"/>
        <w:rPr>
          <w:rFonts w:ascii="Times New Roman" w:cs="Times New Roman" w:eastAsia="Times New Roman" w:hAnsi="Times New Roman"/>
          <w:sz w:val="18"/>
          <w:szCs w:val="18"/>
          <w:color w:val="auto"/>
        </w:rPr>
      </w:pPr>
    </w:p>
    <w:p>
      <w:pPr>
        <w:ind w:left="980" w:right="740" w:hanging="324"/>
        <w:spacing w:after="0" w:line="282"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Maintained a process whereby we communicate the due diligence efforts to customers, suppliers and other relevant functions in our organization, as applicable.</w:t>
      </w:r>
    </w:p>
    <w:p>
      <w:pPr>
        <w:spacing w:after="0" w:line="161" w:lineRule="exact"/>
        <w:rPr>
          <w:rFonts w:ascii="Times New Roman" w:cs="Times New Roman" w:eastAsia="Times New Roman" w:hAnsi="Times New Roman"/>
          <w:sz w:val="18"/>
          <w:szCs w:val="18"/>
          <w:color w:val="auto"/>
        </w:rPr>
      </w:pPr>
    </w:p>
    <w:p>
      <w:pPr>
        <w:ind w:left="980" w:right="320" w:hanging="324"/>
        <w:spacing w:after="0" w:line="282" w:lineRule="auto"/>
        <w:tabs>
          <w:tab w:leader="none" w:pos="9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Maintained a grievance mechanism whereby concerns and violations of the Conflict Minerals Policy should be reported to Kornit’s Chief Financial Officer and/or Global Product Regulation and Sustainability Manager (at Nir.Gonen@kornit.com).</w:t>
      </w:r>
    </w:p>
    <w:p>
      <w:pPr>
        <w:spacing w:after="0" w:line="161" w:lineRule="exact"/>
        <w:rPr>
          <w:rFonts w:ascii="Times New Roman" w:cs="Times New Roman" w:eastAsia="Times New Roman" w:hAnsi="Times New Roman"/>
          <w:sz w:val="18"/>
          <w:szCs w:val="18"/>
          <w:color w:val="auto"/>
        </w:rPr>
      </w:pPr>
    </w:p>
    <w:p>
      <w:pPr>
        <w:ind w:right="6260" w:firstLine="656"/>
        <w:spacing w:after="0" w:line="500" w:lineRule="auto"/>
        <w:tabs>
          <w:tab w:leader="none" w:pos="981"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Maintain relevant records for a minimum of five years. </w:t>
      </w:r>
      <w:r>
        <w:rPr>
          <w:rFonts w:ascii="Times New Roman" w:cs="Times New Roman" w:eastAsia="Times New Roman" w:hAnsi="Times New Roman"/>
          <w:sz w:val="18"/>
          <w:szCs w:val="18"/>
          <w:b w:val="1"/>
          <w:bCs w:val="1"/>
          <w:color w:val="auto"/>
        </w:rPr>
        <w:t>b. Identified and assessed risks in the supply chain</w:t>
      </w:r>
    </w:p>
    <w:p>
      <w:pPr>
        <w:spacing w:after="0" w:line="2" w:lineRule="exact"/>
        <w:rPr>
          <w:sz w:val="20"/>
          <w:szCs w:val="20"/>
          <w:color w:val="auto"/>
        </w:rPr>
      </w:pPr>
    </w:p>
    <w:p>
      <w:pPr>
        <w:jc w:val="both"/>
        <w:ind w:right="180" w:firstLine="648"/>
        <w:spacing w:after="0" w:line="266" w:lineRule="auto"/>
        <w:rPr>
          <w:sz w:val="20"/>
          <w:szCs w:val="20"/>
          <w:color w:val="auto"/>
        </w:rPr>
      </w:pPr>
      <w:r>
        <w:rPr>
          <w:rFonts w:ascii="Times New Roman" w:cs="Times New Roman" w:eastAsia="Times New Roman" w:hAnsi="Times New Roman"/>
          <w:sz w:val="18"/>
          <w:szCs w:val="18"/>
          <w:color w:val="auto"/>
        </w:rPr>
        <w:t>As part of our risk-based approach, we have decided to focus on electronics suppliers and manufacturers. We assessed two primary risks in our supply chain: (1) the risk of not receiving timely and accurate information from the supplier; and (2) the risk of not being able to replace a supplier while trying to move towards the goal of responsibly sourcing all of the minerals and/or materials used in our products.</w:t>
      </w:r>
    </w:p>
    <w:p>
      <w:pPr>
        <w:spacing w:after="0" w:line="176"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Based on this assessment method, we segmented our suppliers into three risk levels (high, medium and low). In order to allow us to invest our risk management efforts according to the supplier level of risk, we referred to Conflict Minerals-related risks based on supplier’s characteristics, such as: the volume of spending during 2024 and the extent to which we are dependent upon any particular supplier or, conversely, the availability of alternative suppliers.</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33" w:right="379" w:bottom="1440" w:gutter="0" w:footer="0" w:header="0"/>
        </w:sectPr>
      </w:pPr>
    </w:p>
    <w:bookmarkStart w:id="8" w:name="page9"/>
    <w:bookmarkEnd w:id="8"/>
    <w:p>
      <w:pPr>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We sent periodic reminders to any non-responsive suppliers to provide surveys or updated responses. We have identified, to the best of our efforts, the smelters/refiners in the supply chain by conducting a supply chain survey using the CMRT version 6.31 and above, which requests suppliers and manufactures to identify smelters or refiners and the country of origin, or likely country of origin, of the conflict minerals in the products that they supply to us. In addition, we compared smelters or refiners identified in the supply chain survey against the list of facilities that have received a complaint or active designation from the Responsible Minerals Assurance Process (“RMAP”), or other independent third-party audit programs. We documented the country of origin, or likely country of origin, information for the smelters or refiners identified in the supply chain survey as provided from the different sources, as reported in </w:t>
      </w:r>
      <w:r>
        <w:rPr>
          <w:rFonts w:ascii="Times New Roman" w:cs="Times New Roman" w:eastAsia="Times New Roman" w:hAnsi="Times New Roman"/>
          <w:sz w:val="18"/>
          <w:szCs w:val="18"/>
          <w:u w:val="single" w:color="auto"/>
          <w:color w:val="auto"/>
        </w:rPr>
        <w:t>Annex 2</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Designed and implemented a strategy to respond to identified risks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findings of the supply chain risk assessment and due diligence process are reported to designated members of our senior management team — our CEO, CFO, EVP Operations, General Counsel and EHS Director, and VP Supply Chain, who are updated regarding major findings and/or red flags, as they arise. As part of our risk management strategy, we continue to conduct business with any flagged supplier while we investigate such supplier’s’ sourcing practices.</w:t>
      </w:r>
    </w:p>
    <w:p>
      <w:pPr>
        <w:spacing w:after="0" w:line="180" w:lineRule="exact"/>
        <w:rPr>
          <w:sz w:val="20"/>
          <w:szCs w:val="20"/>
          <w:color w:val="auto"/>
        </w:rPr>
      </w:pPr>
    </w:p>
    <w:p>
      <w:pPr>
        <w:jc w:val="both"/>
        <w:ind w:right="80" w:firstLine="648"/>
        <w:spacing w:after="0" w:line="266" w:lineRule="auto"/>
        <w:rPr>
          <w:sz w:val="20"/>
          <w:szCs w:val="20"/>
          <w:color w:val="auto"/>
        </w:rPr>
      </w:pPr>
      <w:r>
        <w:rPr>
          <w:rFonts w:ascii="Times New Roman" w:cs="Times New Roman" w:eastAsia="Times New Roman" w:hAnsi="Times New Roman"/>
          <w:sz w:val="18"/>
          <w:szCs w:val="18"/>
          <w:color w:val="auto"/>
        </w:rPr>
        <w:t>We contact suppliers whose responses are identified as incomplete, inconsistent or inaccurate. We also review supplier responses to track smelters or refiners in our supply chain that supply us with Conflict Minerals and have not received a complaint or active designation based on the RMI’s RMAP or other independent third party validation programs.</w:t>
      </w:r>
    </w:p>
    <w:p>
      <w:pPr>
        <w:spacing w:after="0" w:line="176" w:lineRule="exact"/>
        <w:rPr>
          <w:sz w:val="20"/>
          <w:szCs w:val="20"/>
          <w:color w:val="auto"/>
        </w:rPr>
      </w:pPr>
    </w:p>
    <w:p>
      <w:pPr>
        <w:ind w:right="60" w:firstLine="648"/>
        <w:spacing w:after="0" w:line="261" w:lineRule="auto"/>
        <w:rPr>
          <w:sz w:val="20"/>
          <w:szCs w:val="20"/>
          <w:color w:val="auto"/>
        </w:rPr>
      </w:pPr>
      <w:r>
        <w:rPr>
          <w:rFonts w:ascii="Times New Roman" w:cs="Times New Roman" w:eastAsia="Times New Roman" w:hAnsi="Times New Roman"/>
          <w:sz w:val="18"/>
          <w:szCs w:val="18"/>
          <w:color w:val="auto"/>
        </w:rPr>
        <w:t>We referred suppliers to training materials online that included an overview of the Rule and instructions on how to complete the Conflict Minerals Reporting Template. We also sent follow up letters to unresponsive suppliers as well as those suppliers that declared the existence of Conflict Minerals in their supply chain from the CAHRAs from uncertified smelters or refiners, according to the RMI’s Standard Smelter List that provides an indication of all of the smelters or refiners that are conformant or active according to the RMAP audit. These are suppliers that we classify as high risk.</w:t>
      </w:r>
    </w:p>
    <w:p>
      <w:pPr>
        <w:spacing w:after="0" w:line="180" w:lineRule="exact"/>
        <w:rPr>
          <w:sz w:val="20"/>
          <w:szCs w:val="20"/>
          <w:color w:val="auto"/>
        </w:rPr>
      </w:pPr>
    </w:p>
    <w:p>
      <w:pPr>
        <w:ind w:right="200" w:firstLine="648"/>
        <w:spacing w:after="0" w:line="266" w:lineRule="auto"/>
        <w:rPr>
          <w:sz w:val="20"/>
          <w:szCs w:val="20"/>
          <w:color w:val="auto"/>
        </w:rPr>
      </w:pPr>
      <w:r>
        <w:rPr>
          <w:rFonts w:ascii="Times New Roman" w:cs="Times New Roman" w:eastAsia="Times New Roman" w:hAnsi="Times New Roman"/>
          <w:sz w:val="18"/>
          <w:szCs w:val="18"/>
          <w:color w:val="auto"/>
        </w:rPr>
        <w:t>Our supply chain due diligence is a dynamic process and requires on-going risk monitoring. Therefore, after implementing our risk mitigation strategy, we repeat Step 2 of the OECD guidelines to ensure effective management of risks. We have established procedures for employees, stakeholders, direct suppliers, and customers to communicate concerns about our responsible sourcing policies.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Reviewed independent third-party audit of smelter/refiner due diligence practices</w:t>
      </w:r>
    </w:p>
    <w:p>
      <w:pPr>
        <w:spacing w:after="0" w:line="229" w:lineRule="exact"/>
        <w:rPr>
          <w:sz w:val="20"/>
          <w:szCs w:val="20"/>
          <w:color w:val="auto"/>
        </w:rPr>
      </w:pPr>
    </w:p>
    <w:p>
      <w:pPr>
        <w:ind w:right="60" w:firstLine="648"/>
        <w:spacing w:after="0" w:line="258" w:lineRule="auto"/>
        <w:rPr>
          <w:sz w:val="20"/>
          <w:szCs w:val="20"/>
          <w:color w:val="auto"/>
        </w:rPr>
      </w:pPr>
      <w:r>
        <w:rPr>
          <w:rFonts w:ascii="Times New Roman" w:cs="Times New Roman" w:eastAsia="Times New Roman" w:hAnsi="Times New Roman"/>
          <w:sz w:val="18"/>
          <w:szCs w:val="18"/>
          <w:color w:val="auto"/>
        </w:rPr>
        <w:t xml:space="preserve">We are a downstream company and are multiple layers removed from the smelters or refiners that directly process the minerals and mineral ores that are essential to the production or functionality of our products,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the necessary Conflict Minerals. Our constitution as a downstream company means that we do not directly perform audits of the smelters or refiners in its mineral supply chain. As a result, our due diligence efforts relied on reviewing information on the status of smelters or refiners participating in Third Party Audit programs and cross-industry initiatives, such as those led by the RMI’s RMAP.</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 Prepared an annual report on supply chain due diligence</w:t>
      </w:r>
    </w:p>
    <w:p>
      <w:pPr>
        <w:spacing w:after="0" w:line="229" w:lineRule="exact"/>
        <w:rPr>
          <w:sz w:val="20"/>
          <w:szCs w:val="20"/>
          <w:color w:val="auto"/>
        </w:rPr>
      </w:pPr>
    </w:p>
    <w:p>
      <w:pPr>
        <w:ind w:right="240" w:firstLine="657"/>
        <w:spacing w:after="0" w:line="263" w:lineRule="auto"/>
        <w:rPr>
          <w:sz w:val="20"/>
          <w:szCs w:val="20"/>
          <w:color w:val="auto"/>
        </w:rPr>
      </w:pPr>
      <w:r>
        <w:rPr>
          <w:rFonts w:ascii="Times New Roman" w:cs="Times New Roman" w:eastAsia="Times New Roman" w:hAnsi="Times New Roman"/>
          <w:sz w:val="18"/>
          <w:szCs w:val="18"/>
          <w:color w:val="auto"/>
        </w:rPr>
        <w:t xml:space="preserve">Kornit’s Conflict Mineral Policy states that we will comply with Section 1502 of the Dodd Frank Act, which includes filing a Form SD and this Conflict Minerals report with the SEC annually and posting such report publicly on our website at: </w:t>
      </w:r>
      <w:r>
        <w:rPr>
          <w:rFonts w:ascii="Times New Roman" w:cs="Times New Roman" w:eastAsia="Times New Roman" w:hAnsi="Times New Roman"/>
          <w:sz w:val="18"/>
          <w:szCs w:val="18"/>
          <w:b w:val="1"/>
          <w:bCs w:val="1"/>
          <w:color w:val="auto"/>
        </w:rPr>
        <w:t xml:space="preserve">https://ir.kornit.com/financial-information/sec-filings?items_per_page=10&amp;page=2 </w:t>
      </w:r>
      <w:r>
        <w:rPr>
          <w:rFonts w:ascii="Times New Roman" w:cs="Times New Roman" w:eastAsia="Times New Roman" w:hAnsi="Times New Roman"/>
          <w:sz w:val="18"/>
          <w:szCs w:val="18"/>
          <w:color w:val="auto"/>
        </w:rPr>
        <w:t>. We have included such report on our website for the calendar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year of 2024.</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Results of Assessment</w:t>
      </w:r>
    </w:p>
    <w:p>
      <w:pPr>
        <w:spacing w:after="0" w:line="225" w:lineRule="exact"/>
        <w:rPr>
          <w:sz w:val="20"/>
          <w:szCs w:val="20"/>
          <w:color w:val="auto"/>
        </w:rPr>
      </w:pPr>
    </w:p>
    <w:p>
      <w:pPr>
        <w:ind w:right="80" w:firstLine="648"/>
        <w:spacing w:after="0" w:line="274" w:lineRule="auto"/>
        <w:rPr>
          <w:sz w:val="20"/>
          <w:szCs w:val="20"/>
          <w:color w:val="auto"/>
        </w:rPr>
      </w:pPr>
      <w:r>
        <w:rPr>
          <w:rFonts w:ascii="Times New Roman" w:cs="Times New Roman" w:eastAsia="Times New Roman" w:hAnsi="Times New Roman"/>
          <w:sz w:val="17"/>
          <w:szCs w:val="17"/>
          <w:color w:val="auto"/>
        </w:rPr>
        <w:t xml:space="preserve">We conducted a supply-chain survey of the </w:t>
      </w:r>
      <w:r>
        <w:rPr>
          <w:rFonts w:ascii="Times New Roman" w:cs="Times New Roman" w:eastAsia="Times New Roman" w:hAnsi="Times New Roman"/>
          <w:sz w:val="17"/>
          <w:szCs w:val="17"/>
          <w:b w:val="1"/>
          <w:bCs w:val="1"/>
          <w:color w:val="auto"/>
        </w:rPr>
        <w:t>377</w:t>
      </w:r>
      <w:r>
        <w:rPr>
          <w:rFonts w:ascii="Times New Roman" w:cs="Times New Roman" w:eastAsia="Times New Roman" w:hAnsi="Times New Roman"/>
          <w:sz w:val="17"/>
          <w:szCs w:val="17"/>
          <w:color w:val="auto"/>
        </w:rPr>
        <w:t xml:space="preserve"> direct suppliers and manufacturers that we identified as contributing the necessary conflict minerals to our products. Based on the survey, we are unable to determine with any level of certainty as to whether or not the Conflict Minerals used in our products may or may not have directly or indirectly financed armed groups in the CAHRAs. The overall response rate to our survey was approximately</w:t>
      </w:r>
    </w:p>
    <w:p>
      <w:pPr>
        <w:spacing w:after="0" w:line="1" w:lineRule="exact"/>
        <w:rPr>
          <w:sz w:val="20"/>
          <w:szCs w:val="20"/>
          <w:color w:val="auto"/>
        </w:rPr>
      </w:pPr>
    </w:p>
    <w:p>
      <w:pPr>
        <w:spacing w:after="0" w:line="209" w:lineRule="auto"/>
        <w:rPr>
          <w:sz w:val="20"/>
          <w:szCs w:val="20"/>
          <w:color w:val="auto"/>
        </w:rPr>
      </w:pPr>
      <w:r>
        <w:rPr>
          <w:rFonts w:ascii="Times New Roman" w:cs="Times New Roman" w:eastAsia="Times New Roman" w:hAnsi="Times New Roman"/>
          <w:sz w:val="18"/>
          <w:szCs w:val="18"/>
          <w:color w:val="auto"/>
        </w:rPr>
        <w:t>73.97%</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which responses contained the names and locations of smelters or refiners (see Annex 1) and the reasonable countries of origin see (Annex 2) that process Conflict Minerals.</w:t>
      </w:r>
    </w:p>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Of this response rate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xml:space="preserve"> the relevant suppliers that responded to the supply chain inquiry in 2024):</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1.07% suppliers were classified as “DRC conflict free”</w:t>
            </w: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32"/>
        </w:trPr>
        <w:tc>
          <w:tcPr>
            <w:tcW w:w="7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8.18% suppliers were classified as “Free no 3TG”</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7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20.64% suppliers were classified as “Undefined from DRC”</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7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7.12% suppliers were classified as “Undetermined not from DRC”</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7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19.93% suppliers were classified as “Undetermined from DRC”</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32"/>
        </w:trPr>
        <w:tc>
          <w:tcPr>
            <w:tcW w:w="7220" w:type="dxa"/>
            <w:vAlign w:val="bottom"/>
            <w:gridSpan w:val="2"/>
          </w:tcPr>
          <w:p>
            <w:pPr>
              <w:ind w:left="660"/>
              <w:spacing w:after="0"/>
              <w:rPr>
                <w:sz w:val="20"/>
                <w:szCs w:val="20"/>
                <w:color w:val="auto"/>
              </w:rPr>
            </w:pPr>
            <w:r>
              <w:rPr>
                <w:rFonts w:ascii="Times New Roman" w:cs="Times New Roman" w:eastAsia="Times New Roman" w:hAnsi="Times New Roman"/>
                <w:sz w:val="18"/>
                <w:szCs w:val="18"/>
                <w:color w:val="auto"/>
              </w:rPr>
              <w:t>●   43.06% suppliers were classified as “Not from DRC”</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60" w:type="dxa"/>
            <w:vAlign w:val="bottom"/>
          </w:tcPr>
          <w:p>
            <w:pPr>
              <w:spacing w:after="0"/>
              <w:rPr>
                <w:sz w:val="24"/>
                <w:szCs w:val="24"/>
                <w:color w:val="auto"/>
              </w:rPr>
            </w:pPr>
          </w:p>
        </w:tc>
      </w:tr>
      <w:tr>
        <w:trPr>
          <w:trHeight w:val="453"/>
        </w:trPr>
        <w:tc>
          <w:tcPr>
            <w:tcW w:w="71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Status</w:t>
            </w:r>
          </w:p>
        </w:tc>
        <w:tc>
          <w:tcPr>
            <w:tcW w:w="12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28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80" w:type="dxa"/>
            <w:vAlign w:val="bottom"/>
            <w:tcBorders>
              <w:bottom w:val="single" w:sz="8" w:color="CCEEFF"/>
            </w:tcBorders>
          </w:tcPr>
          <w:p>
            <w:pPr>
              <w:spacing w:after="0"/>
              <w:rPr>
                <w:sz w:val="24"/>
                <w:szCs w:val="24"/>
                <w:color w:val="auto"/>
              </w:rPr>
            </w:pPr>
          </w:p>
        </w:tc>
        <w:tc>
          <w:tcPr>
            <w:tcW w:w="11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60" w:type="dxa"/>
            <w:vAlign w:val="bottom"/>
            <w:tcBorders>
              <w:bottom w:val="single" w:sz="8" w:color="CCEEFF"/>
            </w:tcBorders>
          </w:tcPr>
          <w:p>
            <w:pPr>
              <w:spacing w:after="0"/>
              <w:rPr>
                <w:sz w:val="24"/>
                <w:szCs w:val="24"/>
                <w:color w:val="auto"/>
              </w:rPr>
            </w:pPr>
          </w:p>
        </w:tc>
      </w:tr>
      <w:tr>
        <w:trPr>
          <w:trHeight w:val="216"/>
        </w:trPr>
        <w:tc>
          <w:tcPr>
            <w:tcW w:w="7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Completed CMRT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75.17%</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62.14%</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73.97%</w:t>
            </w:r>
          </w:p>
        </w:tc>
      </w:tr>
      <w:tr>
        <w:trPr>
          <w:trHeight w:val="216"/>
        </w:trPr>
        <w:tc>
          <w:tcPr>
            <w:tcW w:w="7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Classification of Those Suppliers Who Completed CMRT:</w:t>
            </w: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DRC conflict free</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11.16%</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0.89%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1.07%</w:t>
            </w:r>
          </w:p>
        </w:tc>
      </w:tr>
      <w:tr>
        <w:trPr>
          <w:trHeight w:val="216"/>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Free no 3TG</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13.48%</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10.71%</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8.18%</w:t>
            </w:r>
          </w:p>
        </w:tc>
      </w:tr>
      <w:tr>
        <w:trPr>
          <w:trHeight w:val="216"/>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Undefined from DRC</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9.30%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12.5%</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20.64%</w:t>
            </w:r>
          </w:p>
        </w:tc>
      </w:tr>
      <w:tr>
        <w:trPr>
          <w:trHeight w:val="216"/>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Undetermined not from DRC</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12.09%</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12.05%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7.12%</w:t>
            </w:r>
          </w:p>
        </w:tc>
      </w:tr>
      <w:tr>
        <w:trPr>
          <w:trHeight w:val="216"/>
        </w:trPr>
        <w:tc>
          <w:tcPr>
            <w:tcW w:w="7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Undetermined from DRC</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27.90%</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32.59%</w:t>
            </w:r>
          </w:p>
        </w:tc>
        <w:tc>
          <w:tcPr>
            <w:tcW w:w="1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19.93%</w:t>
            </w:r>
          </w:p>
        </w:tc>
      </w:tr>
      <w:tr>
        <w:trPr>
          <w:trHeight w:val="216"/>
        </w:trPr>
        <w:tc>
          <w:tcPr>
            <w:tcW w:w="7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from DRC</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26.04%</w:t>
            </w:r>
          </w:p>
        </w:tc>
        <w:tc>
          <w:tcPr>
            <w:tcW w:w="13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31.25%</w:t>
            </w:r>
          </w:p>
        </w:tc>
        <w:tc>
          <w:tcPr>
            <w:tcW w:w="12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43.06%</w:t>
            </w:r>
          </w:p>
        </w:tc>
      </w:tr>
    </w:tbl>
    <w:p>
      <w:pPr>
        <w:spacing w:after="0" w:line="19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terms above have the following meaning as part of our due diligence efforts:</w:t>
      </w:r>
    </w:p>
    <w:p>
      <w:pPr>
        <w:spacing w:after="0" w:line="221" w:lineRule="exact"/>
        <w:rPr>
          <w:sz w:val="20"/>
          <w:szCs w:val="20"/>
          <w:color w:val="auto"/>
        </w:rPr>
      </w:pPr>
    </w:p>
    <w:p>
      <w:pPr>
        <w:ind w:left="980" w:right="260" w:hanging="319"/>
        <w:spacing w:after="0" w:line="268" w:lineRule="auto"/>
        <w:tabs>
          <w:tab w:leader="none" w:pos="960" w:val="left"/>
        </w:tabs>
        <w:rPr>
          <w:sz w:val="20"/>
          <w:szCs w:val="20"/>
          <w:color w:val="auto"/>
        </w:rPr>
      </w:pPr>
      <w:r>
        <w:rPr>
          <w:rFonts w:ascii="Times New Roman" w:cs="Times New Roman" w:eastAsia="Times New Roman" w:hAnsi="Times New Roman"/>
          <w:sz w:val="18"/>
          <w:szCs w:val="18"/>
          <w:color w:val="auto"/>
        </w:rPr>
        <w:t>●</w:t>
        <w:tab/>
        <w:t>“</w:t>
      </w:r>
      <w:r>
        <w:rPr>
          <w:rFonts w:ascii="Times New Roman" w:cs="Times New Roman" w:eastAsia="Times New Roman" w:hAnsi="Times New Roman"/>
          <w:sz w:val="18"/>
          <w:szCs w:val="18"/>
          <w:b w:val="1"/>
          <w:bCs w:val="1"/>
          <w:color w:val="auto"/>
        </w:rPr>
        <w:t>DRC conflict free</w:t>
      </w:r>
      <w:r>
        <w:rPr>
          <w:rFonts w:ascii="Times New Roman" w:cs="Times New Roman" w:eastAsia="Times New Roman" w:hAnsi="Times New Roman"/>
          <w:sz w:val="18"/>
          <w:szCs w:val="18"/>
          <w:color w:val="auto"/>
        </w:rPr>
        <w:t>” indicates the suppliers that reported that the Conflict Minerals being used in the products provided to Kornit originate from the DRC or the Covered Countries, but the smelters or refiners are approved by the RMI RMAP Program (“Responsible Minerals Assurance Process”).</w:t>
      </w:r>
    </w:p>
    <w:p>
      <w:pPr>
        <w:spacing w:after="0" w:line="171" w:lineRule="exact"/>
        <w:rPr>
          <w:sz w:val="20"/>
          <w:szCs w:val="20"/>
          <w:color w:val="auto"/>
        </w:rPr>
      </w:pPr>
    </w:p>
    <w:p>
      <w:pPr>
        <w:ind w:left="980" w:right="340" w:hanging="319"/>
        <w:spacing w:after="0" w:line="286" w:lineRule="auto"/>
        <w:tabs>
          <w:tab w:leader="none" w:pos="960" w:val="left"/>
        </w:tabs>
        <w:rPr>
          <w:sz w:val="20"/>
          <w:szCs w:val="20"/>
          <w:color w:val="auto"/>
        </w:rPr>
      </w:pPr>
      <w:r>
        <w:rPr>
          <w:rFonts w:ascii="Times New Roman" w:cs="Times New Roman" w:eastAsia="Times New Roman" w:hAnsi="Times New Roman"/>
          <w:sz w:val="18"/>
          <w:szCs w:val="18"/>
          <w:color w:val="auto"/>
        </w:rPr>
        <w:t>●</w:t>
        <w:tab/>
        <w:t>“</w:t>
      </w:r>
      <w:r>
        <w:rPr>
          <w:rFonts w:ascii="Times New Roman" w:cs="Times New Roman" w:eastAsia="Times New Roman" w:hAnsi="Times New Roman"/>
          <w:sz w:val="18"/>
          <w:szCs w:val="18"/>
          <w:b w:val="1"/>
          <w:bCs w:val="1"/>
          <w:color w:val="auto"/>
        </w:rPr>
        <w:t>Free no 3TG</w:t>
      </w:r>
      <w:r>
        <w:rPr>
          <w:rFonts w:ascii="Times New Roman" w:cs="Times New Roman" w:eastAsia="Times New Roman" w:hAnsi="Times New Roman"/>
          <w:sz w:val="18"/>
          <w:szCs w:val="18"/>
          <w:color w:val="auto"/>
        </w:rPr>
        <w:t>” indicates the suppliers that reported that Conflict Minerals are not contained in the product, nor are they necessary for the functionality or included in the production of the products provided to Kornit.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178308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69" w:lineRule="exact"/>
        <w:rPr>
          <w:sz w:val="20"/>
          <w:szCs w:val="20"/>
          <w:color w:val="auto"/>
        </w:rPr>
      </w:pPr>
    </w:p>
    <w:p>
      <w:pPr>
        <w:spacing w:after="0"/>
        <w:tabs>
          <w:tab w:leader="none" w:pos="320" w:val="left"/>
        </w:tabs>
        <w:rPr>
          <w:sz w:val="20"/>
          <w:szCs w:val="20"/>
          <w:color w:val="auto"/>
        </w:rPr>
      </w:pPr>
      <w:r>
        <w:rPr>
          <w:rFonts w:ascii="Times New Roman" w:cs="Times New Roman" w:eastAsia="Times New Roman" w:hAnsi="Times New Roman"/>
          <w:sz w:val="30"/>
          <w:szCs w:val="30"/>
          <w:color w:val="auto"/>
          <w:vertAlign w:val="superscript"/>
        </w:rPr>
        <w:t>1</w:t>
      </w:r>
      <w:r>
        <w:rPr>
          <w:sz w:val="20"/>
          <w:szCs w:val="20"/>
          <w:color w:val="auto"/>
        </w:rPr>
        <w:tab/>
      </w:r>
      <w:r>
        <w:rPr>
          <w:rFonts w:ascii="Times New Roman" w:cs="Times New Roman" w:eastAsia="Times New Roman" w:hAnsi="Times New Roman"/>
          <w:sz w:val="18"/>
          <w:szCs w:val="18"/>
          <w:color w:val="auto"/>
        </w:rPr>
        <w:t>The response rate includes those who reported with the new version (6.4) and without it.</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0" w:name="page11"/>
    <w:bookmarkEnd w:id="10"/>
    <w:p>
      <w:pPr>
        <w:ind w:left="980" w:hanging="324"/>
        <w:spacing w:after="0" w:line="28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Undefined from DRC”</w:t>
      </w:r>
      <w:r>
        <w:rPr>
          <w:rFonts w:ascii="Times New Roman" w:cs="Times New Roman" w:eastAsia="Times New Roman" w:hAnsi="Times New Roman"/>
          <w:sz w:val="18"/>
          <w:szCs w:val="18"/>
          <w:color w:val="auto"/>
        </w:rPr>
        <w:t xml:space="preserve"> indicates the suppliers that reported the Conflict Minerals being used in the products provided to Kornit originate, or likely originate from the DRC or the Covered Countries. The smelters or refiners are not approved by the RMI’s RMAP.</w:t>
      </w:r>
    </w:p>
    <w:p>
      <w:pPr>
        <w:spacing w:after="0" w:line="154" w:lineRule="exact"/>
        <w:rPr>
          <w:rFonts w:ascii="Times New Roman" w:cs="Times New Roman" w:eastAsia="Times New Roman" w:hAnsi="Times New Roman"/>
          <w:sz w:val="18"/>
          <w:szCs w:val="18"/>
          <w:color w:val="auto"/>
        </w:rPr>
      </w:pPr>
    </w:p>
    <w:p>
      <w:pPr>
        <w:ind w:left="980" w:right="140" w:hanging="324"/>
        <w:spacing w:after="0" w:line="268"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Undetermined not from DRC</w:t>
      </w:r>
      <w:r>
        <w:rPr>
          <w:rFonts w:ascii="Times New Roman" w:cs="Times New Roman" w:eastAsia="Times New Roman" w:hAnsi="Times New Roman"/>
          <w:sz w:val="18"/>
          <w:szCs w:val="18"/>
          <w:color w:val="auto"/>
        </w:rPr>
        <w:t>” indicates the suppliers that reported the Conflict Minerals being used in the products do not originate from the DRC or the Covered Countries, but that they have not yet concluded their due diligence process so this determination could potentially change. Due diligence for these in scope suppliers will continue until the status changes or is confirmed.</w:t>
      </w:r>
    </w:p>
    <w:p>
      <w:pPr>
        <w:spacing w:after="0" w:line="170" w:lineRule="exact"/>
        <w:rPr>
          <w:rFonts w:ascii="Times New Roman" w:cs="Times New Roman" w:eastAsia="Times New Roman" w:hAnsi="Times New Roman"/>
          <w:sz w:val="18"/>
          <w:szCs w:val="18"/>
          <w:color w:val="auto"/>
        </w:rPr>
      </w:pPr>
    </w:p>
    <w:p>
      <w:pPr>
        <w:ind w:left="980" w:right="80" w:hanging="324"/>
        <w:spacing w:after="0" w:line="262"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Undetermined from DRC</w:t>
      </w:r>
      <w:r>
        <w:rPr>
          <w:rFonts w:ascii="Times New Roman" w:cs="Times New Roman" w:eastAsia="Times New Roman" w:hAnsi="Times New Roman"/>
          <w:sz w:val="18"/>
          <w:szCs w:val="18"/>
          <w:color w:val="auto"/>
        </w:rPr>
        <w:t>” indicates the suppliers that reported that the Conflict Minerals being used in the products provided to Kornit originate, or likely originate, in the DRC or the Covered Countries and the smelters or refiners are approved by the RMI RMAP program, but they have not yet concluded their due diligence process, so this determination can potentially change. Due diligence for these in-scope suppliers will continue until the status changes or is confirmed.</w:t>
      </w:r>
    </w:p>
    <w:p>
      <w:pPr>
        <w:spacing w:after="0" w:line="176" w:lineRule="exact"/>
        <w:rPr>
          <w:rFonts w:ascii="Times New Roman" w:cs="Times New Roman" w:eastAsia="Times New Roman" w:hAnsi="Times New Roman"/>
          <w:sz w:val="18"/>
          <w:szCs w:val="18"/>
          <w:color w:val="auto"/>
        </w:rPr>
      </w:pPr>
    </w:p>
    <w:p>
      <w:pPr>
        <w:ind w:left="980" w:right="400" w:hanging="324"/>
        <w:spacing w:after="0" w:line="286" w:lineRule="auto"/>
        <w:tabs>
          <w:tab w:leader="none" w:pos="9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 from DRC</w:t>
      </w:r>
      <w:r>
        <w:rPr>
          <w:rFonts w:ascii="Times New Roman" w:cs="Times New Roman" w:eastAsia="Times New Roman" w:hAnsi="Times New Roman"/>
          <w:sz w:val="18"/>
          <w:szCs w:val="18"/>
          <w:color w:val="auto"/>
        </w:rPr>
        <w:t>” indicates the suppliers that reported sourcing Conflict Minerals, but from countries other than the DRC or the Covered Countries.</w:t>
      </w:r>
    </w:p>
    <w:p>
      <w:pPr>
        <w:spacing w:after="0" w:line="15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We cannot assert with any level of certainty that our conclusions regarding the source, or likely source, and chain of custody of the necessary conflict minerals is accurate because we rely exclusively on information provided by our direct suppliers. In this regard, we have made reasonable inquiries in an effort to verify and assess the information provided based on the conclusions of an independent third-party audit program,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RMI’s RMAP validation program for smelters or refiners, or other relevant Third Party Audit bodies.</w:t>
      </w:r>
    </w:p>
    <w:p>
      <w:pPr>
        <w:spacing w:after="0" w:line="180" w:lineRule="exact"/>
        <w:rPr>
          <w:sz w:val="20"/>
          <w:szCs w:val="20"/>
          <w:color w:val="auto"/>
        </w:rPr>
      </w:pPr>
    </w:p>
    <w:p>
      <w:pPr>
        <w:ind w:right="20" w:firstLine="648"/>
        <w:spacing w:after="0" w:line="256" w:lineRule="auto"/>
        <w:rPr>
          <w:sz w:val="20"/>
          <w:szCs w:val="20"/>
          <w:color w:val="auto"/>
        </w:rPr>
      </w:pPr>
      <w:r>
        <w:rPr>
          <w:rFonts w:ascii="Times New Roman" w:cs="Times New Roman" w:eastAsia="Times New Roman" w:hAnsi="Times New Roman"/>
          <w:sz w:val="18"/>
          <w:szCs w:val="18"/>
          <w:color w:val="auto"/>
        </w:rPr>
        <w:t>Despite the fact that some suppliers indicated that they source from the CAHRAs, these suppliers were unable to accurately report the specific smelters and/or refiners that were part of the supply chain for the components that were sold and which are necessary to the production and/or functionality of our products in 2024. Based on the lack of complete information from our suppliers, we are unable to determine with any level of certainty as to the complete list of facilities used to process those necessary Conflict Minerals, or their country of origin, and to conclude whether or not the Conflict Minerals used in our products may or may not have directly or indirectly financed armed groups in the CAHRAs. Our efforts to determine the mine(s) or location of origin included the use of the due diligence measures described above.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Smelters or refiners verified as conflict free or in the audit process: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Tin</w:t>
            </w:r>
          </w:p>
        </w:tc>
        <w:tc>
          <w:tcPr>
            <w:tcW w:w="10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72 of 92 (78.26%) - (71 compliant and 1 active smelters or refiners)</w:t>
            </w:r>
          </w:p>
        </w:tc>
      </w:tr>
      <w:tr>
        <w:trPr>
          <w:trHeight w:val="216"/>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Tantalum</w:t>
            </w:r>
          </w:p>
        </w:tc>
        <w:tc>
          <w:tcPr>
            <w:tcW w:w="10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34 of 36 (94.44%) - (34 compliant and 0 active smelters or refiners)</w:t>
            </w:r>
          </w:p>
        </w:tc>
      </w:tr>
      <w:tr>
        <w:trPr>
          <w:trHeight w:val="216"/>
        </w:trPr>
        <w:tc>
          <w:tcPr>
            <w:tcW w:w="1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Tungsten</w:t>
            </w:r>
          </w:p>
        </w:tc>
        <w:tc>
          <w:tcPr>
            <w:tcW w:w="10160" w:type="dxa"/>
            <w:vAlign w:val="bottom"/>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37 of 56 (66.07%) - (36 compliant and 1 active smelters or refiners)</w:t>
            </w:r>
          </w:p>
        </w:tc>
      </w:tr>
      <w:tr>
        <w:trPr>
          <w:trHeight w:val="216"/>
        </w:trPr>
        <w:tc>
          <w:tcPr>
            <w:tcW w:w="1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Gold</w:t>
            </w:r>
          </w:p>
        </w:tc>
        <w:tc>
          <w:tcPr>
            <w:tcW w:w="101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95 of 183 (51.91%) - (93 compliant and 2 active smelters or refiners)</w:t>
            </w:r>
          </w:p>
        </w:tc>
      </w:tr>
      <w:tr>
        <w:trPr>
          <w:trHeight w:val="196"/>
        </w:trPr>
        <w:tc>
          <w:tcPr>
            <w:tcW w:w="108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Total</w:t>
            </w:r>
          </w:p>
        </w:tc>
        <w:tc>
          <w:tcPr>
            <w:tcW w:w="10160" w:type="dxa"/>
            <w:vAlign w:val="bottom"/>
            <w:shd w:val="clear" w:color="auto" w:fill="CCEEFF"/>
          </w:tcPr>
          <w:p>
            <w:pPr>
              <w:ind w:left="400"/>
              <w:spacing w:after="0" w:line="176" w:lineRule="exact"/>
              <w:rPr>
                <w:sz w:val="20"/>
                <w:szCs w:val="20"/>
                <w:color w:val="auto"/>
              </w:rPr>
            </w:pPr>
            <w:r>
              <w:rPr>
                <w:rFonts w:ascii="Times New Roman" w:cs="Times New Roman" w:eastAsia="Times New Roman" w:hAnsi="Times New Roman"/>
                <w:sz w:val="18"/>
                <w:szCs w:val="18"/>
                <w:color w:val="auto"/>
              </w:rPr>
              <w:t>238 of 367 (64.85%) - (223 compliant and 8 active smelters or refiners)</w:t>
            </w:r>
          </w:p>
        </w:tc>
      </w:tr>
      <w:tr>
        <w:trPr>
          <w:trHeight w:val="655"/>
        </w:trPr>
        <w:tc>
          <w:tcPr>
            <w:tcW w:w="400" w:type="dxa"/>
            <w:vAlign w:val="bottom"/>
            <w:tcBorders>
              <w:top w:val="single" w:sz="8" w:color="auto"/>
              <w:bottom w:val="single" w:sz="8" w:color="auto"/>
            </w:tcBorders>
          </w:tcPr>
          <w:p>
            <w:pPr>
              <w:spacing w:after="0"/>
              <w:rPr>
                <w:sz w:val="24"/>
                <w:szCs w:val="24"/>
                <w:color w:val="auto"/>
              </w:rPr>
            </w:pPr>
          </w:p>
        </w:tc>
        <w:tc>
          <w:tcPr>
            <w:tcW w:w="680" w:type="dxa"/>
            <w:vAlign w:val="bottom"/>
            <w:tcBorders>
              <w:top w:val="single" w:sz="8" w:color="CCEEFF"/>
              <w:bottom w:val="single" w:sz="8" w:color="auto"/>
            </w:tcBorders>
          </w:tcPr>
          <w:p>
            <w:pPr>
              <w:spacing w:after="0"/>
              <w:rPr>
                <w:sz w:val="24"/>
                <w:szCs w:val="24"/>
                <w:color w:val="auto"/>
              </w:rPr>
            </w:pPr>
          </w:p>
        </w:tc>
        <w:tc>
          <w:tcPr>
            <w:tcW w:w="10160" w:type="dxa"/>
            <w:vAlign w:val="bottom"/>
            <w:tcBorders>
              <w:top w:val="single" w:sz="8" w:color="CCEEFF"/>
              <w:bottom w:val="single" w:sz="8" w:color="auto"/>
            </w:tcBorders>
          </w:tcPr>
          <w:p>
            <w:pPr>
              <w:ind w:left="4500"/>
              <w:spacing w:after="0"/>
              <w:rPr>
                <w:sz w:val="20"/>
                <w:szCs w:val="20"/>
                <w:color w:val="auto"/>
              </w:rPr>
            </w:pPr>
            <w:r>
              <w:rPr>
                <w:rFonts w:ascii="Times New Roman" w:cs="Times New Roman" w:eastAsia="Times New Roman" w:hAnsi="Times New Roman"/>
                <w:sz w:val="18"/>
                <w:szCs w:val="18"/>
                <w:color w:val="auto"/>
              </w:rPr>
              <w:t>8</w:t>
            </w:r>
          </w:p>
        </w:tc>
      </w:tr>
    </w:tbl>
    <w:p>
      <w:pPr>
        <w:sectPr>
          <w:pgSz w:w="11900" w:h="16838" w:orient="portrait"/>
          <w:cols w:equalWidth="0" w:num="1">
            <w:col w:w="11240"/>
          </w:cols>
          <w:pgMar w:left="320" w:top="333" w:right="339"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 xml:space="preserve">Smelters or refiners: </w:t>
            </w:r>
            <w:r>
              <w:rPr>
                <w:rFonts w:ascii="Times New Roman" w:cs="Times New Roman" w:eastAsia="Times New Roman" w:hAnsi="Times New Roman"/>
                <w:sz w:val="18"/>
                <w:szCs w:val="18"/>
                <w:color w:val="auto"/>
              </w:rPr>
              <w:t>2024-2023-2022</w:t>
            </w:r>
          </w:p>
        </w:tc>
        <w:tc>
          <w:tcPr>
            <w:tcW w:w="14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3"/>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Status</w:t>
            </w:r>
          </w:p>
        </w:tc>
        <w:tc>
          <w:tcPr>
            <w:tcW w:w="14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24"/>
                <w:szCs w:val="24"/>
                <w:color w:val="auto"/>
              </w:rPr>
            </w:pPr>
          </w:p>
        </w:tc>
        <w:tc>
          <w:tcPr>
            <w:tcW w:w="14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200" w:type="dxa"/>
            <w:vAlign w:val="bottom"/>
          </w:tcPr>
          <w:p>
            <w:pPr>
              <w:spacing w:after="0"/>
              <w:rPr>
                <w:sz w:val="24"/>
                <w:szCs w:val="24"/>
                <w:color w:val="auto"/>
              </w:rPr>
            </w:pPr>
          </w:p>
        </w:tc>
        <w:tc>
          <w:tcPr>
            <w:tcW w:w="146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00" w:type="dxa"/>
            <w:vAlign w:val="bottom"/>
          </w:tcPr>
          <w:p>
            <w:pPr>
              <w:spacing w:after="0"/>
              <w:rPr>
                <w:sz w:val="24"/>
                <w:szCs w:val="24"/>
                <w:color w:val="auto"/>
              </w:rPr>
            </w:pPr>
          </w:p>
        </w:tc>
      </w:tr>
      <w:tr>
        <w:trPr>
          <w:trHeight w:val="216"/>
        </w:trPr>
        <w:tc>
          <w:tcPr>
            <w:tcW w:w="62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Verified Conflict Free</w:t>
            </w:r>
          </w:p>
        </w:tc>
        <w:tc>
          <w:tcPr>
            <w:tcW w:w="1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 (63.76%)</w:t>
            </w: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 (63.32%)</w:t>
            </w: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 (63.70%)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3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Participating in an audit process</w:t>
            </w:r>
          </w:p>
        </w:tc>
        <w:tc>
          <w:tcPr>
            <w:tcW w:w="17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4 (1.09%)</w:t>
            </w:r>
          </w:p>
        </w:tc>
        <w:tc>
          <w:tcPr>
            <w:tcW w:w="16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 (1.15%)</w:t>
            </w:r>
          </w:p>
        </w:tc>
        <w:tc>
          <w:tcPr>
            <w:tcW w:w="15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 (2.29%)</w:t>
            </w:r>
          </w:p>
        </w:tc>
      </w:tr>
      <w:tr>
        <w:trPr>
          <w:trHeight w:val="216"/>
        </w:trPr>
        <w:tc>
          <w:tcPr>
            <w:tcW w:w="63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Not Participating</w:t>
            </w:r>
          </w:p>
        </w:tc>
        <w:tc>
          <w:tcPr>
            <w:tcW w:w="1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129</w:t>
            </w:r>
          </w:p>
        </w:tc>
        <w:tc>
          <w:tcPr>
            <w:tcW w:w="16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124 (35.53%)</w:t>
            </w:r>
          </w:p>
        </w:tc>
        <w:tc>
          <w:tcPr>
            <w:tcW w:w="15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 (34.00%)</w:t>
            </w:r>
          </w:p>
        </w:tc>
      </w:tr>
      <w:tr>
        <w:trPr>
          <w:trHeight w:val="176"/>
        </w:trPr>
        <w:tc>
          <w:tcPr>
            <w:tcW w:w="632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Total</w:t>
            </w:r>
          </w:p>
        </w:tc>
        <w:tc>
          <w:tcPr>
            <w:tcW w:w="1700" w:type="dxa"/>
            <w:vAlign w:val="bottom"/>
            <w:gridSpan w:val="2"/>
          </w:tcPr>
          <w:p>
            <w:pPr>
              <w:jc w:val="right"/>
              <w:ind w:right="240"/>
              <w:spacing w:after="0" w:line="176" w:lineRule="exact"/>
              <w:rPr>
                <w:sz w:val="20"/>
                <w:szCs w:val="20"/>
                <w:color w:val="auto"/>
              </w:rPr>
            </w:pPr>
            <w:r>
              <w:rPr>
                <w:rFonts w:ascii="Times New Roman" w:cs="Times New Roman" w:eastAsia="Times New Roman" w:hAnsi="Times New Roman"/>
                <w:sz w:val="18"/>
                <w:szCs w:val="18"/>
                <w:color w:val="auto"/>
              </w:rPr>
              <w:t>367 (100%)</w:t>
            </w:r>
          </w:p>
        </w:tc>
        <w:tc>
          <w:tcPr>
            <w:tcW w:w="1660" w:type="dxa"/>
            <w:vAlign w:val="bottom"/>
            <w:gridSpan w:val="2"/>
          </w:tcPr>
          <w:p>
            <w:pPr>
              <w:jc w:val="right"/>
              <w:ind w:right="200"/>
              <w:spacing w:after="0" w:line="176" w:lineRule="exact"/>
              <w:rPr>
                <w:sz w:val="20"/>
                <w:szCs w:val="20"/>
                <w:color w:val="auto"/>
              </w:rPr>
            </w:pPr>
            <w:r>
              <w:rPr>
                <w:rFonts w:ascii="Times New Roman" w:cs="Times New Roman" w:eastAsia="Times New Roman" w:hAnsi="Times New Roman"/>
                <w:sz w:val="18"/>
                <w:szCs w:val="18"/>
                <w:color w:val="auto"/>
              </w:rPr>
              <w:t>349 (100%)</w:t>
            </w:r>
          </w:p>
        </w:tc>
        <w:tc>
          <w:tcPr>
            <w:tcW w:w="1560" w:type="dxa"/>
            <w:vAlign w:val="bottom"/>
            <w:gridSpan w:val="2"/>
          </w:tcPr>
          <w:p>
            <w:pPr>
              <w:jc w:val="right"/>
              <w:ind w:right="100"/>
              <w:spacing w:after="0" w:line="176" w:lineRule="exact"/>
              <w:rPr>
                <w:sz w:val="20"/>
                <w:szCs w:val="20"/>
                <w:color w:val="auto"/>
              </w:rPr>
            </w:pPr>
            <w:r>
              <w:rPr>
                <w:rFonts w:ascii="Times New Roman" w:cs="Times New Roman" w:eastAsia="Times New Roman" w:hAnsi="Times New Roman"/>
                <w:sz w:val="18"/>
                <w:szCs w:val="18"/>
                <w:color w:val="auto"/>
              </w:rPr>
              <w:t>350 (100%)</w:t>
            </w:r>
          </w:p>
        </w:tc>
      </w:tr>
      <w:tr>
        <w:trPr>
          <w:trHeight w:val="20"/>
        </w:trPr>
        <w:tc>
          <w:tcPr>
            <w:tcW w:w="400" w:type="dxa"/>
            <w:vAlign w:val="bottom"/>
            <w:shd w:val="clear" w:color="auto" w:fill="000000"/>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Risk Factors</w:t>
      </w:r>
    </w:p>
    <w:p>
      <w:pPr>
        <w:spacing w:after="0" w:line="229" w:lineRule="exact"/>
        <w:rPr>
          <w:sz w:val="20"/>
          <w:szCs w:val="20"/>
          <w:color w:val="auto"/>
        </w:rPr>
      </w:pPr>
    </w:p>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statements above are based on the RCOI process and supply due diligence that we conducted in good faith for 2024. These statements are based on the information available at the time of the writing and publication of this report. A number of factors could introduce errors or otherwise may affect our conclusions.</w:t>
      </w:r>
    </w:p>
    <w:p>
      <w:pPr>
        <w:spacing w:after="0" w:line="17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These factors include, but are not limited to, gaps in product or product content information, gaps in supplier data, errors and/or omissions by suppliers, confusion over requirements of the Rule, gaps in supplier education and knowledge, lack of timeliness of data, public information not discovered through a reasonable search, errors in public data, language barriers and translation, supplier unfamiliarity with the Rule, conflict-area sourced materials declared secondary materials, companies that went out of business in 2024, and smuggling of Conflict Minerals to countries beyond the CAHRAs.</w:t>
      </w:r>
    </w:p>
    <w:p>
      <w:pPr>
        <w:spacing w:after="0" w:line="180" w:lineRule="exact"/>
        <w:rPr>
          <w:sz w:val="20"/>
          <w:szCs w:val="20"/>
          <w:color w:val="auto"/>
        </w:rPr>
      </w:pPr>
    </w:p>
    <w:p>
      <w:pPr>
        <w:ind w:right="180" w:firstLine="648"/>
        <w:spacing w:after="0" w:line="261" w:lineRule="auto"/>
        <w:rPr>
          <w:sz w:val="20"/>
          <w:szCs w:val="20"/>
          <w:color w:val="auto"/>
        </w:rPr>
      </w:pPr>
      <w:r>
        <w:rPr>
          <w:rFonts w:ascii="Times New Roman" w:cs="Times New Roman" w:eastAsia="Times New Roman" w:hAnsi="Times New Roman"/>
          <w:sz w:val="18"/>
          <w:szCs w:val="18"/>
          <w:color w:val="auto"/>
        </w:rPr>
        <w:t>We do not collect information from our suppliers on a continuous and real-time basis. Instead, we only collect such information in the context of the CMRTs provided by the suppliers at the time of the publication of this report. We cannot be certain about our conclusions regarding the source and chain of custody of the necessary Conflict Minerals as such information comes from direct suppliers, though we do verify their declarations against the conclusions of independent third-party audit programs, such as the RMI’s RMAP program.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Continuous improvement efforts to mitigate risk</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We will continue working with our global supply chain in an effort to achieve responsible sourcing and compliance with international regulations, including through the following actions:</w:t>
      </w:r>
    </w:p>
    <w:p>
      <w:pPr>
        <w:spacing w:after="0" w:line="162" w:lineRule="exact"/>
        <w:rPr>
          <w:sz w:val="20"/>
          <w:szCs w:val="20"/>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conduct and report annually on supply chain due diligence for the applicable Conflict Minerals, as required by the Rule.</w:t>
      </w:r>
    </w:p>
    <w:p>
      <w:pPr>
        <w:spacing w:after="0" w:line="225" w:lineRule="exact"/>
        <w:rPr>
          <w:rFonts w:ascii="Times New Roman" w:cs="Times New Roman" w:eastAsia="Times New Roman" w:hAnsi="Times New Roman"/>
          <w:sz w:val="18"/>
          <w:szCs w:val="18"/>
          <w:color w:val="auto"/>
        </w:rPr>
      </w:pPr>
    </w:p>
    <w:p>
      <w:pPr>
        <w:ind w:left="980" w:right="66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 with suppliers that did not respond to our 2024 survey to help them understand the importance of this initiative to Kornit and to encourage their participation in the 2025 survey.</w:t>
      </w:r>
    </w:p>
    <w:p>
      <w:pPr>
        <w:spacing w:after="0" w:line="161" w:lineRule="exact"/>
        <w:rPr>
          <w:rFonts w:ascii="Times New Roman" w:cs="Times New Roman" w:eastAsia="Times New Roman" w:hAnsi="Times New Roman"/>
          <w:sz w:val="18"/>
          <w:szCs w:val="18"/>
          <w:color w:val="auto"/>
        </w:rPr>
      </w:pPr>
    </w:p>
    <w:p>
      <w:pPr>
        <w:ind w:left="980" w:right="42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Attempt to validate supplier responses using information collected via independent, conflict-free smelter validation programs such as the Responsible Minerals Initiative’s (RMI) RMAP smelter or refiner validation program.</w:t>
      </w:r>
    </w:p>
    <w:p>
      <w:pPr>
        <w:spacing w:after="0" w:line="161" w:lineRule="exact"/>
        <w:rPr>
          <w:rFonts w:ascii="Times New Roman" w:cs="Times New Roman" w:eastAsia="Times New Roman" w:hAnsi="Times New Roman"/>
          <w:sz w:val="18"/>
          <w:szCs w:val="18"/>
          <w:color w:val="auto"/>
        </w:rPr>
      </w:pPr>
    </w:p>
    <w:p>
      <w:pPr>
        <w:ind w:left="980" w:right="40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 follow up letters to high-risk unresponsive suppliers, and to suppliers with Conflict Minerals from the DRC and the CAHRAs from uncertified smelters.</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implement our CM policy.</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 use of tools for improved supplier responses.</w:t>
      </w:r>
    </w:p>
    <w:p>
      <w:pPr>
        <w:spacing w:after="0" w:line="22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to include or attempt to include a conflict minerals flow-down clause in new or renewed supplier contracts.</w:t>
      </w:r>
    </w:p>
    <w:p>
      <w:pPr>
        <w:spacing w:after="0" w:line="225" w:lineRule="exact"/>
        <w:rPr>
          <w:rFonts w:ascii="Times New Roman" w:cs="Times New Roman" w:eastAsia="Times New Roman" w:hAnsi="Times New Roman"/>
          <w:sz w:val="18"/>
          <w:szCs w:val="18"/>
          <w:color w:val="auto"/>
        </w:rPr>
      </w:pPr>
    </w:p>
    <w:p>
      <w:pPr>
        <w:ind w:left="980" w:right="340" w:hanging="324"/>
        <w:spacing w:after="0" w:line="282" w:lineRule="auto"/>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Request suppliers to procure materials through validated smelters or refiners pursuant to the RMI or other approved resources and request suppliers to take mitigating actions in case they do not.</w:t>
      </w:r>
    </w:p>
    <w:p>
      <w:pPr>
        <w:spacing w:after="0" w:line="16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updated our Conflict Minerals company procedure.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8"/>
        </w:trPr>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60" w:type="dxa"/>
            <w:vAlign w:val="bottom"/>
            <w:gridSpan w:val="2"/>
          </w:tcPr>
          <w:p>
            <w:pPr>
              <w:ind w:left="3820"/>
              <w:spacing w:after="0"/>
              <w:rPr>
                <w:sz w:val="20"/>
                <w:szCs w:val="20"/>
                <w:color w:val="auto"/>
              </w:rPr>
            </w:pPr>
            <w:r>
              <w:rPr>
                <w:rFonts w:ascii="Times New Roman" w:cs="Times New Roman" w:eastAsia="Times New Roman" w:hAnsi="Times New Roman"/>
                <w:sz w:val="18"/>
                <w:szCs w:val="18"/>
                <w:b w:val="1"/>
                <w:bCs w:val="1"/>
                <w:color w:val="auto"/>
              </w:rPr>
              <w:t>Annex 1</w:t>
            </w:r>
          </w:p>
        </w:tc>
        <w:tc>
          <w:tcPr>
            <w:tcW w:w="3700" w:type="dxa"/>
            <w:vAlign w:val="bottom"/>
          </w:tcPr>
          <w:p>
            <w:pPr>
              <w:spacing w:after="0"/>
              <w:rPr>
                <w:sz w:val="20"/>
                <w:szCs w:val="20"/>
                <w:color w:val="auto"/>
              </w:rPr>
            </w:pPr>
          </w:p>
        </w:tc>
      </w:tr>
      <w:tr>
        <w:trPr>
          <w:trHeight w:val="432"/>
        </w:trPr>
        <w:tc>
          <w:tcPr>
            <w:tcW w:w="754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Reported Names and Locations of Smelters or Refiners</w:t>
            </w:r>
          </w:p>
        </w:tc>
        <w:tc>
          <w:tcPr>
            <w:tcW w:w="3700" w:type="dxa"/>
            <w:vAlign w:val="bottom"/>
          </w:tcPr>
          <w:p>
            <w:pPr>
              <w:spacing w:after="0"/>
              <w:rPr>
                <w:sz w:val="24"/>
                <w:szCs w:val="24"/>
                <w:color w:val="auto"/>
              </w:rPr>
            </w:pPr>
          </w:p>
        </w:tc>
      </w:tr>
      <w:tr>
        <w:trPr>
          <w:trHeight w:val="459"/>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Smelter Metal</w:t>
            </w:r>
          </w:p>
        </w:tc>
        <w:tc>
          <w:tcPr>
            <w:tcW w:w="120" w:type="dxa"/>
            <w:vAlign w:val="bottom"/>
          </w:tcPr>
          <w:p>
            <w:pPr>
              <w:spacing w:after="0"/>
              <w:rPr>
                <w:sz w:val="24"/>
                <w:szCs w:val="24"/>
                <w:color w:val="auto"/>
              </w:rPr>
            </w:pPr>
          </w:p>
        </w:tc>
        <w:tc>
          <w:tcPr>
            <w:tcW w:w="6060" w:type="dxa"/>
            <w:vAlign w:val="bottom"/>
            <w:gridSpan w:val="2"/>
          </w:tcPr>
          <w:p>
            <w:pPr>
              <w:ind w:left="2420"/>
              <w:spacing w:after="0"/>
              <w:rPr>
                <w:sz w:val="20"/>
                <w:szCs w:val="20"/>
                <w:color w:val="auto"/>
              </w:rPr>
            </w:pPr>
            <w:r>
              <w:rPr>
                <w:rFonts w:ascii="Times New Roman" w:cs="Times New Roman" w:eastAsia="Times New Roman" w:hAnsi="Times New Roman"/>
                <w:sz w:val="18"/>
                <w:szCs w:val="18"/>
                <w:b w:val="1"/>
                <w:bCs w:val="1"/>
                <w:color w:val="auto"/>
              </w:rPr>
              <w:t>Smelter Name</w:t>
            </w:r>
          </w:p>
        </w:tc>
        <w:tc>
          <w:tcPr>
            <w:tcW w:w="3700" w:type="dxa"/>
            <w:vAlign w:val="bottom"/>
          </w:tcPr>
          <w:p>
            <w:pPr>
              <w:ind w:left="1200"/>
              <w:spacing w:after="0"/>
              <w:rPr>
                <w:sz w:val="20"/>
                <w:szCs w:val="20"/>
                <w:color w:val="auto"/>
              </w:rPr>
            </w:pPr>
            <w:r>
              <w:rPr>
                <w:rFonts w:ascii="Times New Roman" w:cs="Times New Roman" w:eastAsia="Times New Roman" w:hAnsi="Times New Roman"/>
                <w:sz w:val="18"/>
                <w:szCs w:val="18"/>
                <w:b w:val="1"/>
                <w:bCs w:val="1"/>
                <w:color w:val="auto"/>
              </w:rPr>
              <w:t>Smelter Country</w:t>
            </w:r>
          </w:p>
        </w:tc>
      </w:tr>
      <w:tr>
        <w:trPr>
          <w:trHeight w:val="209"/>
        </w:trPr>
        <w:tc>
          <w:tcPr>
            <w:tcW w:w="13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120" w:type="dxa"/>
            <w:vAlign w:val="bottom"/>
            <w:tcBorders>
              <w:top w:val="single" w:sz="8" w:color="CCEEFF"/>
            </w:tcBorders>
            <w:shd w:val="clear" w:color="auto" w:fill="CCEEFF"/>
          </w:tcPr>
          <w:p>
            <w:pPr>
              <w:spacing w:after="0"/>
              <w:rPr>
                <w:sz w:val="18"/>
                <w:szCs w:val="18"/>
                <w:color w:val="auto"/>
              </w:rPr>
            </w:pPr>
          </w:p>
        </w:tc>
        <w:tc>
          <w:tcPr>
            <w:tcW w:w="59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8853 S.p.A.</w:t>
            </w:r>
          </w:p>
        </w:tc>
        <w:tc>
          <w:tcPr>
            <w:tcW w:w="10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ABC Refinery Pty Ltd.</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Abington Reldan Metals, LLC</w:t>
            </w: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Advanced Chemical Company</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African Gold Refinery</w:t>
            </w: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UGANDA</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Aida Chemical Industries Co., Ltd.</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Al Etihad Gold Refinery DMCC</w:t>
            </w: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Albino Mountinho Lda.</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Portugal</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Alexy Metals</w:t>
            </w: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Allgemeine Gold-und Silberscheideanstalt A.G.</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Almalyk Mining and Metallurgical Complex (AMMC)</w:t>
            </w: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UZBEKISTAN</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AngloGold Ashanti Córrego do Sítio Mineração</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Argor-Heraeus S.A.</w:t>
            </w: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Asahi Pretec Corp.</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Asaka Riken Co., Ltd.</w:t>
            </w: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Atasay Kuyumculuk Sanayi Ve Ticaret A.S.</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TURKEY</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Attero Recycling Pvt Ltd</w:t>
            </w: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AU Traders and Refiners</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Augmont Enterprises Private Limited</w:t>
            </w: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Bangalore Refinery Pvt Ltd</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Boliden Ronnskar</w:t>
            </w: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SWEDEN</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 Hafner GmbH + Co. KG</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Cendres + Métaux S.A.</w:t>
            </w: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Central Bank of the Philippines Gold Refinery &amp; Mint</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PHILIPPINES</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Chemmanur Gold Refinery</w:t>
            </w: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Chimet S.p.A.</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Chugai Mining</w:t>
            </w: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Coimpa Industrial LTDA</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Daye Non-Ferrous Metals Mining Ltd.</w:t>
            </w: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Degussa Sonne / Mond Goldhandel GmbH</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Dijllah Gold Refinery FZC</w:t>
            </w: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Dongwu Gold Group</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DSC (Do Sung Corporation)</w:t>
            </w: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Eco-System Recycling Co., Ltd. East Plant</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Eco-System Recycling Co., Ltd. North Plant</w:t>
            </w: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Eco-System Recycling Co., Ltd. West Plant</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Emerald Jewel Industry India Limited (Unit 1)</w:t>
            </w: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Emerald Jewel Industry India Limited (Unit 2)</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Emerald Jewel Industry India Limited (Unit 3)</w:t>
            </w: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Emerald Jewel Industry India Limited (Unit 4)</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Emirates Gold DMCC</w:t>
            </w: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Fidelity Printers and Refiners Ltd.</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ZIMBABWE</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Fujhara Refinery</w:t>
            </w: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GG Refinery Ltd.</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Tanzania, United Republic Of</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Gold by Gold Colombia</w:t>
            </w: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Colombia</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Gold Coast Refinery</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GHANA</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Guangdong Jinding Gold Limited</w:t>
            </w: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Gujarat Gold Centre</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Hangzhou Fuchunjiang Smelting Co., Ltd.</w:t>
            </w: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tcPr>
          <w:p>
            <w:pPr>
              <w:ind w:left="120"/>
              <w:spacing w:after="0"/>
              <w:rPr>
                <w:sz w:val="20"/>
                <w:szCs w:val="20"/>
                <w:color w:val="auto"/>
              </w:rPr>
            </w:pPr>
            <w:r>
              <w:rPr>
                <w:rFonts w:ascii="Times New Roman" w:cs="Times New Roman" w:eastAsia="Times New Roman" w:hAnsi="Times New Roman"/>
                <w:sz w:val="18"/>
                <w:szCs w:val="18"/>
                <w:color w:val="auto"/>
              </w:rPr>
              <w:t>Heimerle + Meule GmbH</w:t>
            </w:r>
          </w:p>
        </w:tc>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1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Heraeus Metals Hong Kong Ltd.</w:t>
            </w: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CHINA</w:t>
            </w:r>
          </w:p>
        </w:tc>
      </w:tr>
      <w:tr>
        <w:trPr>
          <w:trHeight w:val="682"/>
        </w:trPr>
        <w:tc>
          <w:tcPr>
            <w:tcW w:w="1360" w:type="dxa"/>
            <w:vAlign w:val="bottom"/>
            <w:tcBorders>
              <w:bottom w:val="single" w:sz="8" w:color="auto"/>
            </w:tcBorders>
          </w:tcPr>
          <w:p>
            <w:pPr>
              <w:spacing w:after="0"/>
              <w:rPr>
                <w:sz w:val="24"/>
                <w:szCs w:val="24"/>
                <w:color w:val="auto"/>
              </w:rPr>
            </w:pPr>
          </w:p>
        </w:tc>
        <w:tc>
          <w:tcPr>
            <w:tcW w:w="6080" w:type="dxa"/>
            <w:vAlign w:val="bottom"/>
            <w:tcBorders>
              <w:bottom w:val="single" w:sz="8" w:color="auto"/>
            </w:tcBorders>
            <w:gridSpan w:val="2"/>
          </w:tcPr>
          <w:p>
            <w:pPr>
              <w:ind w:left="4180"/>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Heraeus Precious Metals GmbH &amp; Co. KG</w:t>
            </w:r>
          </w:p>
        </w:tc>
        <w:tc>
          <w:tcPr>
            <w:tcW w:w="43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Hunan Chenzhou Mining Industry Co. Ltd.</w:t>
            </w:r>
          </w:p>
        </w:tc>
        <w:tc>
          <w:tcPr>
            <w:tcW w:w="4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Hunan Yu Teng Non-Ferrous Metals Co., Ltd.</w:t>
            </w:r>
          </w:p>
        </w:tc>
        <w:tc>
          <w:tcPr>
            <w:tcW w:w="43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HwaSeong CJ CO., LTD.</w:t>
            </w:r>
          </w:p>
        </w:tc>
        <w:tc>
          <w:tcPr>
            <w:tcW w:w="4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Impala Refineries – Base Metals Refinery (BMR)</w:t>
            </w:r>
          </w:p>
        </w:tc>
        <w:tc>
          <w:tcPr>
            <w:tcW w:w="43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Impala Refineries – Platinum Metals Refinery (PMR)</w:t>
            </w:r>
          </w:p>
        </w:tc>
        <w:tc>
          <w:tcPr>
            <w:tcW w:w="4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Impala Rustenburg</w:t>
            </w:r>
          </w:p>
        </w:tc>
        <w:tc>
          <w:tcPr>
            <w:tcW w:w="43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Inca One (Chala One Plant)</w:t>
            </w:r>
          </w:p>
        </w:tc>
        <w:tc>
          <w:tcPr>
            <w:tcW w:w="4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Peru</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Inner Mongolia Qiankun Gold and Silver Refinery Share Co., Ltd.</w:t>
            </w:r>
          </w:p>
        </w:tc>
        <w:tc>
          <w:tcPr>
            <w:tcW w:w="43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International Precious Metal Refiners</w:t>
            </w:r>
          </w:p>
        </w:tc>
        <w:tc>
          <w:tcPr>
            <w:tcW w:w="4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Ishifuku Metal Industry Co., Ltd.</w:t>
            </w:r>
          </w:p>
        </w:tc>
        <w:tc>
          <w:tcPr>
            <w:tcW w:w="43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Istanbul Gold Refinery</w:t>
            </w:r>
          </w:p>
        </w:tc>
        <w:tc>
          <w:tcPr>
            <w:tcW w:w="4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TURKEY</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Italpreziosi</w:t>
            </w:r>
          </w:p>
        </w:tc>
        <w:tc>
          <w:tcPr>
            <w:tcW w:w="43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JALAN &amp; Company</w:t>
            </w:r>
          </w:p>
        </w:tc>
        <w:tc>
          <w:tcPr>
            <w:tcW w:w="4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Japan Mint</w:t>
            </w:r>
          </w:p>
        </w:tc>
        <w:tc>
          <w:tcPr>
            <w:tcW w:w="43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Jiangxi Copper Co., Ltd.</w:t>
            </w:r>
          </w:p>
        </w:tc>
        <w:tc>
          <w:tcPr>
            <w:tcW w:w="4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Johnson Matthey Inc. (USA)</w:t>
            </w:r>
          </w:p>
        </w:tc>
        <w:tc>
          <w:tcPr>
            <w:tcW w:w="43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Johnson Matthey Limited</w:t>
            </w:r>
          </w:p>
        </w:tc>
        <w:tc>
          <w:tcPr>
            <w:tcW w:w="4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JSC Ekaterinburg Non-Ferrous Metal Processing Plant</w:t>
            </w:r>
          </w:p>
        </w:tc>
        <w:tc>
          <w:tcPr>
            <w:tcW w:w="43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JSC Uralelectromed</w:t>
            </w:r>
          </w:p>
        </w:tc>
        <w:tc>
          <w:tcPr>
            <w:tcW w:w="4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K.A. Rasmussen</w:t>
            </w:r>
          </w:p>
        </w:tc>
        <w:tc>
          <w:tcPr>
            <w:tcW w:w="43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NORWAY</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Kaloti Precious Metals</w:t>
            </w:r>
          </w:p>
        </w:tc>
        <w:tc>
          <w:tcPr>
            <w:tcW w:w="4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Kazakhmys Smelting LLC</w:t>
            </w:r>
          </w:p>
        </w:tc>
        <w:tc>
          <w:tcPr>
            <w:tcW w:w="43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KAZAKHSTAN</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Kazzinc</w:t>
            </w:r>
          </w:p>
        </w:tc>
        <w:tc>
          <w:tcPr>
            <w:tcW w:w="4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KAZAKHSTAN</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Kojima Kagaku Yakuhin Co., Ltd</w:t>
            </w:r>
          </w:p>
        </w:tc>
        <w:tc>
          <w:tcPr>
            <w:tcW w:w="43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Kombinat Gorniczo Hutniczy Miedz Polska Miedz S.A.</w:t>
            </w:r>
          </w:p>
        </w:tc>
        <w:tc>
          <w:tcPr>
            <w:tcW w:w="4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POLAND</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Korea Zinc Co., Ltd.</w:t>
            </w:r>
          </w:p>
        </w:tc>
        <w:tc>
          <w:tcPr>
            <w:tcW w:w="43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Kori Plant</w:t>
            </w:r>
          </w:p>
        </w:tc>
        <w:tc>
          <w:tcPr>
            <w:tcW w:w="4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Peru</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Kosak Seiren</w:t>
            </w:r>
          </w:p>
        </w:tc>
        <w:tc>
          <w:tcPr>
            <w:tcW w:w="43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KUC</w:t>
            </w:r>
          </w:p>
        </w:tc>
        <w:tc>
          <w:tcPr>
            <w:tcW w:w="4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Kundan Care Products Ltd.</w:t>
            </w:r>
          </w:p>
        </w:tc>
        <w:tc>
          <w:tcPr>
            <w:tcW w:w="43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Kyrgyzaltyn JSC</w:t>
            </w:r>
          </w:p>
        </w:tc>
        <w:tc>
          <w:tcPr>
            <w:tcW w:w="4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KYRGYZSTAN</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Kyshtym Copper-Electrolytic Plant ZAO</w:t>
            </w:r>
          </w:p>
        </w:tc>
        <w:tc>
          <w:tcPr>
            <w:tcW w:w="43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La Caridad</w:t>
            </w:r>
          </w:p>
        </w:tc>
        <w:tc>
          <w:tcPr>
            <w:tcW w:w="4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L'azurde Company For Jewelry</w:t>
            </w:r>
          </w:p>
        </w:tc>
        <w:tc>
          <w:tcPr>
            <w:tcW w:w="43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SAUDI ARABIA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Lingbao Gold Co., Ltd.</w:t>
            </w:r>
          </w:p>
        </w:tc>
        <w:tc>
          <w:tcPr>
            <w:tcW w:w="4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Lingbao Jinyuan Tonghui Refinery Co., Ltd.</w:t>
            </w:r>
          </w:p>
        </w:tc>
        <w:tc>
          <w:tcPr>
            <w:tcW w:w="43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L'Orfebre S.A.</w:t>
            </w:r>
          </w:p>
        </w:tc>
        <w:tc>
          <w:tcPr>
            <w:tcW w:w="4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ANDORRA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LT Metal Ltd.</w:t>
            </w:r>
          </w:p>
        </w:tc>
        <w:tc>
          <w:tcPr>
            <w:tcW w:w="43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Luoyang Zijin Yinhui Metal Smelt Co Ltd</w:t>
            </w:r>
          </w:p>
        </w:tc>
        <w:tc>
          <w:tcPr>
            <w:tcW w:w="4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Matsuda Sangyo Co., Ltd.</w:t>
            </w:r>
          </w:p>
        </w:tc>
        <w:tc>
          <w:tcPr>
            <w:tcW w:w="43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MD Overseas</w:t>
            </w:r>
          </w:p>
        </w:tc>
        <w:tc>
          <w:tcPr>
            <w:tcW w:w="4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Metal Concentrators SA (Pty) Ltd.</w:t>
            </w:r>
          </w:p>
        </w:tc>
        <w:tc>
          <w:tcPr>
            <w:tcW w:w="43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Metallix Refining Inc.</w:t>
            </w:r>
          </w:p>
        </w:tc>
        <w:tc>
          <w:tcPr>
            <w:tcW w:w="4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Metalor Technologies (Hong Kong) Ltd.</w:t>
            </w:r>
          </w:p>
        </w:tc>
        <w:tc>
          <w:tcPr>
            <w:tcW w:w="43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Metalor Technologies (Singapore) Pte., Ltd.</w:t>
            </w:r>
          </w:p>
        </w:tc>
        <w:tc>
          <w:tcPr>
            <w:tcW w:w="4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Metalor Technologies (Suzhou) Ltd.</w:t>
            </w:r>
          </w:p>
        </w:tc>
        <w:tc>
          <w:tcPr>
            <w:tcW w:w="43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Metalor Technologies S.A.</w:t>
            </w:r>
          </w:p>
        </w:tc>
        <w:tc>
          <w:tcPr>
            <w:tcW w:w="4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Metalor USA Refining Corporation</w:t>
            </w:r>
          </w:p>
        </w:tc>
        <w:tc>
          <w:tcPr>
            <w:tcW w:w="43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Met-Mex Penoles, S.A.</w:t>
            </w:r>
          </w:p>
        </w:tc>
        <w:tc>
          <w:tcPr>
            <w:tcW w:w="4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43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9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MMTC-PAMP India Pvt., Ltd.</w:t>
            </w:r>
          </w:p>
        </w:tc>
        <w:tc>
          <w:tcPr>
            <w:tcW w:w="4340" w:type="dxa"/>
            <w:vAlign w:val="bottom"/>
          </w:tcPr>
          <w:p>
            <w:pPr>
              <w:ind w:left="64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9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Modeltech Sdn Bhd</w:t>
            </w:r>
          </w:p>
        </w:tc>
        <w:tc>
          <w:tcPr>
            <w:tcW w:w="434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MALAYSIA</w:t>
            </w:r>
          </w:p>
        </w:tc>
      </w:tr>
      <w:tr>
        <w:trPr>
          <w:trHeight w:val="682"/>
        </w:trPr>
        <w:tc>
          <w:tcPr>
            <w:tcW w:w="940" w:type="dxa"/>
            <w:vAlign w:val="bottom"/>
            <w:tcBorders>
              <w:bottom w:val="single" w:sz="8" w:color="auto"/>
            </w:tcBorders>
          </w:tcPr>
          <w:p>
            <w:pPr>
              <w:spacing w:after="0"/>
              <w:rPr>
                <w:sz w:val="24"/>
                <w:szCs w:val="24"/>
                <w:color w:val="auto"/>
              </w:rPr>
            </w:pPr>
          </w:p>
        </w:tc>
        <w:tc>
          <w:tcPr>
            <w:tcW w:w="5960" w:type="dxa"/>
            <w:vAlign w:val="bottom"/>
            <w:tcBorders>
              <w:bottom w:val="single" w:sz="8" w:color="auto"/>
            </w:tcBorders>
          </w:tcPr>
          <w:p>
            <w:pPr>
              <w:ind w:left="4600"/>
              <w:spacing w:after="0"/>
              <w:rPr>
                <w:sz w:val="20"/>
                <w:szCs w:val="20"/>
                <w:color w:val="auto"/>
              </w:rPr>
            </w:pPr>
            <w:r>
              <w:rPr>
                <w:rFonts w:ascii="Times New Roman" w:cs="Times New Roman" w:eastAsia="Times New Roman" w:hAnsi="Times New Roman"/>
                <w:sz w:val="18"/>
                <w:szCs w:val="18"/>
                <w:color w:val="auto"/>
              </w:rPr>
              <w:t>11</w:t>
            </w:r>
          </w:p>
        </w:tc>
        <w:tc>
          <w:tcPr>
            <w:tcW w:w="43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83"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Morris and Watson</w:t>
            </w: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NEW ZEALAND</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Moscow Special Alloys Processing Plant</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Nadir Metal Rafineri San. Ve Tic. A.Ş.</w:t>
            </w: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TURKEY</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Navoi Mining and Metallurgical Combinat</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UZBEKISTAN</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NH Recytech Company</w:t>
            </w: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NOBLE METAL SERVICES</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Nohon Material Corporation</w:t>
            </w: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Norddeutsche Affinererie AG</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Ögussa Österreichische Gold- und Silber-Scheideanstalt GmbH</w:t>
            </w: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AUSTRIA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Ohura Precious Metal Industry Co., Ltd.</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OJSC Krastsvetmet</w:t>
            </w: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OJSC Novosibirsk Refinery</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Pease &amp; Curren</w:t>
            </w: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Penglai Penggang Gold Industry Co., Ltd.</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Planta Recuperadora de Metales SpA</w:t>
            </w: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CHILE</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Prioksky Plant of Non-Ferrous Metals</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Produits Artistiques de Métaux</w:t>
            </w: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PT Aneka Tambang (Persero) Tbk</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PX Précinox S.A.</w:t>
            </w: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QG Refining, LLC</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Rand Refinery (Pty) Ltd.</w:t>
            </w: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Refinery LS-Nikko Copper Inc.</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Refinery of Seemine Gold Co., Ltd.</w:t>
            </w: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REMONDIS PMR B.V.</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NETHERLANDS</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Royal Canadian Mint</w:t>
            </w: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SAAMP</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Sabin Metal Corp.</w:t>
            </w: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Safimet S.p.A</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SAFINA A.S.</w:t>
            </w: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CZECHIA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Sai Refinery</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Sam Precious Metals</w:t>
            </w: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United Arab Emirates</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Samwon Metals Corp.</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SD (Samdok) Metal</w:t>
            </w: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Sempsa JP (Cookson Sempsa)</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Shandong Humon Smelting Co., Ltd.</w:t>
            </w: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Shandong Tiancheng Biological Gold Industrial Co., Ltd.</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Shenzhen CuiLu Gold Co., Ltd.</w:t>
            </w: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China</w:t>
            </w:r>
          </w:p>
        </w:tc>
      </w:tr>
      <w:tr>
        <w:trPr>
          <w:trHeight w:val="198"/>
        </w:trPr>
        <w:tc>
          <w:tcPr>
            <w:tcW w:w="94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tcPr>
          <w:p>
            <w:pPr>
              <w:ind w:left="540"/>
              <w:spacing w:after="0" w:line="198" w:lineRule="exact"/>
              <w:rPr>
                <w:sz w:val="20"/>
                <w:szCs w:val="20"/>
                <w:color w:val="auto"/>
              </w:rPr>
            </w:pPr>
            <w:r>
              <w:rPr>
                <w:rFonts w:ascii="Times New Roman" w:cs="Times New Roman" w:eastAsia="Times New Roman" w:hAnsi="Times New Roman"/>
                <w:sz w:val="18"/>
                <w:szCs w:val="18"/>
                <w:color w:val="auto"/>
              </w:rPr>
              <w:t>SHENZHEN JINJUNWEI RESOURCE COMPREHENSIVE DEVELOPMENT</w:t>
            </w:r>
          </w:p>
        </w:tc>
        <w:tc>
          <w:tcPr>
            <w:tcW w:w="382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China</w:t>
            </w:r>
          </w:p>
        </w:tc>
      </w:tr>
      <w:tr>
        <w:trPr>
          <w:trHeight w:val="234"/>
        </w:trPr>
        <w:tc>
          <w:tcPr>
            <w:tcW w:w="940" w:type="dxa"/>
            <w:vAlign w:val="bottom"/>
          </w:tcPr>
          <w:p>
            <w:pPr>
              <w:spacing w:after="0"/>
              <w:rPr>
                <w:sz w:val="20"/>
                <w:szCs w:val="20"/>
                <w:color w:val="auto"/>
              </w:rPr>
            </w:pPr>
          </w:p>
        </w:tc>
        <w:tc>
          <w:tcPr>
            <w:tcW w:w="64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CO., LTD.</w:t>
            </w:r>
          </w:p>
        </w:tc>
        <w:tc>
          <w:tcPr>
            <w:tcW w:w="3820" w:type="dxa"/>
            <w:vAlign w:val="bottom"/>
          </w:tcPr>
          <w:p>
            <w:pPr>
              <w:spacing w:after="0"/>
              <w:rPr>
                <w:sz w:val="20"/>
                <w:szCs w:val="20"/>
                <w:color w:val="auto"/>
              </w:rPr>
            </w:pP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Shenzhen Zhonghenglong Real Industry Co., Ltd.</w:t>
            </w: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Shirpur Gold Refinery Ltd.</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Sichuan Tianze Precious Metals Co., Ltd.</w:t>
            </w: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Singway Technology Co., Ltd.</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TAIWAN, REPUBLIC OF CHINA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SOE Shyolkovsky Factory of Secondary Precious Metals</w:t>
            </w: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Solartech</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TAIWAN, REPUBLIC OF CHINA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Sovereign Metals</w:t>
            </w: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State Research Institute Center for Physical Sciences and Technology</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LITHUANIA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Sudan Gold Refinery</w:t>
            </w: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SUDAN</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Sumitomo Metal Mining Co., Ltd.</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SungEel HiTech</w:t>
            </w: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Super Dragon Technology Co., Ltd.</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TAIWAN, REPUBLIC OF CHINA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T.C.A S.p.A</w:t>
            </w: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ITALY</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Takehara Refinery</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Tamano Smelter</w:t>
            </w: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Tanaka Precious Metals</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The Great Wall Gold and Silver Refinery of China</w:t>
            </w: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The Refinery of Shandong Gold Mining Co., Ltd.</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Tokuriki Honten Co., Ltd.</w:t>
            </w: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TongLing Nonferrous Metals Group Holdings Co., Ltd.</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Tony Goetz NV</w:t>
            </w: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BELGIUM</w:t>
            </w:r>
          </w:p>
        </w:tc>
      </w:tr>
      <w:tr>
        <w:trPr>
          <w:trHeight w:val="216"/>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TOO Tau-Ken-Altyn</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KAZAKHSTAN</w:t>
            </w:r>
          </w:p>
        </w:tc>
      </w:tr>
      <w:tr>
        <w:trPr>
          <w:trHeight w:val="216"/>
        </w:trPr>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Torecom</w:t>
            </w:r>
          </w:p>
        </w:tc>
        <w:tc>
          <w:tcPr>
            <w:tcW w:w="38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38"/>
        </w:trPr>
        <w:tc>
          <w:tcPr>
            <w:tcW w:w="9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64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Ubro-Union of Brazilian Refiners</w:t>
            </w:r>
          </w:p>
        </w:tc>
        <w:tc>
          <w:tcPr>
            <w:tcW w:w="38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BRAZIL</w:t>
            </w:r>
          </w:p>
        </w:tc>
      </w:tr>
      <w:tr>
        <w:trPr>
          <w:trHeight w:val="660"/>
        </w:trPr>
        <w:tc>
          <w:tcPr>
            <w:tcW w:w="940" w:type="dxa"/>
            <w:vAlign w:val="bottom"/>
            <w:tcBorders>
              <w:bottom w:val="single" w:sz="8" w:color="auto"/>
            </w:tcBorders>
          </w:tcPr>
          <w:p>
            <w:pPr>
              <w:spacing w:after="0"/>
              <w:rPr>
                <w:sz w:val="24"/>
                <w:szCs w:val="24"/>
                <w:color w:val="auto"/>
              </w:rPr>
            </w:pPr>
          </w:p>
        </w:tc>
        <w:tc>
          <w:tcPr>
            <w:tcW w:w="6480" w:type="dxa"/>
            <w:vAlign w:val="bottom"/>
            <w:tcBorders>
              <w:bottom w:val="single" w:sz="8" w:color="auto"/>
            </w:tcBorders>
          </w:tcPr>
          <w:p>
            <w:pPr>
              <w:ind w:left="4600"/>
              <w:spacing w:after="0"/>
              <w:rPr>
                <w:sz w:val="20"/>
                <w:szCs w:val="20"/>
                <w:color w:val="auto"/>
              </w:rPr>
            </w:pPr>
            <w:r>
              <w:rPr>
                <w:rFonts w:ascii="Times New Roman" w:cs="Times New Roman" w:eastAsia="Times New Roman" w:hAnsi="Times New Roman"/>
                <w:sz w:val="18"/>
                <w:szCs w:val="18"/>
                <w:color w:val="auto"/>
              </w:rPr>
              <w:t>12</w:t>
            </w:r>
          </w:p>
        </w:tc>
        <w:tc>
          <w:tcPr>
            <w:tcW w:w="3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83"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Umicore Precious Metals Thailand</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Umicore S.A. Business Unit Precious Metals Refining</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BELGIUM</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United Precious Metal Refining, Inc.</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Valcambi S.A.</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WEEEREFINING</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FRANCE</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Western Australian Mint (T/a The Perth Mint)</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WIELAND Edelmetalle GmbH</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Williams Advanced Materials</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Xstrata</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CANADA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Yamamoto Precision Metals</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Yantai NUS Safina tech environmental Refinery Co. Ltd.</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Yilida Resources Technology Co., Ltd.</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Taiwan, REPUBLIC Of China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Yokohama Metal Co., Ltd.</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Yunnan Copper Industry Co., Ltd.</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Zhaoyuan Gold Group</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Zhongyuan Gold Smelter of Zhongjin Gold Corporation</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Gold</w:t>
            </w:r>
          </w:p>
        </w:tc>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Zijin Mining Industry Corporation</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5D Production OÜ</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Estonia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 Block Metals, LLC</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F&amp;X Electro-Materials Ltd.</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FIR Metals &amp; Resource Ltd.</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Global Advanced Metals Aizu</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Global Advanced Metals Boyertown</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Guangdong Rising Rare Metals-EO Materials Ltd.</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Hengyang King Xing Lifeng New Materials Co., Ltd.</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Jiangxi Dinghai Tantalum &amp; Niobium Co., Ltd.</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Jiangxi Tuohong New Raw Material</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JiuJiang JinXin Nonferrous Metals Co., Ltd.</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Jiujiang Tanbre Co., Ltd.</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Jiujiang Zhongao Tantalum &amp; Niobium Co., Ltd.</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KEMET de Mexico</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MEXICO</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LSM Brasil S.A.</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Materion Newton Inc.</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Metallurgical Products India Pvt., Ltd.</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Mineracao Taboca SA</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Mitsui Mining and Smelting Co., Ltd.</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Ningxia Orient Tantalum Industry Co., Ltd.</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NPM Silmet AS</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ESTONIA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PowerX Ltd.</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Rwanda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QuantumClean</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Resind Indústria e Comércio Ltda.</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Solikamsk Metal Works</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Taki Chemicals</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TANIOBIS Co., Ltd.</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TANIOBIS GmbH</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Telex Metals</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Ulba Metallurgical Plant JSC</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KAZAKHSTAN</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XIMEI RESOURCES (GUANGDONG) LIMITED</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XinXing HaoRong Electronic Material Co., Ltd.</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Yancheng Jinye New Material Technology Co., Ltd.</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Yanling Jincheng Tantalum Co., Ltd.</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CHINA</w:t>
            </w:r>
          </w:p>
        </w:tc>
      </w:tr>
      <w:tr>
        <w:trPr>
          <w:trHeight w:val="243"/>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Tantalum</w:t>
            </w:r>
          </w:p>
        </w:tc>
        <w:tc>
          <w:tcPr>
            <w:tcW w:w="5500" w:type="dxa"/>
            <w:vAlign w:val="bottom"/>
            <w:shd w:val="clear" w:color="auto" w:fill="CCEEFF"/>
          </w:tcPr>
          <w:p>
            <w:pPr>
              <w:ind w:left="360"/>
              <w:spacing w:after="0" w:line="181" w:lineRule="exact"/>
              <w:rPr>
                <w:sz w:val="20"/>
                <w:szCs w:val="20"/>
                <w:color w:val="auto"/>
              </w:rPr>
            </w:pPr>
            <w:r>
              <w:rPr>
                <w:rFonts w:ascii="MS PGothic" w:cs="MS PGothic" w:eastAsia="MS PGothic" w:hAnsi="MS PGothic"/>
                <w:sz w:val="18"/>
                <w:szCs w:val="18"/>
                <w:color w:val="auto"/>
              </w:rPr>
              <w:t>タニオビス・ジャパン株式会社</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An Vinh Joint Stock Mineral Processing Company</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VIET NAM</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Chenzhou Yunxiang Mining and Metallurgy Co., Ltd.</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Chifeng Dajingzi Tin Industry Co., Ltd.</w:t>
            </w:r>
          </w:p>
        </w:tc>
        <w:tc>
          <w:tcPr>
            <w:tcW w:w="4620" w:type="dxa"/>
            <w:vAlign w:val="bottom"/>
          </w:tcPr>
          <w:p>
            <w:pPr>
              <w:ind w:left="9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550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Cookson Alpha Metals (Shenzhen) Co., Ltd.</w:t>
            </w:r>
          </w:p>
        </w:tc>
        <w:tc>
          <w:tcPr>
            <w:tcW w:w="4620" w:type="dxa"/>
            <w:vAlign w:val="bottom"/>
            <w:shd w:val="clear" w:color="auto" w:fill="CCEEFF"/>
          </w:tcPr>
          <w:p>
            <w:pPr>
              <w:ind w:left="9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682"/>
        </w:trPr>
        <w:tc>
          <w:tcPr>
            <w:tcW w:w="1120" w:type="dxa"/>
            <w:vAlign w:val="bottom"/>
            <w:tcBorders>
              <w:bottom w:val="single" w:sz="8" w:color="auto"/>
            </w:tcBorders>
          </w:tcPr>
          <w:p>
            <w:pPr>
              <w:spacing w:after="0"/>
              <w:rPr>
                <w:sz w:val="24"/>
                <w:szCs w:val="24"/>
                <w:color w:val="auto"/>
              </w:rPr>
            </w:pPr>
          </w:p>
        </w:tc>
        <w:tc>
          <w:tcPr>
            <w:tcW w:w="5500" w:type="dxa"/>
            <w:vAlign w:val="bottom"/>
            <w:tcBorders>
              <w:bottom w:val="single" w:sz="8" w:color="auto"/>
            </w:tcBorders>
          </w:tcPr>
          <w:p>
            <w:pPr>
              <w:ind w:left="4420"/>
              <w:spacing w:after="0"/>
              <w:rPr>
                <w:sz w:val="20"/>
                <w:szCs w:val="20"/>
                <w:color w:val="auto"/>
              </w:rPr>
            </w:pPr>
            <w:r>
              <w:rPr>
                <w:rFonts w:ascii="Times New Roman" w:cs="Times New Roman" w:eastAsia="Times New Roman" w:hAnsi="Times New Roman"/>
                <w:sz w:val="18"/>
                <w:szCs w:val="18"/>
                <w:color w:val="auto"/>
              </w:rPr>
              <w:t>13</w:t>
            </w:r>
          </w:p>
        </w:tc>
        <w:tc>
          <w:tcPr>
            <w:tcW w:w="46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83"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6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CRM Fundição De Metais E Comércio De Equipamentos Eletrônicos Do Brasil</w:t>
            </w:r>
          </w:p>
        </w:tc>
        <w:tc>
          <w:tcPr>
            <w:tcW w:w="3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BRAZIL</w:t>
            </w:r>
          </w:p>
        </w:tc>
      </w:tr>
      <w:tr>
        <w:trPr>
          <w:trHeight w:val="234"/>
        </w:trPr>
        <w:tc>
          <w:tcPr>
            <w:tcW w:w="880" w:type="dxa"/>
            <w:vAlign w:val="bottom"/>
            <w:shd w:val="clear" w:color="auto" w:fill="CCEEFF"/>
          </w:tcPr>
          <w:p>
            <w:pPr>
              <w:spacing w:after="0"/>
              <w:rPr>
                <w:sz w:val="20"/>
                <w:szCs w:val="20"/>
                <w:color w:val="auto"/>
              </w:rPr>
            </w:pPr>
          </w:p>
        </w:tc>
        <w:tc>
          <w:tcPr>
            <w:tcW w:w="66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Ltda</w:t>
            </w:r>
          </w:p>
        </w:tc>
        <w:tc>
          <w:tcPr>
            <w:tcW w:w="3760" w:type="dxa"/>
            <w:vAlign w:val="bottom"/>
            <w:shd w:val="clear" w:color="auto" w:fill="CCEEFF"/>
          </w:tcPr>
          <w:p>
            <w:pPr>
              <w:spacing w:after="0"/>
              <w:rPr>
                <w:sz w:val="20"/>
                <w:szCs w:val="20"/>
                <w:color w:val="auto"/>
              </w:rPr>
            </w:pP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CRM Synergies</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6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CV Ayi Jaya</w:t>
            </w:r>
          </w:p>
        </w:tc>
        <w:tc>
          <w:tcPr>
            <w:tcW w:w="3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CV Venus Inti Perkasa</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6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Dongguan CiEXPO Environmental Engineering Co., Ltd.</w:t>
            </w:r>
          </w:p>
        </w:tc>
        <w:tc>
          <w:tcPr>
            <w:tcW w:w="3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Dowa Metaltech Co., Ltd.</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6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DS Myanmar</w:t>
            </w:r>
          </w:p>
        </w:tc>
        <w:tc>
          <w:tcPr>
            <w:tcW w:w="3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MYANMAR</w:t>
            </w:r>
          </w:p>
        </w:tc>
      </w:tr>
      <w:tr>
        <w:trPr>
          <w:trHeight w:val="198"/>
        </w:trPr>
        <w:tc>
          <w:tcPr>
            <w:tcW w:w="88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Tin</w:t>
            </w:r>
          </w:p>
        </w:tc>
        <w:tc>
          <w:tcPr>
            <w:tcW w:w="6600" w:type="dxa"/>
            <w:vAlign w:val="bottom"/>
          </w:tcPr>
          <w:p>
            <w:pPr>
              <w:ind w:left="600"/>
              <w:spacing w:after="0" w:line="198" w:lineRule="exact"/>
              <w:rPr>
                <w:sz w:val="20"/>
                <w:szCs w:val="20"/>
                <w:color w:val="auto"/>
              </w:rPr>
            </w:pPr>
            <w:r>
              <w:rPr>
                <w:rFonts w:ascii="Times New Roman" w:cs="Times New Roman" w:eastAsia="Times New Roman" w:hAnsi="Times New Roman"/>
                <w:sz w:val="18"/>
                <w:szCs w:val="18"/>
                <w:color w:val="auto"/>
              </w:rPr>
              <w:t>Electro-Mechanical Facility of the Cao Bang Minerals &amp; Metallurgy Joint Stock</w:t>
            </w:r>
          </w:p>
        </w:tc>
        <w:tc>
          <w:tcPr>
            <w:tcW w:w="3760" w:type="dxa"/>
            <w:vAlign w:val="bottom"/>
          </w:tcPr>
          <w:p>
            <w:pPr>
              <w:ind w:left="60"/>
              <w:spacing w:after="0" w:line="198" w:lineRule="exact"/>
              <w:rPr>
                <w:sz w:val="20"/>
                <w:szCs w:val="20"/>
                <w:color w:val="auto"/>
              </w:rPr>
            </w:pPr>
            <w:r>
              <w:rPr>
                <w:rFonts w:ascii="Times New Roman" w:cs="Times New Roman" w:eastAsia="Times New Roman" w:hAnsi="Times New Roman"/>
                <w:sz w:val="18"/>
                <w:szCs w:val="18"/>
                <w:color w:val="auto"/>
              </w:rPr>
              <w:t>VIET NAM</w:t>
            </w:r>
          </w:p>
        </w:tc>
      </w:tr>
      <w:tr>
        <w:trPr>
          <w:trHeight w:val="234"/>
        </w:trPr>
        <w:tc>
          <w:tcPr>
            <w:tcW w:w="880" w:type="dxa"/>
            <w:vAlign w:val="bottom"/>
          </w:tcPr>
          <w:p>
            <w:pPr>
              <w:spacing w:after="0"/>
              <w:rPr>
                <w:sz w:val="20"/>
                <w:szCs w:val="20"/>
                <w:color w:val="auto"/>
              </w:rPr>
            </w:pPr>
          </w:p>
        </w:tc>
        <w:tc>
          <w:tcPr>
            <w:tcW w:w="6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Company</w:t>
            </w:r>
          </w:p>
        </w:tc>
        <w:tc>
          <w:tcPr>
            <w:tcW w:w="3760" w:type="dxa"/>
            <w:vAlign w:val="bottom"/>
          </w:tcPr>
          <w:p>
            <w:pPr>
              <w:spacing w:after="0"/>
              <w:rPr>
                <w:sz w:val="20"/>
                <w:szCs w:val="20"/>
                <w:color w:val="auto"/>
              </w:rPr>
            </w:pP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6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ENAF</w:t>
            </w:r>
          </w:p>
        </w:tc>
        <w:tc>
          <w:tcPr>
            <w:tcW w:w="3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BOLIVIA (PLURINATIONAL STATE OF)</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Estanho de Rondônia S.A.</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6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Fabrica Auricchio Industria e Comercio Ltda.</w:t>
            </w:r>
          </w:p>
        </w:tc>
        <w:tc>
          <w:tcPr>
            <w:tcW w:w="3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Fenix Metals</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POLAND</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6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Gejiu Fuxiang Gongmao Co., Ltd.</w:t>
            </w:r>
          </w:p>
        </w:tc>
        <w:tc>
          <w:tcPr>
            <w:tcW w:w="3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Gejiu Non-Ferrous Metal Processing Co., Ltd.</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6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Global Advanced Metals Greenbushes Pty Ltd.</w:t>
            </w:r>
          </w:p>
        </w:tc>
        <w:tc>
          <w:tcPr>
            <w:tcW w:w="3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Australia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Guangdong Hanhe Non-Ferrous Metal Co., Ltd.</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6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HuiChang Hill Tin Industry Co., Ltd.</w:t>
            </w:r>
          </w:p>
        </w:tc>
        <w:tc>
          <w:tcPr>
            <w:tcW w:w="3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Kaimeng (Gejiu) Industry and Trade Co., Ltd.</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6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Longnan Chuangyue Environmental Protection Technology Development Co., Ltd</w:t>
            </w:r>
          </w:p>
        </w:tc>
        <w:tc>
          <w:tcPr>
            <w:tcW w:w="3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Luna Smelter, Ltd.</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RWANDA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6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Ma'anshan Weitai Tin Co., Ltd.</w:t>
            </w:r>
          </w:p>
        </w:tc>
        <w:tc>
          <w:tcPr>
            <w:tcW w:w="3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Magnu's Minerais Metais e Ligas Ltda.</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6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Malaysia Smelting Corporation Berhad (Port Klang)</w:t>
            </w:r>
          </w:p>
        </w:tc>
        <w:tc>
          <w:tcPr>
            <w:tcW w:w="3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Melt Metais e Ligas S.A.</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6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Metallic Resources, Inc.</w:t>
            </w:r>
          </w:p>
        </w:tc>
        <w:tc>
          <w:tcPr>
            <w:tcW w:w="3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Metallo Belgium N.V.</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BELGIUM</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6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Metallo Spain S.L.U.</w:t>
            </w:r>
          </w:p>
        </w:tc>
        <w:tc>
          <w:tcPr>
            <w:tcW w:w="3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Mining Minerals Resources SARL</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Congo, Democratic Republic Of The</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6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Minsur</w:t>
            </w:r>
          </w:p>
        </w:tc>
        <w:tc>
          <w:tcPr>
            <w:tcW w:w="3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PERU</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Mitsubishi Materials Corporation</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6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Modeltech Sdn Bhd</w:t>
            </w:r>
          </w:p>
        </w:tc>
        <w:tc>
          <w:tcPr>
            <w:tcW w:w="3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MSC</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6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Nanshan Tin Co. Ltd.</w:t>
            </w:r>
          </w:p>
        </w:tc>
        <w:tc>
          <w:tcPr>
            <w:tcW w:w="3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Nghe Tinh Non-Ferrous Metals Joint Stock Company</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VIET NAM</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6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Novosibirsk Tin Combine</w:t>
            </w:r>
          </w:p>
        </w:tc>
        <w:tc>
          <w:tcPr>
            <w:tcW w:w="3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O.M. Manufacturing (Thailand) Co., Ltd.</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6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O.M. Manufacturing Philippines, Inc.</w:t>
            </w:r>
          </w:p>
        </w:tc>
        <w:tc>
          <w:tcPr>
            <w:tcW w:w="3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PHILIPPINES</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Operaciones Metalúrgicas S.A.</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BOLIVIA (PLURINATIONAL STATE OF)</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6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Pongpipat Company Limited</w:t>
            </w:r>
          </w:p>
        </w:tc>
        <w:tc>
          <w:tcPr>
            <w:tcW w:w="3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MYANMAR</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Precious Minerals and Smelting Limited</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6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PT Aries Kencana Sejahtera</w:t>
            </w:r>
          </w:p>
        </w:tc>
        <w:tc>
          <w:tcPr>
            <w:tcW w:w="3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PT Artha Cipta Langgeng</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6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PT ATD Makmur Mandiri Jaya</w:t>
            </w:r>
          </w:p>
        </w:tc>
        <w:tc>
          <w:tcPr>
            <w:tcW w:w="3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PT Babel Inti Perkasa</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6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PT Babel Surya Alam Lestari</w:t>
            </w:r>
          </w:p>
        </w:tc>
        <w:tc>
          <w:tcPr>
            <w:tcW w:w="3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PT Bangka Prima Tin</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6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PT Bangka Serumpun</w:t>
            </w:r>
          </w:p>
        </w:tc>
        <w:tc>
          <w:tcPr>
            <w:tcW w:w="3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PT Bangka Tin Industry</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6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PT Belitung Industri Sejahtera</w:t>
            </w:r>
          </w:p>
        </w:tc>
        <w:tc>
          <w:tcPr>
            <w:tcW w:w="3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PT Cipta Persada Mulia</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6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PT Indra Eramult Logam Industri</w:t>
            </w:r>
          </w:p>
        </w:tc>
        <w:tc>
          <w:tcPr>
            <w:tcW w:w="3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60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PT Menara Cipta Mulia</w:t>
            </w:r>
          </w:p>
        </w:tc>
        <w:tc>
          <w:tcPr>
            <w:tcW w:w="37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6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PT Mitra Stania Prima</w:t>
            </w:r>
          </w:p>
        </w:tc>
        <w:tc>
          <w:tcPr>
            <w:tcW w:w="376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INDONESIA</w:t>
            </w:r>
          </w:p>
        </w:tc>
      </w:tr>
      <w:tr>
        <w:trPr>
          <w:trHeight w:val="682"/>
        </w:trPr>
        <w:tc>
          <w:tcPr>
            <w:tcW w:w="880" w:type="dxa"/>
            <w:vAlign w:val="bottom"/>
            <w:tcBorders>
              <w:bottom w:val="single" w:sz="8" w:color="auto"/>
            </w:tcBorders>
          </w:tcPr>
          <w:p>
            <w:pPr>
              <w:spacing w:after="0"/>
              <w:rPr>
                <w:sz w:val="24"/>
                <w:szCs w:val="24"/>
                <w:color w:val="auto"/>
              </w:rPr>
            </w:pPr>
          </w:p>
        </w:tc>
        <w:tc>
          <w:tcPr>
            <w:tcW w:w="6600" w:type="dxa"/>
            <w:vAlign w:val="bottom"/>
            <w:tcBorders>
              <w:bottom w:val="single" w:sz="8" w:color="auto"/>
            </w:tcBorders>
          </w:tcPr>
          <w:p>
            <w:pPr>
              <w:ind w:left="4660"/>
              <w:spacing w:after="0"/>
              <w:rPr>
                <w:sz w:val="20"/>
                <w:szCs w:val="20"/>
                <w:color w:val="auto"/>
              </w:rPr>
            </w:pPr>
            <w:r>
              <w:rPr>
                <w:rFonts w:ascii="Times New Roman" w:cs="Times New Roman" w:eastAsia="Times New Roman" w:hAnsi="Times New Roman"/>
                <w:sz w:val="18"/>
                <w:szCs w:val="18"/>
                <w:color w:val="auto"/>
              </w:rPr>
              <w:t>14</w:t>
            </w:r>
          </w:p>
        </w:tc>
        <w:tc>
          <w:tcPr>
            <w:tcW w:w="37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73"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PT Mitra Sukses Globalindo</w:t>
            </w:r>
          </w:p>
        </w:tc>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PT Panca Mega Persada</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PT Premium Tin Indonesia</w:t>
            </w:r>
          </w:p>
        </w:tc>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PT Prima Timah Utama</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PT Putera Sarana Shakti (PT PSS)</w:t>
            </w:r>
          </w:p>
        </w:tc>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PT Rajawali Rimba Perkasa</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PT Rajehan Ariq</w:t>
            </w:r>
          </w:p>
        </w:tc>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PT Refined Bangka Tin</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PT Sariwiguna Binasentosa</w:t>
            </w:r>
          </w:p>
        </w:tc>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PT Stanindo Inti Perkasa</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PT Sukses Inti Makmur (SIM)</w:t>
            </w:r>
          </w:p>
        </w:tc>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PT Timah Nusantara</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PT Timah Tbk Mentok</w:t>
            </w:r>
          </w:p>
        </w:tc>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PT Tinindo Inter Nusa</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PT Tirus Putra Mandiri</w:t>
            </w:r>
          </w:p>
        </w:tc>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PT Tommy Utama</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Resind Indústria e Comércio Ltda.</w:t>
            </w:r>
          </w:p>
        </w:tc>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RIKAYAA GREENTECH PRIVATE LIMITED</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India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Rui Da Hung</w:t>
            </w:r>
          </w:p>
        </w:tc>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TAIWAN, REPUBLIC OF CHINA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Super Ligas</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BRAZIL</w:t>
            </w:r>
          </w:p>
        </w:tc>
      </w:tr>
      <w:tr>
        <w:trPr>
          <w:trHeight w:val="198"/>
        </w:trPr>
        <w:tc>
          <w:tcPr>
            <w:tcW w:w="1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Tin</w:t>
            </w:r>
          </w:p>
        </w:tc>
        <w:tc>
          <w:tcPr>
            <w:tcW w:w="634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Takehara PVD Materials Plant / PVD Materials Division of MITSUI MINING &amp;</w:t>
            </w:r>
          </w:p>
        </w:tc>
        <w:tc>
          <w:tcPr>
            <w:tcW w:w="3800" w:type="dxa"/>
            <w:vAlign w:val="bottom"/>
            <w:shd w:val="clear" w:color="auto" w:fill="CCEEFF"/>
          </w:tcPr>
          <w:p>
            <w:pPr>
              <w:ind w:left="100"/>
              <w:spacing w:after="0" w:line="198" w:lineRule="exact"/>
              <w:rPr>
                <w:sz w:val="20"/>
                <w:szCs w:val="20"/>
                <w:color w:val="auto"/>
              </w:rPr>
            </w:pPr>
            <w:r>
              <w:rPr>
                <w:rFonts w:ascii="Times New Roman" w:cs="Times New Roman" w:eastAsia="Times New Roman" w:hAnsi="Times New Roman"/>
                <w:sz w:val="18"/>
                <w:szCs w:val="18"/>
                <w:color w:val="auto"/>
              </w:rPr>
              <w:t>Japan</w:t>
            </w:r>
          </w:p>
        </w:tc>
      </w:tr>
      <w:tr>
        <w:trPr>
          <w:trHeight w:val="234"/>
        </w:trPr>
        <w:tc>
          <w:tcPr>
            <w:tcW w:w="1100" w:type="dxa"/>
            <w:vAlign w:val="bottom"/>
            <w:shd w:val="clear" w:color="auto" w:fill="CCEEFF"/>
          </w:tcPr>
          <w:p>
            <w:pPr>
              <w:spacing w:after="0"/>
              <w:rPr>
                <w:sz w:val="20"/>
                <w:szCs w:val="20"/>
                <w:color w:val="auto"/>
              </w:rPr>
            </w:pPr>
          </w:p>
        </w:tc>
        <w:tc>
          <w:tcPr>
            <w:tcW w:w="6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SMELTING CO., LTD.</w:t>
            </w:r>
          </w:p>
        </w:tc>
        <w:tc>
          <w:tcPr>
            <w:tcW w:w="3800" w:type="dxa"/>
            <w:vAlign w:val="bottom"/>
            <w:shd w:val="clear" w:color="auto" w:fill="CCEEFF"/>
          </w:tcPr>
          <w:p>
            <w:pPr>
              <w:spacing w:after="0"/>
              <w:rPr>
                <w:sz w:val="20"/>
                <w:szCs w:val="20"/>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Thaisarco</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Tin Technology &amp; Refining</w:t>
            </w:r>
          </w:p>
        </w:tc>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Toboca/ Paranapenema</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Tuyen Quang Non-Ferrous Metals Joint Stock Company</w:t>
            </w:r>
          </w:p>
        </w:tc>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VIET NAM</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Unit Timah Kundur PT Tambang</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INDONESIA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VQB Mineral and Trading Group JSC</w:t>
            </w:r>
          </w:p>
        </w:tc>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VIET NAM</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White Solder Metalurgica</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Woodcross Smelting Company Limited</w:t>
            </w:r>
          </w:p>
        </w:tc>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Uganda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XiHai - Liuzhou China Tin Group Co ltd</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Yunnan Gejiu Zili Metallurgy Co. Ltd.</w:t>
            </w:r>
          </w:p>
        </w:tc>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Yunnan wind Nonferrous Metals Co., Ltd.</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Yunnan Yunfan Non-ferrous Metals Co., Ltd.</w:t>
            </w:r>
          </w:p>
        </w:tc>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YUNXIN colored electrolysis Company Limited</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43"/>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Tin</w:t>
            </w:r>
          </w:p>
        </w:tc>
        <w:tc>
          <w:tcPr>
            <w:tcW w:w="6340" w:type="dxa"/>
            <w:vAlign w:val="bottom"/>
            <w:shd w:val="clear" w:color="auto" w:fill="CCEEFF"/>
          </w:tcPr>
          <w:p>
            <w:pPr>
              <w:ind w:left="380"/>
              <w:spacing w:after="0" w:line="206" w:lineRule="exact"/>
              <w:rPr>
                <w:sz w:val="20"/>
                <w:szCs w:val="20"/>
                <w:color w:val="auto"/>
              </w:rPr>
            </w:pPr>
            <w:r>
              <w:rPr>
                <w:rFonts w:ascii="SimSun" w:cs="SimSun" w:eastAsia="SimSun" w:hAnsi="SimSun"/>
                <w:sz w:val="18"/>
                <w:szCs w:val="18"/>
                <w:color w:val="auto"/>
              </w:rPr>
              <w:t>云南锡业股份有限公司锡业分公司</w:t>
            </w:r>
          </w:p>
        </w:tc>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ACL Metais Eireli</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Albasteel Industria e Comercio de Ligas Para Fundicao Ltd.</w:t>
            </w:r>
          </w:p>
        </w:tc>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ALMT Sumitomo Group</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Artek LLC</w:t>
            </w:r>
          </w:p>
        </w:tc>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Asia Tungsten Products Vietnam Ltd.</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VIET NAM</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CNMC (Guangxi) PGMA Co., Ltd.</w:t>
            </w:r>
          </w:p>
        </w:tc>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Cronimet Brasil Ltda</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BRAZIL</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DONGKUK INDUSTRIES CO., LTD.</w:t>
            </w:r>
          </w:p>
        </w:tc>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Fujian Xinlu Tungsten Co., Ltd.</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Ganzhou Seadragon W &amp; Mo Co., Ltd.</w:t>
            </w:r>
          </w:p>
        </w:tc>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GTP</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Guangdong Xianglu Tungsten Co., Ltd.</w:t>
            </w:r>
          </w:p>
        </w:tc>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H.C. Starck Tungsten GmbH</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3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Han River Pelican State Alloy Co., Ltd.</w:t>
            </w:r>
          </w:p>
        </w:tc>
        <w:tc>
          <w:tcPr>
            <w:tcW w:w="38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CHINA</w:t>
            </w:r>
          </w:p>
        </w:tc>
      </w:tr>
      <w:tr>
        <w:trPr>
          <w:trHeight w:val="238"/>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3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HANNAE FOR T Co., Ltd.</w:t>
            </w:r>
          </w:p>
        </w:tc>
        <w:tc>
          <w:tcPr>
            <w:tcW w:w="3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Korea, Republic Of</w:t>
            </w:r>
          </w:p>
        </w:tc>
      </w:tr>
      <w:tr>
        <w:trPr>
          <w:trHeight w:val="660"/>
        </w:trPr>
        <w:tc>
          <w:tcPr>
            <w:tcW w:w="1100" w:type="dxa"/>
            <w:vAlign w:val="bottom"/>
            <w:tcBorders>
              <w:bottom w:val="single" w:sz="8" w:color="auto"/>
            </w:tcBorders>
          </w:tcPr>
          <w:p>
            <w:pPr>
              <w:spacing w:after="0"/>
              <w:rPr>
                <w:sz w:val="24"/>
                <w:szCs w:val="24"/>
                <w:color w:val="auto"/>
              </w:rPr>
            </w:pPr>
          </w:p>
        </w:tc>
        <w:tc>
          <w:tcPr>
            <w:tcW w:w="6340" w:type="dxa"/>
            <w:vAlign w:val="bottom"/>
            <w:tcBorders>
              <w:bottom w:val="single" w:sz="8" w:color="auto"/>
            </w:tcBorders>
          </w:tcPr>
          <w:p>
            <w:pPr>
              <w:ind w:left="4440"/>
              <w:spacing w:after="0"/>
              <w:rPr>
                <w:sz w:val="20"/>
                <w:szCs w:val="20"/>
                <w:color w:val="auto"/>
              </w:rPr>
            </w:pPr>
            <w:r>
              <w:rPr>
                <w:rFonts w:ascii="Times New Roman" w:cs="Times New Roman" w:eastAsia="Times New Roman" w:hAnsi="Times New Roman"/>
                <w:sz w:val="18"/>
                <w:szCs w:val="18"/>
                <w:color w:val="auto"/>
              </w:rPr>
              <w:t>15</w:t>
            </w:r>
          </w:p>
        </w:tc>
        <w:tc>
          <w:tcPr>
            <w:tcW w:w="38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83"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Hunan Chenzhou Mining Group Co., Ltd.</w:t>
            </w:r>
          </w:p>
        </w:tc>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Hunan Jintai New Material Co., Ltd.</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CHINA</w:t>
            </w:r>
          </w:p>
        </w:tc>
      </w:tr>
      <w:tr>
        <w:trPr>
          <w:trHeight w:val="198"/>
        </w:trPr>
        <w:tc>
          <w:tcPr>
            <w:tcW w:w="11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shd w:val="clear" w:color="auto" w:fill="CCEEFF"/>
          </w:tcPr>
          <w:p>
            <w:pPr>
              <w:ind w:left="380"/>
              <w:spacing w:after="0" w:line="198" w:lineRule="exact"/>
              <w:rPr>
                <w:sz w:val="20"/>
                <w:szCs w:val="20"/>
                <w:color w:val="auto"/>
              </w:rPr>
            </w:pPr>
            <w:r>
              <w:rPr>
                <w:rFonts w:ascii="Times New Roman" w:cs="Times New Roman" w:eastAsia="Times New Roman" w:hAnsi="Times New Roman"/>
                <w:sz w:val="18"/>
                <w:szCs w:val="18"/>
                <w:color w:val="auto"/>
              </w:rPr>
              <w:t>Hunan Shizhuyuan Nonferrous Metals Co., Ltd. Chenzhou Tungsten Products</w:t>
            </w:r>
          </w:p>
        </w:tc>
        <w:tc>
          <w:tcPr>
            <w:tcW w:w="392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CHINA</w:t>
            </w:r>
          </w:p>
        </w:tc>
      </w:tr>
      <w:tr>
        <w:trPr>
          <w:trHeight w:val="234"/>
        </w:trPr>
        <w:tc>
          <w:tcPr>
            <w:tcW w:w="1100" w:type="dxa"/>
            <w:vAlign w:val="bottom"/>
            <w:shd w:val="clear" w:color="auto" w:fill="CCEEFF"/>
          </w:tcPr>
          <w:p>
            <w:pPr>
              <w:spacing w:after="0"/>
              <w:rPr>
                <w:sz w:val="20"/>
                <w:szCs w:val="20"/>
                <w:color w:val="auto"/>
              </w:rPr>
            </w:pPr>
          </w:p>
        </w:tc>
        <w:tc>
          <w:tcPr>
            <w:tcW w:w="6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Branch</w:t>
            </w:r>
          </w:p>
        </w:tc>
        <w:tc>
          <w:tcPr>
            <w:tcW w:w="3920" w:type="dxa"/>
            <w:vAlign w:val="bottom"/>
            <w:shd w:val="clear" w:color="auto" w:fill="CCEEFF"/>
          </w:tcPr>
          <w:p>
            <w:pPr>
              <w:spacing w:after="0"/>
              <w:rPr>
                <w:sz w:val="20"/>
                <w:szCs w:val="20"/>
                <w:color w:val="auto"/>
              </w:rPr>
            </w:pP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Hydrometallurg, JSC</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Japan New Metals Co., Ltd.</w:t>
            </w:r>
          </w:p>
        </w:tc>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JAPAN</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Jiangwu H.C. Starck Tungsten Products Co., Ltd.</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Jiangxi Gan Bei Tungsten Co., Ltd.</w:t>
            </w:r>
          </w:p>
        </w:tc>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Jiangxi Minmetals Gao'an Non-ferrous Metals Co., Ltd.</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Jiangxi Tonggu Non-ferrous Metallurgical &amp; Chemical Co., Ltd.</w:t>
            </w:r>
          </w:p>
        </w:tc>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Jiangxi Xinsheng Tungsten Industry Co., Ltd.</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Jiangxi Yaosheng Tungsten Co., Ltd.</w:t>
            </w:r>
          </w:p>
        </w:tc>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Jingmen Dewei GEM Tungsten Resources Recycling Co., Ltd.</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JSC "Kirovgrad Hard Alloys Plant"</w:t>
            </w:r>
          </w:p>
        </w:tc>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Kenee Mining Corporation Vietnam</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Viet Nam</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Kennametal Fallon</w:t>
            </w:r>
          </w:p>
        </w:tc>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Kennametal Huntsville</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Lianyou Metals Co., Ltd.</w:t>
            </w:r>
          </w:p>
        </w:tc>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TAIWAN, REPUBLIC OF CHINA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Lianyou Resources Co., Ltd.</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Taiwan, REPUBLIC Of China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LLC Vostok</w:t>
            </w:r>
          </w:p>
        </w:tc>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MALAMET SMELTING SDN. BHD.</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Malaysia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Malipo Haiyu Tungsten Co., Ltd.</w:t>
            </w:r>
          </w:p>
        </w:tc>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Moliren Ltd.</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Nan Viet Ferrochrome Co., Ltd.</w:t>
            </w:r>
          </w:p>
        </w:tc>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Viet Nam</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Niagara Refining LLC</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NPP Tyazhmetprom LLC</w:t>
            </w:r>
          </w:p>
        </w:tc>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Nui Phao H.C. Starck Tungsten Chemicals Manufacturing LLC</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VIET NAM</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OOO “Technolom” 1</w:t>
            </w:r>
          </w:p>
        </w:tc>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OOO “Technolom” 2</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Philippine Bonway Manufacturing Industrial Corporation</w:t>
            </w:r>
          </w:p>
        </w:tc>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Philippines</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Philippine Carreytech Metal Corp.</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PHILIPPINES</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Philippine Chuangxin Industrial Co., Inc.</w:t>
            </w:r>
          </w:p>
        </w:tc>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PHILIPPINES</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Shinwon Tungsten (Fujian Shanghang) Co., Ltd.</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TANIOBIS Smelting GmbH &amp; Co. KG</w:t>
            </w:r>
          </w:p>
        </w:tc>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Tungsten Vietnam Joint Stock Company</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Viet Nam</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Unecha Refractory metals plant</w:t>
            </w:r>
          </w:p>
        </w:tc>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RUSSIAN FEDERATION</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Wolfram Bergbau und Hütten AG</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AUSTRIA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Xiamen Tungsten (H.C.) Co., Ltd.</w:t>
            </w:r>
          </w:p>
        </w:tc>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Xiamen Tungsten Co., Ltd.</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8"/>
                <w:szCs w:val="18"/>
                <w:color w:val="auto"/>
              </w:rPr>
              <w:t>YUDU ANSHENG TUNGSTEN CO., LTD.</w:t>
            </w:r>
          </w:p>
        </w:tc>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r>
      <w:tr>
        <w:trPr>
          <w:trHeight w:val="216"/>
        </w:trPr>
        <w:tc>
          <w:tcPr>
            <w:tcW w:w="1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Zhangyuan Tungsten Co Ltd</w:t>
            </w:r>
          </w:p>
        </w:tc>
        <w:tc>
          <w:tcPr>
            <w:tcW w:w="39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CHINA</w:t>
            </w:r>
          </w:p>
        </w:tc>
      </w:tr>
      <w:tr>
        <w:trPr>
          <w:trHeight w:val="243"/>
        </w:trPr>
        <w:tc>
          <w:tcPr>
            <w:tcW w:w="1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Tungsten</w:t>
            </w:r>
          </w:p>
        </w:tc>
        <w:tc>
          <w:tcPr>
            <w:tcW w:w="6220" w:type="dxa"/>
            <w:vAlign w:val="bottom"/>
            <w:shd w:val="clear" w:color="auto" w:fill="CCEEFF"/>
          </w:tcPr>
          <w:p>
            <w:pPr>
              <w:ind w:left="380"/>
              <w:spacing w:after="0" w:line="206" w:lineRule="exact"/>
              <w:rPr>
                <w:sz w:val="20"/>
                <w:szCs w:val="20"/>
                <w:color w:val="auto"/>
              </w:rPr>
            </w:pPr>
            <w:r>
              <w:rPr>
                <w:rFonts w:ascii="SimSun" w:cs="SimSun" w:eastAsia="SimSun" w:hAnsi="SimSun"/>
                <w:sz w:val="18"/>
                <w:szCs w:val="18"/>
                <w:color w:val="auto"/>
              </w:rPr>
              <w:t>洛阳栾川钼业集团钨业有限公司</w:t>
            </w:r>
          </w:p>
        </w:tc>
        <w:tc>
          <w:tcPr>
            <w:tcW w:w="39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CHINA</w:t>
            </w:r>
          </w:p>
        </w:tc>
      </w:tr>
      <w:tr>
        <w:trPr>
          <w:trHeight w:val="655"/>
        </w:trPr>
        <w:tc>
          <w:tcPr>
            <w:tcW w:w="1100" w:type="dxa"/>
            <w:vAlign w:val="bottom"/>
            <w:tcBorders>
              <w:bottom w:val="single" w:sz="8" w:color="auto"/>
            </w:tcBorders>
          </w:tcPr>
          <w:p>
            <w:pPr>
              <w:spacing w:after="0"/>
              <w:rPr>
                <w:sz w:val="24"/>
                <w:szCs w:val="24"/>
                <w:color w:val="auto"/>
              </w:rPr>
            </w:pPr>
          </w:p>
        </w:tc>
        <w:tc>
          <w:tcPr>
            <w:tcW w:w="6220" w:type="dxa"/>
            <w:vAlign w:val="bottom"/>
            <w:tcBorders>
              <w:bottom w:val="single" w:sz="8" w:color="auto"/>
            </w:tcBorders>
          </w:tcPr>
          <w:p>
            <w:pPr>
              <w:ind w:left="4440"/>
              <w:spacing w:after="0"/>
              <w:rPr>
                <w:sz w:val="20"/>
                <w:szCs w:val="20"/>
                <w:color w:val="auto"/>
              </w:rPr>
            </w:pPr>
            <w:r>
              <w:rPr>
                <w:rFonts w:ascii="Times New Roman" w:cs="Times New Roman" w:eastAsia="Times New Roman" w:hAnsi="Times New Roman"/>
                <w:sz w:val="18"/>
                <w:szCs w:val="18"/>
                <w:color w:val="auto"/>
              </w:rPr>
              <w:t>16</w:t>
            </w: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83" w:right="339" w:bottom="1440" w:gutter="0" w:footer="0" w:header="0"/>
        </w:sectPr>
      </w:pPr>
    </w:p>
    <w:bookmarkStart w:id="19" w:name="page20"/>
    <w:bookmarkEnd w:id="19"/>
    <w:p>
      <w:pPr>
        <w:jc w:val="right"/>
        <w:spacing w:after="0"/>
        <w:rPr>
          <w:sz w:val="20"/>
          <w:szCs w:val="20"/>
          <w:color w:val="auto"/>
        </w:rPr>
      </w:pPr>
      <w:r>
        <w:rPr>
          <w:rFonts w:ascii="Times New Roman" w:cs="Times New Roman" w:eastAsia="Times New Roman" w:hAnsi="Times New Roman"/>
          <w:sz w:val="18"/>
          <w:szCs w:val="18"/>
          <w:b w:val="1"/>
          <w:bCs w:val="1"/>
          <w:color w:val="auto"/>
        </w:rPr>
        <w:t>Annex 2</w:t>
      </w:r>
    </w:p>
    <w:p>
      <w:pPr>
        <w:spacing w:after="0" w:line="2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Reported Country of Origin</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Smelter Country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ANDORRA</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Australia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AUSTRIA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BELGIUM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BOLIVIA (PLURINATIONAL STATE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BRAZIL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CANADA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CHINA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Colombia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Congo, Democratic Republic Of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CZECHIA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Estonia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GHANA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India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INDONESIA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ITALY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JAPAN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KAZAKHSTAN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KOREA, REPUBLIC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KYRGYZSTAN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LITHUANIA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MALAYSIA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Mexico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MYANMAR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NEW ZEALAND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NORWAY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Peru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PHILIPPINES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POLAND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Portugal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Russian Federation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Rwanda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SAUDI ARABIA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SOUTH AFRICA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SPAIN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SUDAN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SWEDEN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SWITZERLAND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TAIWAN, REPUBLIC OF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Tanzania, United Republic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THAILAND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TURKEY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UGANDA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UNITED ARAB EMIRATES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UNITED STATES OF AMERICA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UZBEKISTAN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VIET NAM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b w:val="1"/>
          <w:bCs w:val="1"/>
          <w:color w:val="auto"/>
        </w:rPr>
        <w:t>ZIMBABWE</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lowerLetter"/>
      <w:start w:val="1"/>
    </w:lvl>
    <w:lvl w:ilvl="1">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2025-05-20T15:48:43Z</dcterms:created>
  <dcterms:modified xsi:type="dcterms:W3CDTF">2025-05-20T15:48:43Z</dcterms:modified>
</cp:coreProperties>
</file>