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2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August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5" w:lineRule="exact"/>
        <w:rPr>
          <w:sz w:val="24"/>
          <w:szCs w:val="24"/>
          <w:color w:val="auto"/>
        </w:rPr>
      </w:pPr>
    </w:p>
    <w:p>
      <w:pPr>
        <w:jc w:val="center"/>
        <w:ind w:right="-1200"/>
        <w:spacing w:after="0"/>
        <w:rPr>
          <w:sz w:val="20"/>
          <w:szCs w:val="20"/>
          <w:color w:val="auto"/>
        </w:rPr>
      </w:pPr>
      <w:r>
        <w:rPr>
          <w:rFonts w:ascii="Arial" w:cs="Arial" w:eastAsia="Arial" w:hAnsi="Arial"/>
          <w:sz w:val="36"/>
          <w:szCs w:val="36"/>
          <w:b w:val="1"/>
          <w:bCs w:val="1"/>
          <w:color w:val="auto"/>
        </w:rPr>
        <w:t>KORNIT DIGITAL LTD.</w:t>
      </w:r>
    </w:p>
    <w:p>
      <w:pPr>
        <w:spacing w:after="0" w:line="4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ind w:right="240" w:firstLine="638"/>
        <w:spacing w:after="0" w:line="342" w:lineRule="auto"/>
        <w:rPr>
          <w:sz w:val="20"/>
          <w:szCs w:val="20"/>
          <w:color w:val="auto"/>
        </w:rPr>
      </w:pPr>
      <w:r>
        <w:rPr>
          <w:rFonts w:ascii="Arial" w:cs="Arial" w:eastAsia="Arial" w:hAnsi="Arial"/>
          <w:sz w:val="16"/>
          <w:szCs w:val="16"/>
          <w:color w:val="auto"/>
        </w:rPr>
        <w:t>On August 6, 2019, Kornit Digital Ltd. (“Kornit”) issued a press release entitled “Kornit Digital Reports Second Quarter 2019 Results,” in which Kornit reported its financial results for the quarter and six months ended June 30, 2019. A copy of that press release is furnished as Exhibit 99.1 hereto.</w:t>
      </w:r>
    </w:p>
    <w:p>
      <w:pPr>
        <w:spacing w:after="0" w:line="124" w:lineRule="exact"/>
        <w:rPr>
          <w:sz w:val="20"/>
          <w:szCs w:val="20"/>
          <w:color w:val="auto"/>
        </w:rPr>
      </w:pPr>
    </w:p>
    <w:p>
      <w:pPr>
        <w:ind w:firstLine="638"/>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w:t>
      </w:r>
      <w:hyperlink r:id="rId13">
        <w:r>
          <w:rPr>
            <w:rFonts w:ascii="Arial" w:cs="Arial" w:eastAsia="Arial" w:hAnsi="Arial"/>
            <w:sz w:val="18"/>
            <w:szCs w:val="18"/>
            <w:color w:val="auto"/>
          </w:rPr>
          <w:t xml:space="preserve">incorporated by reference into Kornit’s Registration Statements on </w:t>
        </w:r>
        <w:r>
          <w:rPr>
            <w:rFonts w:ascii="Arial" w:cs="Arial" w:eastAsia="Arial" w:hAnsi="Arial"/>
            <w:sz w:val="18"/>
            <w:szCs w:val="18"/>
            <w:u w:val="single" w:color="auto"/>
            <w:color w:val="0000EE"/>
          </w:rPr>
          <w:t>Form F-3</w:t>
        </w:r>
        <w:r>
          <w:rPr>
            <w:rFonts w:ascii="Arial" w:cs="Arial" w:eastAsia="Arial" w:hAnsi="Arial"/>
            <w:sz w:val="18"/>
            <w:szCs w:val="18"/>
            <w:color w:val="auto"/>
          </w:rPr>
          <w:t xml:space="preserve"> (File No. 333-232070) and Form S-8 (File No.’s </w:t>
        </w:r>
        <w:r>
          <w:rPr>
            <w:rFonts w:ascii="Arial" w:cs="Arial" w:eastAsia="Arial" w:hAnsi="Arial"/>
            <w:sz w:val="18"/>
            <w:szCs w:val="18"/>
            <w:u w:val="single" w:color="auto"/>
            <w:color w:val="0000EE"/>
          </w:rPr>
          <w:t>333-203970</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333-214015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333-</w:t>
        </w:r>
      </w:hyperlink>
      <w:hyperlink r:id="rId13">
        <w:r>
          <w:rPr>
            <w:rFonts w:ascii="Arial" w:cs="Arial" w:eastAsia="Arial" w:hAnsi="Arial"/>
            <w:sz w:val="18"/>
            <w:szCs w:val="18"/>
            <w:u w:val="single" w:color="auto"/>
            <w:color w:val="0000EE"/>
          </w:rPr>
          <w:t>217039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14">
        <w:r>
          <w:rPr>
            <w:rFonts w:ascii="Arial" w:cs="Arial" w:eastAsia="Arial" w:hAnsi="Arial"/>
            <w:sz w:val="18"/>
            <w:szCs w:val="18"/>
            <w:u w:val="single" w:color="auto"/>
            <w:color w:val="0000EE"/>
          </w:rPr>
          <w:t xml:space="preserve">333-223794 </w:t>
        </w:r>
      </w:hyperlink>
      <w:hyperlink r:id="rId13">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15">
        <w:r>
          <w:rPr>
            <w:rFonts w:ascii="Arial" w:cs="Arial" w:eastAsia="Arial" w:hAnsi="Arial"/>
            <w:sz w:val="18"/>
            <w:szCs w:val="18"/>
            <w:u w:val="single" w:color="auto"/>
            <w:color w:val="0000EE"/>
          </w:rPr>
          <w:t>333-230567</w:t>
        </w:r>
      </w:hyperlink>
      <w:hyperlink r:id="rId13">
        <w:r>
          <w:rPr>
            <w:rFonts w:ascii="Arial" w:cs="Arial" w:eastAsia="Arial" w:hAnsi="Arial"/>
            <w:sz w:val="18"/>
            <w:szCs w:val="18"/>
            <w:color w:val="000000"/>
          </w:rPr>
          <w:t>).</w:t>
        </w:r>
      </w:hyperlink>
    </w:p>
    <w:p>
      <w:pPr>
        <w:spacing w:after="0" w:line="396" w:lineRule="exact"/>
        <w:rPr>
          <w:rFonts w:ascii="Arial" w:cs="Arial" w:eastAsia="Arial" w:hAnsi="Arial"/>
          <w:sz w:val="18"/>
          <w:szCs w:val="18"/>
          <w:color w:val="0000EE"/>
        </w:rPr>
      </w:pPr>
    </w:p>
    <w:p>
      <w:pPr>
        <w:jc w:val="center"/>
        <w:ind w:right="-7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August 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0"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20"/>
          </w:cols>
          <w:pgMar w:left="240" w:top="904" w:right="7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August 6, 2019 entitled “Kornit Digital Reports Second Quarter 2019 Results”</w:t>
            </w:r>
          </w:p>
        </w:tc>
      </w:tr>
      <w:tr>
        <w:trPr>
          <w:trHeight w:val="871"/>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060" w:type="dxa"/>
            <w:vAlign w:val="bottom"/>
            <w:tcBorders>
              <w:top w:val="single" w:sz="8" w:color="0000EE"/>
              <w:bottom w:val="single" w:sz="8" w:color="auto"/>
            </w:tcBorders>
          </w:tcPr>
          <w:p>
            <w:pPr>
              <w:jc w:val="right"/>
              <w:ind w:right="2370"/>
              <w:spacing w:after="0"/>
              <w:rPr>
                <w:sz w:val="20"/>
                <w:szCs w:val="20"/>
                <w:color w:val="auto"/>
              </w:rPr>
            </w:pPr>
            <w:r>
              <w:rPr>
                <w:rFonts w:ascii="Arial" w:cs="Arial" w:eastAsia="Arial" w:hAnsi="Arial"/>
                <w:sz w:val="18"/>
                <w:szCs w:val="18"/>
                <w:color w:val="auto"/>
              </w:rPr>
              <w:t>3</w:t>
            </w:r>
          </w:p>
        </w:tc>
        <w:tc>
          <w:tcPr>
            <w:tcW w:w="32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128651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28651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Second Quarter 2019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Strong second quarter revenue of $43.9 million, up 22.3% net of $2.4 million attributed to the non-cash impact of warrants, compared to $35.9 million net of $1.5 million attributed to the non-cash impact of warrants in the prior year period.</w:t>
      </w:r>
    </w:p>
    <w:p>
      <w:pPr>
        <w:spacing w:after="0" w:line="197"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Second quarter 2019 GAAP operating loss of $0.2 million; Non-GAAP operating income of $2.7 million net of $2.4 million attributed to the non-cash impact of warrants, constituting 6.2% of revenue, net of 490 basis points attributed to the non-cash impact of warrants. Second quarter 2019 GAAP net income of $0.01 per diluted share; Non-GAAP net income of $0.08 per diluted share, net of $0.06 per diluted share attributed to the non-cash impact of warrants.</w:t>
      </w:r>
    </w:p>
    <w:p>
      <w:pPr>
        <w:spacing w:after="0" w:line="21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18, 2019 the Company completed a successful follow-on offering of 4,991,000 shares, raising net proceeds of $130.4 million.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momentum with the introductions of the Kornit Avalanche Poly Pro, Atlas and Presto, which have seen strong adoption.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Key collaboration with Adidas and continued engagements with global brands.</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Unveiling of Kornit Konnect, an industry-leading cloud software analytics platform.</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Successful investment in ITMA Barcelona drove strong demand and pipeline.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North America transition towards direct distribution model executed successfully as evidenced by strong performance.</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investment in APAC yields another quarter of strong growth.</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Rosh-Ha’Ayin, Israel – August 6, 2019 – </w:t>
      </w:r>
      <w:r>
        <w:rPr>
          <w:rFonts w:ascii="Arial" w:cs="Arial" w:eastAsia="Arial" w:hAnsi="Arial"/>
          <w:sz w:val="18"/>
          <w:szCs w:val="18"/>
          <w:color w:val="auto"/>
        </w:rPr>
        <w:t>Kornit Digital Ltd. (NASDAQ: KRNT), a leading provider of digital printing solutions for the global printed</w:t>
      </w:r>
      <w:r>
        <w:rPr>
          <w:rFonts w:ascii="Arial" w:cs="Arial" w:eastAsia="Arial" w:hAnsi="Arial"/>
          <w:sz w:val="18"/>
          <w:szCs w:val="18"/>
          <w:b w:val="1"/>
          <w:bCs w:val="1"/>
          <w:color w:val="auto"/>
        </w:rPr>
        <w:t xml:space="preserve"> </w:t>
      </w:r>
      <w:r>
        <w:rPr>
          <w:rFonts w:ascii="Arial" w:cs="Arial" w:eastAsia="Arial" w:hAnsi="Arial"/>
          <w:sz w:val="18"/>
          <w:szCs w:val="18"/>
          <w:color w:val="auto"/>
        </w:rPr>
        <w:t>textile industry, today reported results for the second quarter, ended June 30, 2019.</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Second quarter 2019 revenue increased by 22.3% to $43.9 million, net of $2.4 million attributed to the non-cash impact of warrants, compared to $35.9 million, net of $1.5 million attributed to the non-cash impact of warrants, in the prior year period. Increased revenue in the quarter was attributable to widespread growth of system, services and consumables sales across geographies, particularly in the North American and Asia Pacific regions.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 GAAP basis, second quarter operating loss was $(0.2) million, compared to the prior-year period operating income of $1.6 million. Non-GAAP operating income in the second quarter was $2.7 million net of $2.4 million attributed to the non-cash impact of warrants, constituting 6.2% of revenue, net of 490 basis points attributed to the non-cash impact of warrants, compared to $3.2 million, or 8.8% of revenue, in the prior year period. The decrease in operating income was the result of the more significant impact of warrants during the period, increased sales and marketing expenses driven by marketing events in the quarter, and a less favorable mix.</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Ronen Samuel, Kornit Digital’s Chief Executive Officer commented “Our second quarter performance demonstrates our laser-focused commitment to execution. The momentum we continue building through the introduction of innovative new solutions and the continued investment in scaling our go-to-market allowed us to deliver another quarter of record quarterly sales.”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Samuel added: “We are excited and encouraged by the continued demand for our HD platforms and the outstanding new product introduction of the Atlas, PolyPro, and Presto. We are entering the second half of the year with good momentum. I am encouraged with the number of ongoing engagements we have with some of the world’s leading brands and our relationship with our strategic customers is as strong as ever. We remain focused on executing on our strategic initiatives and continue to progress toward our long-term goal of becoming a $500 million run-rate sales business by the end of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Results of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reported second quarter revenue, net of the non-cash impact of warrants, of $43.9 million, compared with the prior-year period level of $35.9 million. The total non-cash impact of the warrants deducted from revenue was $2.4 million in the second quarter of 2019 and $1.5 million in the second quarter of 2018.</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a GAAP basis, second quarter gross profit was $18.7 million, compared to $17.4 million in the prior-year period. Non-GAAP gross profit in the second quarter was $20.2 million, or 45.9% of revenue, compared with $17.6 million, or 49.2% of revenue in the second quarter of 2018. The decrease in gross margin was primarily driven by impact of warrants, product mix and new product introduction.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total operating expenses in the second quarter were $18.8 million, compared to $15.8 million in the prior-year period. Non-GAAP operating expenses in the second quarter increased to $17.5 million, or 39.8% of revenue, compared to $14.5 million, or 40.3% of revenue, in the prior-year period.</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Second quarter GAAP research and development expenses were $5.3 million, unchanged from the prior-year period. Second quarter Non-GAAP research and development expenses were $5.0 million, or 11.3% of revenue, compared to $5.1 million, or 14.2% of revenue in the prior-year period.</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Second quarter GAAP selling and marketing expenses were $9.2 million, compared to $6.4 million in the prior-year period. Second quarter Non-GAAP selling and marketing expenses were $8.7 million, or 19.8% of revenue, compared to $5.9 million, or 16.3% of revenue, in the equivalent prior-year period.</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Second quarter GAAP general and administrative expenses were $4.3 million, compared to $4.0 million in the prior-year period. Second quarter non-GAAP general and administrative expenses were $3.8 million, or 8.6% of revenue, compared to $3.5 million, or 9.8% of revenue, in the prior-year period.</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 GAAP basis, second-quarter operating loss was $(0.2) million, compared to operating profit of $1.6 million during the prior-year period. Non-GAAP operating income in the second quarter was $2.7 million, compared to $3.2 million in the prior-year period. As a percentage of revenue, Non-GAAP operating margin for the second quarter was 6.2% of revenue, compared with 8.8% of revenue in the second quarter of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On a GAAP basis, the Company reported net income of $0.5 million, or $0.01 per diluted share, compared to net income of $1.8 million in the second quarter of 2018. Non-GAAP net income for the second quarter of 2019 was $2.9 million, or $0.08 per diluted share, net of $0.06 per diluted share attributed to the non-cash impact of warrants, compared to net income of $3.2 million, or $0.09 per diluted share, net of $0.04 per diluted share attributed to the non-cash impact of warrants in the prior year period.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Second Quarter 2019 Warrants Impact</w:t>
            </w: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7"/>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4"/>
              </w:rPr>
              <w:t>Warrants</w:t>
            </w:r>
          </w:p>
        </w:tc>
        <w:tc>
          <w:tcPr>
            <w:tcW w:w="100" w:type="dxa"/>
            <w:vAlign w:val="bottom"/>
          </w:tcPr>
          <w:p>
            <w:pPr>
              <w:spacing w:after="0"/>
              <w:rPr>
                <w:sz w:val="17"/>
                <w:szCs w:val="17"/>
                <w:color w:val="auto"/>
              </w:rPr>
            </w:pP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Impact K$ /</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Impact K$ /</w:t>
            </w: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Net of</w:t>
            </w: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BPS / $</w:t>
            </w:r>
          </w:p>
        </w:tc>
        <w:tc>
          <w:tcPr>
            <w:tcW w:w="14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4"/>
              </w:rPr>
              <w:t>Net of</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BPS / $</w:t>
            </w:r>
          </w:p>
        </w:tc>
      </w:tr>
      <w:tr>
        <w:trPr>
          <w:trHeight w:val="216"/>
        </w:trPr>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increase</w:t>
            </w: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4"/>
              </w:rPr>
              <w:t>Warrants</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increase</w:t>
            </w:r>
          </w:p>
        </w:tc>
      </w:tr>
      <w:tr>
        <w:trPr>
          <w:trHeight w:val="241"/>
        </w:trPr>
        <w:tc>
          <w:tcPr>
            <w:tcW w:w="6020" w:type="dxa"/>
            <w:vAlign w:val="bottom"/>
            <w:gridSpan w:val="2"/>
          </w:tcPr>
          <w:p>
            <w:pPr>
              <w:spacing w:after="0"/>
              <w:rPr>
                <w:sz w:val="20"/>
                <w:szCs w:val="20"/>
                <w:color w:val="auto"/>
              </w:rPr>
            </w:pPr>
            <w:r>
              <w:rPr>
                <w:rFonts w:ascii="Arial" w:cs="Arial" w:eastAsia="Arial" w:hAnsi="Arial"/>
                <w:sz w:val="18"/>
                <w:szCs w:val="18"/>
                <w:color w:val="auto"/>
              </w:rPr>
              <w:t>$ in thousands</w:t>
            </w:r>
          </w:p>
        </w:tc>
        <w:tc>
          <w:tcPr>
            <w:tcW w:w="14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Impact</w:t>
            </w: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6"/>
              </w:rPr>
              <w:t>Impact</w:t>
            </w: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r>
      <w:tr>
        <w:trPr>
          <w:trHeight w:val="216"/>
        </w:trPr>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35,876</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c>
          <w:tcPr>
            <w:tcW w:w="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282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49.2%</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Net Margin</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488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EPS</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0.09</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Company had cash, deposits and marketable securities of $250.1 million, which reflects growth of $130.4 million due to net proceeds from the Company’s follow-on offering completed in June 2019 and no long-term debt. Cash used in operations was $(4.4) million during the second quarter of 2019, reflecting an increase in DSO.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2019 Guidance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will discuss the details of its guidance live during its earnings conference call, which will be available for replay via webcast at ir.kornit.com, as referenced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will host a conference call today at 5:00 p.m. ET, or 0:00 a.m. Israel time, to discuss its second-quarter results, followed by a question and answer session for the investment community. A live webcast of the call can be accessed at ir.kornit.com. To access the call, participants may dial toll-free, 1-866-548-4713 or +1-323-794-2093. The toll-free Israeli number is 1 80 921 2883. The confirmation code is 1428116.</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listen to a telephonic replay of the conference call, dial toll-free 1-844-512-2921 or +1-412-317-6671 (international) and enter confirmation code 1428116. The telephonic replay will be available beginning at 8:00 p.m. ET on Tuesday, August 6, 2019, and until 11:59 p.m. ET on Tuesday, August 20, 2019. The call will also be available for replay via the webcast link on Kornit’s Investor Relations website.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degree of our success in developing, introducing and selling new or improved products and product enhancements including specifically our Poly Pro and Presto products the extent of our ability to consummate sales to large accounts with multi-system delivery plans, the degree of our ability to fill orders for our systems, the extent of our ability to continue to increase sales of our systems, ink and consumables, the extent of our ability to leverage our global infrastructure build-out, the development of the market for digital textile printing, the availability of alternative ink, competition, sales concentration, changes to our relationships with suppliers, the extent of our success in marketing, and those additional factors referred to under “Risk Factors” in the Company’s Annual Report on Form 20-F for the year ended December 31, 2018, filed with the U.S. Securities and Exchange Commission on March 26, 2019.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benefits and restructuring expenses and their tax effect. The purpose of such adjustments is to provide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Short-term bank deposits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Other accounts receivable and prepaid expenses Total current assets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LONG-TERM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Deposits and prepaid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Severance pay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Property,plant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long-term assets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14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4140"/>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tbl>
      <w:tblPr>
        <w:tblLayout w:type="fixed"/>
        <w:tblInd w:w="466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r>
      <w:tr>
        <w:trPr>
          <w:trHeight w:val="223"/>
        </w:trPr>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634"/>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104,550</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74,132</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82,000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24,615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3,981</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34,137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21,953</w:t>
            </w:r>
          </w:p>
        </w:tc>
      </w:tr>
      <w:tr>
        <w:trPr>
          <w:trHeight w:val="230"/>
        </w:trPr>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34,900</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30,030</w:t>
            </w:r>
          </w:p>
        </w:tc>
      </w:tr>
      <w:tr>
        <w:trPr>
          <w:trHeight w:val="237"/>
        </w:trPr>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5,030</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5,660</w:t>
            </w: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285,232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140,756</w:t>
            </w:r>
          </w:p>
        </w:tc>
      </w:tr>
      <w:tr>
        <w:trPr>
          <w:trHeight w:val="634"/>
        </w:trPr>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38,917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44,603</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7,839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7,272</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15,529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14,994</w:t>
            </w:r>
          </w:p>
        </w:tc>
      </w:tr>
      <w:tr>
        <w:trPr>
          <w:trHeight w:val="216"/>
        </w:trPr>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2,282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1,011</w:t>
            </w:r>
          </w:p>
        </w:tc>
      </w:tr>
      <w:tr>
        <w:trPr>
          <w:trHeight w:val="237"/>
        </w:trPr>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5,092</w:t>
            </w:r>
          </w:p>
        </w:tc>
      </w:tr>
      <w:tr>
        <w:trPr>
          <w:trHeight w:val="223"/>
        </w:trPr>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85,260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74,067</w:t>
            </w:r>
          </w:p>
        </w:tc>
      </w:tr>
      <w:tr>
        <w:trPr>
          <w:trHeight w:val="48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370,492</w:t>
            </w: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214,823</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-2898140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-2623820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-2348865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-2057400</wp:posOffset>
            </wp:positionV>
            <wp:extent cx="72466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-1757680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-1482725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-1208405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-934085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-659765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-351155</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460" w:space="700"/>
            <w:col w:w="7260"/>
          </w:cols>
          <w:pgMar w:left="240" w:top="904" w:right="239" w:bottom="1440" w:gutter="0" w:footer="0" w:header="0"/>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Trade payables</w:t>
            </w:r>
          </w:p>
        </w:tc>
        <w:tc>
          <w:tcPr>
            <w:tcW w:w="2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20,915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Deferred revenues and advances from customers</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Accrued severance pay</w:t>
            </w: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4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317,177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370,492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9" w:name="page10"/>
    <w:bookmarkEnd w:id="9"/>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Six Months Ended</w:t>
            </w:r>
          </w:p>
        </w:tc>
        <w:tc>
          <w:tcPr>
            <w:tcW w:w="220" w:type="dxa"/>
            <w:vAlign w:val="bottom"/>
          </w:tcPr>
          <w:p>
            <w:pPr>
              <w:spacing w:after="0"/>
              <w:rPr>
                <w:sz w:val="19"/>
                <w:szCs w:val="19"/>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8"/>
              </w:rPr>
              <w:t>June 30, 2019</w:t>
            </w:r>
          </w:p>
        </w:tc>
        <w:tc>
          <w:tcPr>
            <w:tcW w:w="220" w:type="dxa"/>
            <w:vAlign w:val="bottom"/>
          </w:tcPr>
          <w:p>
            <w:pPr>
              <w:spacing w:after="0"/>
              <w:rPr>
                <w:sz w:val="20"/>
                <w:szCs w:val="20"/>
                <w:color w:val="auto"/>
              </w:rPr>
            </w:pPr>
          </w:p>
        </w:tc>
        <w:tc>
          <w:tcPr>
            <w:tcW w:w="2380" w:type="dxa"/>
            <w:vAlign w:val="bottom"/>
            <w:gridSpan w:val="6"/>
          </w:tcPr>
          <w:p>
            <w:pPr>
              <w:jc w:val="center"/>
              <w:ind w:right="320"/>
              <w:spacing w:after="0"/>
              <w:rPr>
                <w:sz w:val="20"/>
                <w:szCs w:val="20"/>
                <w:color w:val="auto"/>
              </w:rPr>
            </w:pPr>
            <w:r>
              <w:rPr>
                <w:rFonts w:ascii="Arial" w:cs="Arial" w:eastAsia="Arial" w:hAnsi="Arial"/>
                <w:sz w:val="18"/>
                <w:szCs w:val="18"/>
                <w:b w:val="1"/>
                <w:bCs w:val="1"/>
                <w:color w:val="auto"/>
                <w:w w:val="90"/>
              </w:rPr>
              <w:t>June 30,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center"/>
              <w:ind w:right="13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69,866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37,859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12,185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8,146</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Products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25,232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17,787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8,947</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48,100</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34,179</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25,237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33,951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32,817</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18,653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10,589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16,473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12,201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9,205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1,707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net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(1,109)</w:t>
            </w: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2,535</w:t>
            </w:r>
          </w:p>
        </w:tc>
        <w:tc>
          <w:tcPr>
            <w:tcW w:w="2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375</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Taxes on income (benefit)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(loss)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 average number of shares used in computing basic net income (loss) per</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35,547,223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34,295,752</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35,962,455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34,321,995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 average number of shares used in computing diluted net income (loss)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per share</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35,547,223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34,885,393</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37,287,748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35,047,817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line="6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ectPr>
          <w:pgSz w:w="11900" w:h="16900" w:orient="portrait"/>
          <w:cols w:equalWidth="0" w:num="1">
            <w:col w:w="11420"/>
          </w:cols>
          <w:pgMar w:left="240" w:top="904" w:right="239" w:bottom="0" w:gutter="0" w:footer="0" w:header="0"/>
        </w:sectPr>
      </w:pPr>
    </w:p>
    <w:p>
      <w:pPr>
        <w:spacing w:after="0" w:line="20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16122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 w:lineRule="exact"/>
        <w:rPr>
          <w:sz w:val="20"/>
          <w:szCs w:val="20"/>
          <w:color w:val="auto"/>
        </w:rPr>
      </w:pPr>
    </w:p>
    <w:p>
      <w:pPr>
        <w:ind w:left="6480"/>
        <w:spacing w:after="0"/>
        <w:tabs>
          <w:tab w:leader="none" w:pos="784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31750</wp:posOffset>
            </wp:positionV>
            <wp:extent cx="16122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39"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17145</wp:posOffset>
            </wp:positionV>
            <wp:extent cx="16122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14605</wp:posOffset>
            </wp:positionV>
            <wp:extent cx="15779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5"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31750</wp:posOffset>
            </wp:positionV>
            <wp:extent cx="15779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17145</wp:posOffset>
            </wp:positionV>
            <wp:extent cx="157797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8500" w:space="720"/>
            <w:col w:w="2200"/>
          </w:cols>
          <w:pgMar w:left="240" w:top="904" w:right="239" w:bottom="0" w:gutter="0" w:footer="0" w:header="0"/>
          <w:type w:val="continuous"/>
        </w:sectPr>
      </w:pP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cost of revenues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product recorded for 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recorded for share-based compensation (1)</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 assets amortization on cost of product (3)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Acquisition related expenses (2)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cost of revenues</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44,765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33,788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23,731</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gross profit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33,951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Gross profit adjustments</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3,335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1,506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gross profit</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37,286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20,159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expenses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31,110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18,827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(2,039)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operating expenses</w:t>
            </w: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32,964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28,323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17,450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14,472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GAAP Financial income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545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Financial income</w:t>
            </w: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1,083</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752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GAAP Taxes on income (tax benefit)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to the above non-GAAP adjustments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 benefit (b)</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Taxes on income</w:t>
            </w:r>
          </w:p>
        </w:tc>
        <w:tc>
          <w:tcPr>
            <w:tcW w:w="5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vMerge w:val="continue"/>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Share-based compensation (1)</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2,380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Acquisition related expenses (2)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Intangible assets amortization (3)</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Excess cost of product on acquired inventory (a)</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Restructuring expenses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associated with ASC 842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Tax effect on to the above non-GAAP adjustments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based on an Israeli statutory tax rate (b)</w:t>
            </w: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Non-GAAP net income</w:t>
            </w: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480" w:type="dxa"/>
            <w:vAlign w:val="bottom"/>
            <w:vMerge w:val="continue"/>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4,054</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5,336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2,869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GAAP diluted earning (loss) per share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(0.03</w:t>
            </w:r>
            <w:r>
              <w:rPr>
                <w:rFonts w:ascii="Arial" w:cs="Arial" w:eastAsia="Arial" w:hAnsi="Arial"/>
                <w:sz w:val="29"/>
                <w:szCs w:val="29"/>
                <w:color w:val="auto"/>
                <w:vertAlign w:val="superscript"/>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Non-GAAP diluted earning per share</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9"/>
              </w:rPr>
              <w:t>Shares used in computing GAAP diluted net earning (loss) per share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35,547,223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34,885,393</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37,287,748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35,047,817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Shares used in computing Non-GAAP diluted net earning per share</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36,976,062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35,176,284</w:t>
            </w:r>
          </w:p>
        </w:tc>
        <w:tc>
          <w:tcPr>
            <w:tcW w:w="22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37,532,617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35,346,599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(1) Share-based compensation</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product revenues</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Cost of service revenues</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bottom w:val="single" w:sz="8" w:color="CCEEFF"/>
            </w:tcBorders>
          </w:tcPr>
          <w:p>
            <w:pPr>
              <w:spacing w:after="0"/>
              <w:rPr>
                <w:sz w:val="18"/>
                <w:szCs w:val="18"/>
                <w:color w:val="auto"/>
              </w:rPr>
            </w:pPr>
          </w:p>
        </w:tc>
        <w:tc>
          <w:tcPr>
            <w:tcW w:w="5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2,743</w:t>
            </w:r>
          </w:p>
        </w:tc>
        <w:tc>
          <w:tcPr>
            <w:tcW w:w="14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2,380</w:t>
            </w:r>
          </w:p>
        </w:tc>
        <w:tc>
          <w:tcPr>
            <w:tcW w:w="2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4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w:t>
            </w:r>
          </w:p>
        </w:tc>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related expenses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0" w:type="dxa"/>
            <w:vAlign w:val="bottom"/>
            <w:shd w:val="clear" w:color="auto" w:fill="CCEEFF"/>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240" w:type="dxa"/>
            <w:vAlign w:val="bottom"/>
          </w:tcPr>
          <w:p>
            <w:pPr>
              <w:spacing w:after="0"/>
              <w:rPr>
                <w:sz w:val="20"/>
                <w:szCs w:val="20"/>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584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40" w:type="dxa"/>
            <w:vAlign w:val="bottom"/>
          </w:tcPr>
          <w:p>
            <w:pPr>
              <w:jc w:val="right"/>
              <w:spacing w:after="0" w:line="203" w:lineRule="exact"/>
              <w:rPr>
                <w:sz w:val="20"/>
                <w:szCs w:val="20"/>
                <w:color w:val="auto"/>
              </w:rPr>
            </w:pPr>
            <w:r>
              <w:rPr>
                <w:rFonts w:ascii="Arial" w:cs="Arial" w:eastAsia="Arial" w:hAnsi="Arial"/>
                <w:sz w:val="18"/>
                <w:szCs w:val="18"/>
                <w:color w:val="auto"/>
                <w:w w:val="90"/>
              </w:rPr>
              <w:t>(3)</w:t>
            </w:r>
          </w:p>
        </w:tc>
        <w:tc>
          <w:tcPr>
            <w:tcW w:w="5840" w:type="dxa"/>
            <w:vAlign w:val="bottom"/>
          </w:tcPr>
          <w:p>
            <w:pPr>
              <w:ind w:left="20"/>
              <w:spacing w:after="0" w:line="203" w:lineRule="exact"/>
              <w:rPr>
                <w:sz w:val="20"/>
                <w:szCs w:val="20"/>
                <w:color w:val="auto"/>
              </w:rPr>
            </w:pPr>
            <w:r>
              <w:rPr>
                <w:rFonts w:ascii="Arial" w:cs="Arial" w:eastAsia="Arial" w:hAnsi="Arial"/>
                <w:sz w:val="18"/>
                <w:szCs w:val="18"/>
                <w:color w:val="auto"/>
              </w:rPr>
              <w:t>Intangible assets amortization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 w:type="dxa"/>
            <w:vAlign w:val="bottom"/>
            <w:shd w:val="clear" w:color="auto" w:fill="CCEEFF"/>
          </w:tcPr>
          <w:p>
            <w:pPr>
              <w:spacing w:after="0"/>
              <w:rPr>
                <w:sz w:val="18"/>
                <w:szCs w:val="18"/>
                <w:color w:val="auto"/>
              </w:rPr>
            </w:pPr>
          </w:p>
        </w:tc>
        <w:tc>
          <w:tcPr>
            <w:tcW w:w="5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revenues</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37"/>
        </w:trPr>
        <w:tc>
          <w:tcPr>
            <w:tcW w:w="240" w:type="dxa"/>
            <w:vAlign w:val="bottom"/>
          </w:tcPr>
          <w:p>
            <w:pPr>
              <w:spacing w:after="0"/>
              <w:rPr>
                <w:sz w:val="20"/>
                <w:szCs w:val="20"/>
                <w:color w:val="auto"/>
              </w:rPr>
            </w:pPr>
          </w:p>
        </w:tc>
        <w:tc>
          <w:tcPr>
            <w:tcW w:w="584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8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charges to cost of revenues for the difference between the higher carrying cost of the acquired inventory from a distributor purchased on February 8, 2019 which was recorded at fair value and the standard cost of the Company’s inventory, which adversely impacts the Company’s gross profit.</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 cash impact related to the recognition of deferred taxes with respect to carryforward losses in Israel.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90"/>
              </w:rPr>
              <w:t>Six Months Ended</w:t>
            </w:r>
          </w:p>
        </w:tc>
        <w:tc>
          <w:tcPr>
            <w:tcW w:w="240" w:type="dxa"/>
            <w:vAlign w:val="bottom"/>
          </w:tcPr>
          <w:p>
            <w:pPr>
              <w:spacing w:after="0"/>
              <w:rPr>
                <w:sz w:val="19"/>
                <w:szCs w:val="19"/>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 2019</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June 30,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2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91"/>
              </w:rPr>
              <w:t>(Unaudited)</w:t>
            </w:r>
          </w:p>
        </w:tc>
        <w:tc>
          <w:tcPr>
            <w:tcW w:w="7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93"/>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960" w:type="dxa"/>
            <w:vAlign w:val="bottom"/>
            <w:gridSpan w:val="4"/>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tcPr>
          <w:p>
            <w:pPr>
              <w:spacing w:after="0" w:line="201" w:lineRule="exact"/>
              <w:rPr>
                <w:sz w:val="20"/>
                <w:szCs w:val="20"/>
                <w:color w:val="auto"/>
              </w:rPr>
            </w:pPr>
            <w:r>
              <w:rPr>
                <w:rFonts w:ascii="Arial" w:cs="Arial" w:eastAsia="Arial" w:hAnsi="Arial"/>
                <w:sz w:val="18"/>
                <w:szCs w:val="18"/>
                <w:color w:val="auto"/>
                <w:w w:val="97"/>
              </w:rPr>
              <w:t>Adjustments to reconcile net income (loss) to net cash provided by operating</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ind w:left="160"/>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Amortization of premium (discount) on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trade receivables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(10,141)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inventory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9,044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 operating leases right-of-use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Decrease (increase) in deferred taxes,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trade payables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3,782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(2,192)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operating lease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employees and payroll accruals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accrued severance pay,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other long term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Foreign currency translation income (loss) on inter company balances with</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foreign subsidiaries</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6,684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(4,382)</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w w:val="92"/>
              </w:rPr>
              <w:t>Acquisition of intangible assets and capitalization of software development costs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in bank deposits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(77,000)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marketable securities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29,807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Proceeds from maturity of marketable securities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2,150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(44,599)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(8,224)</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(40,153)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secondary offering,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130,379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Exercise of employee stock options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1,067</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Payment of contingent consideration</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132,345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131,504</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30,426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(1,373)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86,969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17,559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gridSpan w:val="3"/>
            <w:vMerge w:val="restart"/>
          </w:tcPr>
          <w:p>
            <w:pPr>
              <w:spacing w:after="0"/>
              <w:rPr>
                <w:sz w:val="20"/>
                <w:szCs w:val="20"/>
                <w:color w:val="auto"/>
              </w:rPr>
            </w:pPr>
            <w:r>
              <w:rPr>
                <w:rFonts w:ascii="Arial" w:cs="Arial" w:eastAsia="Arial" w:hAnsi="Arial"/>
                <w:sz w:val="18"/>
                <w:szCs w:val="18"/>
                <w:color w:val="auto"/>
              </w:rPr>
              <w:t>Cash and cash equivalents at the end of the period</w:t>
            </w: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59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104,550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17,223</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104,550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17,223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Purchase of property and equipment on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transferred to be used as property and equipment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Issuance expenses on credit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Receipt on account of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3"/>
          </w:tcPr>
          <w:p>
            <w:pPr>
              <w:spacing w:after="0"/>
              <w:rPr>
                <w:sz w:val="20"/>
                <w:szCs w:val="20"/>
                <w:color w:val="auto"/>
              </w:rPr>
            </w:pPr>
            <w:r>
              <w:rPr>
                <w:rFonts w:ascii="Arial" w:cs="Arial" w:eastAsia="Arial" w:hAnsi="Arial"/>
                <w:sz w:val="18"/>
                <w:szCs w:val="18"/>
                <w:color w:val="auto"/>
              </w:rPr>
              <w:t>Capitalization of software development 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55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3"/>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13" Type="http://schemas.openxmlformats.org/officeDocument/2006/relationships/hyperlink" Target="http://www.sec.gov/Archives/edgar/data/1625791/000121390017003012/fs82017_kornitdigital.htm" TargetMode="External"/><Relationship Id="rId14" Type="http://schemas.openxmlformats.org/officeDocument/2006/relationships/hyperlink" Target="http://www.sec.gov/Archives/edgar/data/1625791/000121390018003205/fs82018_kornitdigital.htm" TargetMode="External"/><Relationship Id="rId15" Type="http://schemas.openxmlformats.org/officeDocument/2006/relationships/hyperlink" Target="http://www.sec.gov/Archives/edgar/data/1625791/000121390019005079/fs82019_kornitdigital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2019-12-21T02:03:41Z</dcterms:created>
  <dcterms:modified xsi:type="dcterms:W3CDTF">2019-12-21T02:03:41Z</dcterms:modified>
</cp:coreProperties>
</file>