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July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100" w:hanging="86"/>
        <w:spacing w:after="0" w:line="283" w:lineRule="auto"/>
        <w:tabs>
          <w:tab w:leader="none" w:pos="102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460" w:right="339" w:bottom="1440" w:gutter="0" w:footer="0" w:header="0"/>
        </w:sectPr>
      </w:pPr>
    </w:p>
    <w:bookmarkStart w:id="1" w:name="page2"/>
    <w:bookmarkEnd w:id="1"/>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8 Pages</w:t>
      </w:r>
    </w:p>
    <w:p>
      <w:pPr>
        <w:sectPr>
          <w:pgSz w:w="11900" w:h="16838" w:orient="portrait"/>
          <w:cols w:equalWidth="0" w:num="1">
            <w:col w:w="11240"/>
          </w:cols>
          <w:pgMar w:left="320" w:top="229" w:right="339" w:bottom="1440" w:gutter="0" w:footer="0" w:header="0"/>
        </w:sectPr>
      </w:pPr>
    </w:p>
    <w:p>
      <w:pPr>
        <w:ind w:left="1700" w:hanging="967"/>
        <w:spacing w:after="0" w:line="226" w:lineRule="auto"/>
        <w:tabs>
          <w:tab w:leader="none" w:pos="1700" w:val="left"/>
        </w:tabs>
        <w:numPr>
          <w:ilvl w:val="0"/>
          <w:numId w:val="2"/>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4800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800600"/>
                    </a:xfrm>
                    <a:prstGeom prst="rect">
                      <a:avLst/>
                    </a:prstGeom>
                    <a:noFill/>
                  </pic:spPr>
                </pic:pic>
              </a:graphicData>
            </a:graphic>
          </wp:anchor>
        </w:drawing>
      </w:r>
    </w:p>
    <w:p>
      <w:pPr>
        <w:spacing w:after="0" w:line="22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Senvest Management, LLC</w:t>
      </w:r>
    </w:p>
    <w:p>
      <w:pPr>
        <w:ind w:left="1700" w:hanging="967"/>
        <w:spacing w:after="0" w:line="180" w:lineRule="auto"/>
        <w:tabs>
          <w:tab w:leader="none" w:pos="1700" w:val="left"/>
        </w:tabs>
        <w:numPr>
          <w:ilvl w:val="0"/>
          <w:numId w:val="3"/>
        </w:numPr>
        <w:rPr>
          <w:rFonts w:ascii="Arial" w:cs="Arial" w:eastAsia="Arial" w:hAnsi="Arial"/>
          <w:sz w:val="45"/>
          <w:szCs w:val="45"/>
          <w:b w:val="1"/>
          <w:bCs w:val="1"/>
          <w:color w:val="auto"/>
          <w:vertAlign w:val="subscript"/>
        </w:rPr>
      </w:pPr>
      <w:r>
        <w:rPr>
          <w:rFonts w:ascii="Arial" w:cs="Arial" w:eastAsia="Arial" w:hAnsi="Arial"/>
          <w:sz w:val="15"/>
          <w:szCs w:val="15"/>
          <w:color w:val="auto"/>
        </w:rPr>
        <w:t>CHECK THE APPROPRIATE BOX IF A MEMBER OF A GROUP</w:t>
      </w:r>
    </w:p>
    <w:p>
      <w:pPr>
        <w:spacing w:after="0" w:line="103" w:lineRule="exact"/>
        <w:rPr>
          <w:sz w:val="20"/>
          <w:szCs w:val="20"/>
          <w:color w:val="auto"/>
        </w:rPr>
      </w:pPr>
    </w:p>
    <w:p>
      <w:pPr>
        <w:ind w:left="1700" w:hanging="967"/>
        <w:spacing w:after="0"/>
        <w:tabs>
          <w:tab w:leader="none" w:pos="17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2,836,587</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2,836,587</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2,836,587</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5.70%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OO, IA</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8 Pages</w:t>
      </w:r>
    </w:p>
    <w:p>
      <w:pPr>
        <w:sectPr>
          <w:pgSz w:w="11900" w:h="16838" w:orient="portrait"/>
          <w:cols w:equalWidth="0" w:num="1">
            <w:col w:w="11240"/>
          </w:cols>
          <w:pgMar w:left="320" w:top="229" w:right="339" w:bottom="1440" w:gutter="0" w:footer="0" w:header="0"/>
        </w:sectPr>
      </w:pPr>
    </w:p>
    <w:p>
      <w:pPr>
        <w:ind w:left="1700" w:hanging="967"/>
        <w:spacing w:after="0" w:line="226" w:lineRule="auto"/>
        <w:tabs>
          <w:tab w:leader="none" w:pos="170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4800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800600"/>
                    </a:xfrm>
                    <a:prstGeom prst="rect">
                      <a:avLst/>
                    </a:prstGeom>
                    <a:noFill/>
                  </pic:spPr>
                </pic:pic>
              </a:graphicData>
            </a:graphic>
          </wp:anchor>
        </w:drawing>
      </w:r>
    </w:p>
    <w:p>
      <w:pPr>
        <w:spacing w:after="0" w:line="22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Richard Mashaal</w:t>
      </w:r>
    </w:p>
    <w:p>
      <w:pPr>
        <w:ind w:left="1700" w:hanging="967"/>
        <w:spacing w:after="0" w:line="180" w:lineRule="auto"/>
        <w:tabs>
          <w:tab w:leader="none" w:pos="1700" w:val="left"/>
        </w:tabs>
        <w:numPr>
          <w:ilvl w:val="0"/>
          <w:numId w:val="7"/>
        </w:numPr>
        <w:rPr>
          <w:rFonts w:ascii="Arial" w:cs="Arial" w:eastAsia="Arial" w:hAnsi="Arial"/>
          <w:sz w:val="45"/>
          <w:szCs w:val="45"/>
          <w:b w:val="1"/>
          <w:bCs w:val="1"/>
          <w:color w:val="auto"/>
          <w:vertAlign w:val="subscript"/>
        </w:rPr>
      </w:pPr>
      <w:r>
        <w:rPr>
          <w:rFonts w:ascii="Arial" w:cs="Arial" w:eastAsia="Arial" w:hAnsi="Arial"/>
          <w:sz w:val="15"/>
          <w:szCs w:val="15"/>
          <w:color w:val="auto"/>
        </w:rPr>
        <w:t>CHECK THE APPROPRIATE BOX IF A MEMBER OF A GROUP</w:t>
      </w:r>
    </w:p>
    <w:p>
      <w:pPr>
        <w:spacing w:after="0" w:line="103" w:lineRule="exact"/>
        <w:rPr>
          <w:sz w:val="20"/>
          <w:szCs w:val="20"/>
          <w:color w:val="auto"/>
        </w:rPr>
      </w:pPr>
    </w:p>
    <w:p>
      <w:pPr>
        <w:ind w:left="1700" w:hanging="967"/>
        <w:spacing w:after="0"/>
        <w:tabs>
          <w:tab w:leader="none" w:pos="1700" w:val="left"/>
        </w:tabs>
        <w:numPr>
          <w:ilvl w:val="0"/>
          <w:numId w:val="8"/>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Canada</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2,836,587</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2,836,587</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2,836,587</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5.70%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 HC</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73" w:hanging="273"/>
        <w:spacing w:after="0" w:line="262" w:lineRule="exact"/>
        <w:tabs>
          <w:tab w:leader="none" w:pos="273" w:val="left"/>
        </w:tabs>
        <w:numPr>
          <w:ilvl w:val="0"/>
          <w:numId w:val="9"/>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9"/>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8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0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800" w:type="dxa"/>
            <w:vAlign w:val="bottom"/>
            <w:gridSpan w:val="5"/>
          </w:tcPr>
          <w:p>
            <w:pPr>
              <w:ind w:left="480"/>
              <w:spacing w:after="0"/>
              <w:rPr>
                <w:sz w:val="20"/>
                <w:szCs w:val="20"/>
                <w:color w:val="auto"/>
              </w:rPr>
            </w:pPr>
            <w:r>
              <w:rPr>
                <w:rFonts w:ascii="Arial" w:cs="Arial" w:eastAsia="Arial" w:hAnsi="Arial"/>
                <w:sz w:val="20"/>
                <w:szCs w:val="20"/>
                <w:b w:val="1"/>
                <w:bCs w:val="1"/>
                <w:color w:val="auto"/>
              </w:rPr>
              <w:t>Name of Issuer.</w:t>
            </w:r>
          </w:p>
        </w:tc>
      </w:tr>
      <w:tr>
        <w:trPr>
          <w:trHeight w:val="414"/>
        </w:trPr>
        <w:tc>
          <w:tcPr>
            <w:tcW w:w="1200" w:type="dxa"/>
            <w:vAlign w:val="bottom"/>
          </w:tcPr>
          <w:p>
            <w:pPr>
              <w:spacing w:after="0"/>
              <w:rPr>
                <w:sz w:val="24"/>
                <w:szCs w:val="24"/>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Kornit Digital Ltd. (the "Issuer")</w:t>
            </w:r>
          </w:p>
        </w:tc>
      </w:tr>
      <w:tr>
        <w:trPr>
          <w:trHeight w:val="20"/>
        </w:trPr>
        <w:tc>
          <w:tcPr>
            <w:tcW w:w="1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83"/>
        </w:trPr>
        <w:tc>
          <w:tcPr>
            <w:tcW w:w="120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800" w:type="dxa"/>
            <w:vAlign w:val="bottom"/>
            <w:gridSpan w:val="5"/>
          </w:tcPr>
          <w:p>
            <w:pPr>
              <w:ind w:left="48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38"/>
        </w:trPr>
        <w:tc>
          <w:tcPr>
            <w:tcW w:w="1200" w:type="dxa"/>
            <w:vAlign w:val="bottom"/>
          </w:tcPr>
          <w:p>
            <w:pPr>
              <w:spacing w:after="0"/>
              <w:rPr>
                <w:sz w:val="24"/>
                <w:szCs w:val="24"/>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12 Ha’Amal Street</w:t>
            </w:r>
          </w:p>
        </w:tc>
      </w:tr>
      <w:tr>
        <w:trPr>
          <w:trHeight w:val="230"/>
        </w:trPr>
        <w:tc>
          <w:tcPr>
            <w:tcW w:w="1200" w:type="dxa"/>
            <w:vAlign w:val="bottom"/>
          </w:tcPr>
          <w:p>
            <w:pPr>
              <w:spacing w:after="0"/>
              <w:rPr>
                <w:sz w:val="19"/>
                <w:szCs w:val="19"/>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Park Afek</w:t>
            </w:r>
          </w:p>
        </w:tc>
      </w:tr>
      <w:tr>
        <w:trPr>
          <w:trHeight w:val="250"/>
        </w:trPr>
        <w:tc>
          <w:tcPr>
            <w:tcW w:w="1200" w:type="dxa"/>
            <w:vAlign w:val="bottom"/>
          </w:tcPr>
          <w:p>
            <w:pPr>
              <w:spacing w:after="0"/>
              <w:rPr>
                <w:sz w:val="21"/>
                <w:szCs w:val="21"/>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Rosh Ha’Ayin 4824096 Israel</w:t>
            </w: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800" w:type="dxa"/>
            <w:vAlign w:val="bottom"/>
            <w:gridSpan w:val="5"/>
          </w:tcPr>
          <w:p>
            <w:pPr>
              <w:ind w:left="48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00" w:type="dxa"/>
            <w:vAlign w:val="bottom"/>
          </w:tcPr>
          <w:p>
            <w:pPr>
              <w:spacing w:after="0"/>
              <w:rPr>
                <w:sz w:val="24"/>
                <w:szCs w:val="24"/>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This statement is filed by Senvest Management, LLC and Richard Mashaal.</w:t>
            </w:r>
          </w:p>
        </w:tc>
      </w:tr>
      <w:tr>
        <w:trPr>
          <w:trHeight w:val="438"/>
        </w:trPr>
        <w:tc>
          <w:tcPr>
            <w:tcW w:w="1200" w:type="dxa"/>
            <w:vAlign w:val="bottom"/>
          </w:tcPr>
          <w:p>
            <w:pPr>
              <w:spacing w:after="0"/>
              <w:rPr>
                <w:sz w:val="24"/>
                <w:szCs w:val="24"/>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w w:val="89"/>
              </w:rPr>
              <w:t>The reported securities are held in the account of Senvest Master Fund, LP and Senvest Technology Partners Master</w:t>
            </w:r>
          </w:p>
        </w:tc>
      </w:tr>
      <w:tr>
        <w:trPr>
          <w:trHeight w:val="206"/>
        </w:trPr>
        <w:tc>
          <w:tcPr>
            <w:tcW w:w="1200" w:type="dxa"/>
            <w:vAlign w:val="bottom"/>
          </w:tcPr>
          <w:p>
            <w:pPr>
              <w:spacing w:after="0"/>
              <w:rPr>
                <w:sz w:val="17"/>
                <w:szCs w:val="17"/>
                <w:color w:val="auto"/>
              </w:rPr>
            </w:pPr>
          </w:p>
        </w:tc>
        <w:tc>
          <w:tcPr>
            <w:tcW w:w="9800" w:type="dxa"/>
            <w:vAlign w:val="bottom"/>
            <w:gridSpan w:val="5"/>
          </w:tcPr>
          <w:p>
            <w:pPr>
              <w:ind w:left="480"/>
              <w:spacing w:after="0" w:line="206" w:lineRule="exact"/>
              <w:rPr>
                <w:sz w:val="20"/>
                <w:szCs w:val="20"/>
                <w:color w:val="auto"/>
              </w:rPr>
            </w:pPr>
            <w:r>
              <w:rPr>
                <w:rFonts w:ascii="Arial" w:cs="Arial" w:eastAsia="Arial" w:hAnsi="Arial"/>
                <w:sz w:val="20"/>
                <w:szCs w:val="20"/>
                <w:color w:val="auto"/>
              </w:rPr>
              <w:t>Fund, LP (collectively, the "Investment Vehicles").</w:t>
            </w:r>
          </w:p>
        </w:tc>
      </w:tr>
      <w:tr>
        <w:trPr>
          <w:trHeight w:val="20"/>
        </w:trPr>
        <w:tc>
          <w:tcPr>
            <w:tcW w:w="12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63"/>
        </w:trPr>
        <w:tc>
          <w:tcPr>
            <w:tcW w:w="1200" w:type="dxa"/>
            <w:vAlign w:val="bottom"/>
          </w:tcPr>
          <w:p>
            <w:pPr>
              <w:spacing w:after="0"/>
              <w:rPr>
                <w:sz w:val="24"/>
                <w:szCs w:val="24"/>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w w:val="93"/>
              </w:rPr>
              <w:t>Senvest Management, LLC may be deemed to beneficially own the securities held by the Investment Vehicles by</w:t>
            </w:r>
          </w:p>
        </w:tc>
      </w:tr>
      <w:tr>
        <w:trPr>
          <w:trHeight w:val="229"/>
        </w:trPr>
        <w:tc>
          <w:tcPr>
            <w:tcW w:w="1200" w:type="dxa"/>
            <w:vAlign w:val="bottom"/>
          </w:tcPr>
          <w:p>
            <w:pPr>
              <w:spacing w:after="0"/>
              <w:rPr>
                <w:sz w:val="19"/>
                <w:szCs w:val="19"/>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w w:val="90"/>
              </w:rPr>
              <w:t>virtue of Senvest Management, LLC's position as investment manager of the Investment Vehicles. Mr. Mashaal may</w:t>
            </w:r>
          </w:p>
        </w:tc>
      </w:tr>
      <w:tr>
        <w:trPr>
          <w:trHeight w:val="229"/>
        </w:trPr>
        <w:tc>
          <w:tcPr>
            <w:tcW w:w="1200" w:type="dxa"/>
            <w:vAlign w:val="bottom"/>
          </w:tcPr>
          <w:p>
            <w:pPr>
              <w:spacing w:after="0"/>
              <w:rPr>
                <w:sz w:val="19"/>
                <w:szCs w:val="19"/>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w w:val="90"/>
              </w:rPr>
              <w:t>be deemed to beneficially own the securities held by the Investment Vehicles by virtue of Mr. Mashaal's status as the</w:t>
            </w:r>
          </w:p>
        </w:tc>
      </w:tr>
      <w:tr>
        <w:trPr>
          <w:trHeight w:val="230"/>
        </w:trPr>
        <w:tc>
          <w:tcPr>
            <w:tcW w:w="1200" w:type="dxa"/>
            <w:vAlign w:val="bottom"/>
          </w:tcPr>
          <w:p>
            <w:pPr>
              <w:spacing w:after="0"/>
              <w:rPr>
                <w:sz w:val="19"/>
                <w:szCs w:val="19"/>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w w:val="92"/>
              </w:rPr>
              <w:t>managing member of Senvest Management, LLC. None of the foregoing should be construed in and of itself as an</w:t>
            </w:r>
          </w:p>
        </w:tc>
      </w:tr>
      <w:tr>
        <w:trPr>
          <w:trHeight w:val="250"/>
        </w:trPr>
        <w:tc>
          <w:tcPr>
            <w:tcW w:w="1200" w:type="dxa"/>
            <w:vAlign w:val="bottom"/>
          </w:tcPr>
          <w:p>
            <w:pPr>
              <w:spacing w:after="0"/>
              <w:rPr>
                <w:sz w:val="21"/>
                <w:szCs w:val="21"/>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admission by any Reporting Person as to beneficial ownership of the securities reported herein.</w:t>
            </w: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800" w:type="dxa"/>
            <w:vAlign w:val="bottom"/>
            <w:gridSpan w:val="5"/>
          </w:tcPr>
          <w:p>
            <w:pPr>
              <w:ind w:left="480"/>
              <w:spacing w:after="0"/>
              <w:rPr>
                <w:sz w:val="20"/>
                <w:szCs w:val="20"/>
                <w:color w:val="auto"/>
              </w:rPr>
            </w:pPr>
            <w:r>
              <w:rPr>
                <w:rFonts w:ascii="Arial" w:cs="Arial" w:eastAsia="Arial" w:hAnsi="Arial"/>
                <w:sz w:val="20"/>
                <w:szCs w:val="20"/>
                <w:b w:val="1"/>
                <w:bCs w:val="1"/>
                <w:color w:val="auto"/>
              </w:rPr>
              <w:t>Address of Principal Business Office.</w:t>
            </w:r>
          </w:p>
        </w:tc>
      </w:tr>
      <w:tr>
        <w:trPr>
          <w:trHeight w:val="443"/>
        </w:trPr>
        <w:tc>
          <w:tcPr>
            <w:tcW w:w="1200" w:type="dxa"/>
            <w:vAlign w:val="bottom"/>
          </w:tcPr>
          <w:p>
            <w:pPr>
              <w:spacing w:after="0"/>
              <w:rPr>
                <w:sz w:val="24"/>
                <w:szCs w:val="24"/>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Senvest Management, LLC</w:t>
            </w:r>
          </w:p>
        </w:tc>
      </w:tr>
      <w:tr>
        <w:trPr>
          <w:trHeight w:val="279"/>
        </w:trPr>
        <w:tc>
          <w:tcPr>
            <w:tcW w:w="1200" w:type="dxa"/>
            <w:vAlign w:val="bottom"/>
          </w:tcPr>
          <w:p>
            <w:pPr>
              <w:spacing w:after="0"/>
              <w:rPr>
                <w:sz w:val="24"/>
                <w:szCs w:val="24"/>
                <w:color w:val="auto"/>
              </w:rPr>
            </w:pPr>
          </w:p>
        </w:tc>
        <w:tc>
          <w:tcPr>
            <w:tcW w:w="9800" w:type="dxa"/>
            <w:vAlign w:val="bottom"/>
            <w:gridSpan w:val="5"/>
          </w:tcPr>
          <w:p>
            <w:pPr>
              <w:ind w:left="48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r>
      <w:tr>
        <w:trPr>
          <w:trHeight w:val="250"/>
        </w:trPr>
        <w:tc>
          <w:tcPr>
            <w:tcW w:w="1200" w:type="dxa"/>
            <w:vAlign w:val="bottom"/>
          </w:tcPr>
          <w:p>
            <w:pPr>
              <w:spacing w:after="0"/>
              <w:rPr>
                <w:sz w:val="21"/>
                <w:szCs w:val="21"/>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New York, New York 10022</w:t>
            </w:r>
          </w:p>
        </w:tc>
      </w:tr>
      <w:tr>
        <w:trPr>
          <w:trHeight w:val="438"/>
        </w:trPr>
        <w:tc>
          <w:tcPr>
            <w:tcW w:w="1200" w:type="dxa"/>
            <w:vAlign w:val="bottom"/>
          </w:tcPr>
          <w:p>
            <w:pPr>
              <w:spacing w:after="0"/>
              <w:rPr>
                <w:sz w:val="24"/>
                <w:szCs w:val="24"/>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Richard Mashaal</w:t>
            </w:r>
          </w:p>
        </w:tc>
      </w:tr>
      <w:tr>
        <w:trPr>
          <w:trHeight w:val="234"/>
        </w:trPr>
        <w:tc>
          <w:tcPr>
            <w:tcW w:w="1200" w:type="dxa"/>
            <w:vAlign w:val="bottom"/>
          </w:tcPr>
          <w:p>
            <w:pPr>
              <w:spacing w:after="0"/>
              <w:rPr>
                <w:sz w:val="20"/>
                <w:szCs w:val="20"/>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c/o Senvest Management, LLC</w:t>
            </w:r>
          </w:p>
        </w:tc>
      </w:tr>
      <w:tr>
        <w:trPr>
          <w:trHeight w:val="279"/>
        </w:trPr>
        <w:tc>
          <w:tcPr>
            <w:tcW w:w="1200" w:type="dxa"/>
            <w:vAlign w:val="bottom"/>
          </w:tcPr>
          <w:p>
            <w:pPr>
              <w:spacing w:after="0"/>
              <w:rPr>
                <w:sz w:val="24"/>
                <w:szCs w:val="24"/>
                <w:color w:val="auto"/>
              </w:rPr>
            </w:pPr>
          </w:p>
        </w:tc>
        <w:tc>
          <w:tcPr>
            <w:tcW w:w="9800" w:type="dxa"/>
            <w:vAlign w:val="bottom"/>
            <w:gridSpan w:val="5"/>
          </w:tcPr>
          <w:p>
            <w:pPr>
              <w:ind w:left="48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r>
      <w:tr>
        <w:trPr>
          <w:trHeight w:val="250"/>
        </w:trPr>
        <w:tc>
          <w:tcPr>
            <w:tcW w:w="1200" w:type="dxa"/>
            <w:vAlign w:val="bottom"/>
          </w:tcPr>
          <w:p>
            <w:pPr>
              <w:spacing w:after="0"/>
              <w:rPr>
                <w:sz w:val="21"/>
                <w:szCs w:val="21"/>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New York, New York 10022</w:t>
            </w: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800" w:type="dxa"/>
            <w:vAlign w:val="bottom"/>
            <w:gridSpan w:val="5"/>
          </w:tcPr>
          <w:p>
            <w:pPr>
              <w:ind w:left="480"/>
              <w:spacing w:after="0"/>
              <w:rPr>
                <w:sz w:val="20"/>
                <w:szCs w:val="20"/>
                <w:color w:val="auto"/>
              </w:rPr>
            </w:pPr>
            <w:r>
              <w:rPr>
                <w:rFonts w:ascii="Arial" w:cs="Arial" w:eastAsia="Arial" w:hAnsi="Arial"/>
                <w:sz w:val="20"/>
                <w:szCs w:val="20"/>
                <w:b w:val="1"/>
                <w:bCs w:val="1"/>
                <w:color w:val="auto"/>
              </w:rPr>
              <w:t>Place of Organization.</w:t>
            </w:r>
          </w:p>
        </w:tc>
      </w:tr>
      <w:tr>
        <w:trPr>
          <w:trHeight w:val="459"/>
        </w:trPr>
        <w:tc>
          <w:tcPr>
            <w:tcW w:w="1200" w:type="dxa"/>
            <w:vAlign w:val="bottom"/>
          </w:tcPr>
          <w:p>
            <w:pPr>
              <w:spacing w:after="0"/>
              <w:rPr>
                <w:sz w:val="24"/>
                <w:szCs w:val="24"/>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Senvest Management, LLC – Delaware</w:t>
            </w:r>
          </w:p>
        </w:tc>
      </w:tr>
      <w:tr>
        <w:trPr>
          <w:trHeight w:val="459"/>
        </w:trPr>
        <w:tc>
          <w:tcPr>
            <w:tcW w:w="1200" w:type="dxa"/>
            <w:vAlign w:val="bottom"/>
          </w:tcPr>
          <w:p>
            <w:pPr>
              <w:spacing w:after="0"/>
              <w:rPr>
                <w:sz w:val="24"/>
                <w:szCs w:val="24"/>
                <w:color w:val="auto"/>
              </w:rPr>
            </w:pPr>
          </w:p>
        </w:tc>
        <w:tc>
          <w:tcPr>
            <w:tcW w:w="9800" w:type="dxa"/>
            <w:vAlign w:val="bottom"/>
            <w:gridSpan w:val="5"/>
          </w:tcPr>
          <w:p>
            <w:pPr>
              <w:ind w:left="480"/>
              <w:spacing w:after="0"/>
              <w:rPr>
                <w:sz w:val="20"/>
                <w:szCs w:val="20"/>
                <w:color w:val="auto"/>
              </w:rPr>
            </w:pPr>
            <w:r>
              <w:rPr>
                <w:rFonts w:ascii="Arial" w:cs="Arial" w:eastAsia="Arial" w:hAnsi="Arial"/>
                <w:sz w:val="20"/>
                <w:szCs w:val="20"/>
                <w:color w:val="auto"/>
              </w:rPr>
              <w:t>Richard Mashaal – Canada</w:t>
            </w: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800" w:type="dxa"/>
            <w:vAlign w:val="bottom"/>
            <w:gridSpan w:val="5"/>
          </w:tcPr>
          <w:p>
            <w:pPr>
              <w:ind w:left="380"/>
              <w:spacing w:after="0"/>
              <w:rPr>
                <w:sz w:val="20"/>
                <w:szCs w:val="20"/>
                <w:color w:val="auto"/>
              </w:rPr>
            </w:pPr>
            <w:r>
              <w:rPr>
                <w:rFonts w:ascii="Arial" w:cs="Arial" w:eastAsia="Arial" w:hAnsi="Arial"/>
                <w:sz w:val="20"/>
                <w:szCs w:val="20"/>
                <w:b w:val="1"/>
                <w:bCs w:val="1"/>
                <w:color w:val="auto"/>
              </w:rPr>
              <w:t>Title of Class of Securities.</w:t>
            </w:r>
          </w:p>
        </w:tc>
      </w:tr>
      <w:tr>
        <w:trPr>
          <w:trHeight w:val="459"/>
        </w:trPr>
        <w:tc>
          <w:tcPr>
            <w:tcW w:w="1200" w:type="dxa"/>
            <w:vAlign w:val="bottom"/>
          </w:tcPr>
          <w:p>
            <w:pPr>
              <w:spacing w:after="0"/>
              <w:rPr>
                <w:sz w:val="24"/>
                <w:szCs w:val="24"/>
                <w:color w:val="auto"/>
              </w:rPr>
            </w:pPr>
          </w:p>
        </w:tc>
        <w:tc>
          <w:tcPr>
            <w:tcW w:w="9800" w:type="dxa"/>
            <w:vAlign w:val="bottom"/>
            <w:gridSpan w:val="5"/>
          </w:tcPr>
          <w:p>
            <w:pPr>
              <w:ind w:left="380"/>
              <w:spacing w:after="0"/>
              <w:rPr>
                <w:sz w:val="20"/>
                <w:szCs w:val="20"/>
                <w:color w:val="auto"/>
              </w:rPr>
            </w:pPr>
            <w:r>
              <w:rPr>
                <w:rFonts w:ascii="Arial" w:cs="Arial" w:eastAsia="Arial" w:hAnsi="Arial"/>
                <w:sz w:val="20"/>
                <w:szCs w:val="20"/>
                <w:color w:val="auto"/>
              </w:rPr>
              <w:t>Ordinary Shares, par value NIS 0.01 per share</w:t>
            </w: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800" w:type="dxa"/>
            <w:vAlign w:val="bottom"/>
            <w:gridSpan w:val="5"/>
          </w:tcPr>
          <w:p>
            <w:pPr>
              <w:ind w:left="380"/>
              <w:spacing w:after="0"/>
              <w:rPr>
                <w:sz w:val="20"/>
                <w:szCs w:val="20"/>
                <w:color w:val="auto"/>
              </w:rPr>
            </w:pPr>
            <w:r>
              <w:rPr>
                <w:rFonts w:ascii="Arial" w:cs="Arial" w:eastAsia="Arial" w:hAnsi="Arial"/>
                <w:sz w:val="20"/>
                <w:szCs w:val="20"/>
                <w:b w:val="1"/>
                <w:bCs w:val="1"/>
                <w:color w:val="auto"/>
              </w:rPr>
              <w:t>CUSIP Number.</w:t>
            </w:r>
          </w:p>
        </w:tc>
      </w:tr>
      <w:tr>
        <w:trPr>
          <w:trHeight w:val="459"/>
        </w:trPr>
        <w:tc>
          <w:tcPr>
            <w:tcW w:w="1200" w:type="dxa"/>
            <w:vAlign w:val="bottom"/>
          </w:tcPr>
          <w:p>
            <w:pPr>
              <w:spacing w:after="0"/>
              <w:rPr>
                <w:sz w:val="24"/>
                <w:szCs w:val="24"/>
                <w:color w:val="auto"/>
              </w:rPr>
            </w:pPr>
          </w:p>
        </w:tc>
        <w:tc>
          <w:tcPr>
            <w:tcW w:w="9800" w:type="dxa"/>
            <w:vAlign w:val="bottom"/>
            <w:gridSpan w:val="5"/>
          </w:tcPr>
          <w:p>
            <w:pPr>
              <w:ind w:left="380"/>
              <w:spacing w:after="0"/>
              <w:rPr>
                <w:sz w:val="20"/>
                <w:szCs w:val="20"/>
                <w:color w:val="auto"/>
              </w:rPr>
            </w:pPr>
            <w:r>
              <w:rPr>
                <w:rFonts w:ascii="Arial" w:cs="Arial" w:eastAsia="Arial" w:hAnsi="Arial"/>
                <w:sz w:val="20"/>
                <w:szCs w:val="20"/>
                <w:color w:val="auto"/>
              </w:rPr>
              <w:t>M6372Q113</w:t>
            </w: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8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800" w:right="100" w:hanging="1686"/>
        <w:spacing w:after="0" w:line="267" w:lineRule="auto"/>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 240.13d-1(b) or 240.13d-2(b), or (c), check whether the Person Filing is a:</w:t>
      </w:r>
    </w:p>
    <w:p>
      <w:pPr>
        <w:spacing w:after="0" w:line="159" w:lineRule="exact"/>
        <w:rPr>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320" w:hanging="1241"/>
        <w:spacing w:after="0" w:line="252" w:lineRule="exact"/>
        <w:tabs>
          <w:tab w:leader="none" w:pos="2565"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2"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 240.13d-1(b)(1)(ii)(E);</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 240.13d-1(b)(1)(ii)(F);</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§240.13d-1(b)(1)(ii)(G);</w:t>
      </w:r>
    </w:p>
    <w:p>
      <w:pPr>
        <w:spacing w:after="0" w:line="229" w:lineRule="exact"/>
        <w:rPr>
          <w:rFonts w:ascii="Arial" w:cs="Arial" w:eastAsia="Arial" w:hAnsi="Arial"/>
          <w:sz w:val="20"/>
          <w:szCs w:val="20"/>
          <w:color w:val="auto"/>
        </w:rPr>
      </w:pPr>
    </w:p>
    <w:p>
      <w:pPr>
        <w:ind w:left="3040" w:right="1120" w:hanging="1241"/>
        <w:spacing w:after="0" w:line="252" w:lineRule="exact"/>
        <w:tabs>
          <w:tab w:leader="none" w:pos="2565"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 (12 U.S.C.1813);</w:t>
      </w:r>
    </w:p>
    <w:p>
      <w:pPr>
        <w:spacing w:after="0" w:line="186" w:lineRule="exact"/>
        <w:rPr>
          <w:rFonts w:ascii="Arial" w:cs="Arial" w:eastAsia="Arial" w:hAnsi="Arial"/>
          <w:sz w:val="20"/>
          <w:szCs w:val="20"/>
          <w:color w:val="auto"/>
        </w:rPr>
      </w:pPr>
    </w:p>
    <w:p>
      <w:pPr>
        <w:ind w:left="3040" w:right="300" w:hanging="1241"/>
        <w:spacing w:after="0" w:line="252" w:lineRule="exact"/>
        <w:tabs>
          <w:tab w:leader="none" w:pos="2565"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 of 1940 (15 U.S.C. 80a-3);</w:t>
      </w:r>
    </w:p>
    <w:p>
      <w:pPr>
        <w:spacing w:after="0" w:line="186"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§240.13d-1(b)(1)(ii)(J);</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§240.13d-1(b)(1)(ii)(K).</w:t>
      </w:r>
    </w:p>
    <w:p>
      <w:pPr>
        <w:spacing w:after="0" w:line="266"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-13335</wp:posOffset>
            </wp:positionV>
            <wp:extent cx="3985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78"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35" w:lineRule="exact"/>
        <w:rPr>
          <w:sz w:val="20"/>
          <w:szCs w:val="20"/>
          <w:color w:val="auto"/>
        </w:rPr>
      </w:pPr>
    </w:p>
    <w:p>
      <w:pPr>
        <w:jc w:val="both"/>
        <w:ind w:left="1700" w:right="100"/>
        <w:spacing w:after="0" w:line="260" w:lineRule="auto"/>
        <w:rPr>
          <w:sz w:val="20"/>
          <w:szCs w:val="20"/>
          <w:color w:val="auto"/>
        </w:rPr>
      </w:pPr>
      <w:r>
        <w:rPr>
          <w:rFonts w:ascii="Arial" w:cs="Arial" w:eastAsia="Arial" w:hAnsi="Arial"/>
          <w:sz w:val="19"/>
          <w:szCs w:val="19"/>
          <w:color w:val="auto"/>
        </w:rPr>
        <w:t>The information required by Items 4(a) – (c) is set forth in Rows (5) – (11) of the cover page for each Reporting Person hereto and is incorporated herein by reference for each such Reporting Person. The percentages set forth in this Schedule 13G are calculated based upon an aggregate of 49,784,664 Ordinary Shares outstanding as of June 15, 2022, as reported in Exhibit 99.2 attached to the Issuer's Report of Foreign Issuer on Form 6-K filed with the Securities and Exchange Commission on June 30, 2022.</w:t>
      </w:r>
    </w:p>
    <w:p>
      <w:pPr>
        <w:spacing w:after="0" w:line="188"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8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jc w:val="both"/>
        <w:ind w:left="1700" w:right="120"/>
        <w:spacing w:after="0" w:line="260" w:lineRule="auto"/>
        <w:rPr>
          <w:sz w:val="20"/>
          <w:szCs w:val="20"/>
          <w:color w:val="auto"/>
        </w:rPr>
      </w:pPr>
      <w:r>
        <w:rPr>
          <w:rFonts w:ascii="Arial" w:cs="Arial" w:eastAsia="Arial" w:hAnsi="Arial"/>
          <w:sz w:val="20"/>
          <w:szCs w:val="20"/>
          <w:color w:val="auto"/>
        </w:rPr>
        <w:t>The Investment Vehicles have the right to receive and the power to direct the receipt of dividends from, and the proceeds from the sale of the Ordinary Shares.</w:t>
      </w:r>
    </w:p>
    <w:p>
      <w:pPr>
        <w:spacing w:after="0" w:line="184" w:lineRule="exact"/>
        <w:rPr>
          <w:sz w:val="20"/>
          <w:szCs w:val="20"/>
          <w:color w:val="auto"/>
        </w:rPr>
      </w:pPr>
    </w:p>
    <w:p>
      <w:pPr>
        <w:ind w:left="1700" w:right="640" w:hanging="1578"/>
        <w:spacing w:after="0" w:line="267" w:lineRule="auto"/>
        <w:tabs>
          <w:tab w:leader="none" w:pos="16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183"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35" w:lineRule="exact"/>
        <w:rPr>
          <w:sz w:val="20"/>
          <w:szCs w:val="20"/>
          <w:color w:val="auto"/>
        </w:rPr>
      </w:pPr>
    </w:p>
    <w:p>
      <w:pPr>
        <w:jc w:val="both"/>
        <w:ind w:left="1700" w:right="10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8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 July 14, 2022</w:t>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SENVEST MANAGEMENT,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 /s/ Bobby Trahanas</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Bobby Trahanas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620"/>
        <w:spacing w:after="0"/>
        <w:tabs>
          <w:tab w:leader="none" w:pos="62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10160</wp:posOffset>
            </wp:positionV>
            <wp:extent cx="3634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RICHARD MASHAAL</w:t>
      </w:r>
    </w:p>
    <w:p>
      <w:pPr>
        <w:sectPr>
          <w:pgSz w:w="11900" w:h="16838" w:orient="portrait"/>
          <w:cols w:equalWidth="0" w:num="1">
            <w:col w:w="11240"/>
          </w:cols>
          <w:pgMar w:left="320" w:top="229" w:right="339" w:bottom="1440" w:gutter="0" w:footer="0" w:header="0"/>
        </w:sectPr>
      </w:pPr>
    </w:p>
    <w:bookmarkStart w:id="7" w:name="page8"/>
    <w:bookmarkEnd w:id="7"/>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8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JOINT FILING AGREEMENT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 July 14, 2022</w:t>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SENVEST MANAGEMENT,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 /s/ Bobby Trahanas</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Bobby Trahanas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20"/>
        <w:spacing w:after="0"/>
        <w:tabs>
          <w:tab w:leader="none" w:pos="62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10160</wp:posOffset>
            </wp:positionV>
            <wp:extent cx="3634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RICHARD MASHAAL</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3"/>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2022-07-14T16:12:31Z</dcterms:created>
  <dcterms:modified xsi:type="dcterms:W3CDTF">2022-07-14T16:12:31Z</dcterms:modified>
</cp:coreProperties>
</file>