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14" w:lineRule="exact"/>
        <w:rPr>
          <w:sz w:val="24"/>
          <w:szCs w:val="24"/>
          <w:color w:val="auto"/>
        </w:rPr>
      </w:pPr>
    </w:p>
    <w:p>
      <w:pPr>
        <w:jc w:val="center"/>
        <w:ind w:right="-1100"/>
        <w:spacing w:after="0"/>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Washington, D.C. 20549</w:t>
      </w:r>
    </w:p>
    <w:p>
      <w:pPr>
        <w:spacing w:after="0" w:line="172" w:lineRule="exact"/>
        <w:rPr>
          <w:sz w:val="24"/>
          <w:szCs w:val="24"/>
          <w:color w:val="auto"/>
        </w:rPr>
      </w:pPr>
    </w:p>
    <w:p>
      <w:pPr>
        <w:jc w:val="center"/>
        <w:ind w:right="-1100"/>
        <w:spacing w:after="0"/>
        <w:rPr>
          <w:sz w:val="20"/>
          <w:szCs w:val="20"/>
          <w:color w:val="auto"/>
        </w:rPr>
      </w:pPr>
      <w:r>
        <w:rPr>
          <w:rFonts w:ascii="Arial" w:cs="Arial" w:eastAsia="Arial" w:hAnsi="Arial"/>
          <w:sz w:val="19"/>
          <w:szCs w:val="19"/>
          <w:b w:val="1"/>
          <w:bCs w:val="1"/>
          <w:color w:val="auto"/>
        </w:rPr>
        <w:t>FORM 6-K/A</w:t>
      </w:r>
    </w:p>
    <w:p>
      <w:pPr>
        <w:spacing w:after="0" w:line="196"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REPORT OF FOREIGN PRIVATE ISSUER</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PURSUANT TO RULE 13a-16 OR 15d-16 OF</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THE SECURITIES EXCHANGE ACT OF 1934</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 xml:space="preserve">For the month of </w:t>
      </w:r>
      <w:r>
        <w:rPr>
          <w:rFonts w:ascii="Arial" w:cs="Arial" w:eastAsia="Arial" w:hAnsi="Arial"/>
          <w:sz w:val="16"/>
          <w:szCs w:val="16"/>
          <w:b w:val="1"/>
          <w:bCs w:val="1"/>
          <w:color w:val="auto"/>
        </w:rPr>
        <w:t>May 2021</w:t>
      </w:r>
    </w:p>
    <w:p>
      <w:pPr>
        <w:spacing w:after="0" w:line="198"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001-36903</w:t>
      </w:r>
    </w:p>
    <w:p>
      <w:pPr>
        <w:spacing w:after="0" w:line="190" w:lineRule="exact"/>
        <w:rPr>
          <w:sz w:val="24"/>
          <w:szCs w:val="24"/>
          <w:color w:val="auto"/>
        </w:rPr>
      </w:pPr>
    </w:p>
    <w:p>
      <w:pPr>
        <w:jc w:val="center"/>
        <w:ind w:right="-1100"/>
        <w:spacing w:after="0"/>
        <w:rPr>
          <w:sz w:val="20"/>
          <w:szCs w:val="20"/>
          <w:color w:val="auto"/>
        </w:rPr>
      </w:pPr>
      <w:r>
        <w:rPr>
          <w:rFonts w:ascii="Arial" w:cs="Arial" w:eastAsia="Arial" w:hAnsi="Arial"/>
          <w:sz w:val="19"/>
          <w:szCs w:val="19"/>
          <w:b w:val="1"/>
          <w:bCs w:val="1"/>
          <w:color w:val="auto"/>
        </w:rPr>
        <w:t>KORNIT DIGITAL LTD.</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(Translation of Registrant’s name into English)</w:t>
      </w:r>
    </w:p>
    <w:p>
      <w:pPr>
        <w:spacing w:after="0" w:line="180"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12 Ha’Amal Street</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Park Afek</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Rosh Ha’Ayin 4824096 Israel</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(Address of Principal Executive Office)</w:t>
      </w:r>
    </w:p>
    <w:p>
      <w:pPr>
        <w:spacing w:after="0" w:line="186"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files or will file annual reports under cover of Form 20-F or Form 40-F.</w:t>
      </w:r>
    </w:p>
    <w:p>
      <w:pPr>
        <w:spacing w:after="0" w:line="180" w:lineRule="exact"/>
        <w:rPr>
          <w:sz w:val="24"/>
          <w:szCs w:val="24"/>
          <w:color w:val="auto"/>
        </w:rPr>
      </w:pPr>
    </w:p>
    <w:p>
      <w:pPr>
        <w:ind w:left="4700"/>
        <w:spacing w:after="0" w:line="184" w:lineRule="exact"/>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19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 101(b)(1): </w:t>
      </w:r>
      <w:r>
        <w:rPr>
          <w:rFonts w:ascii="MS PGothic" w:cs="MS PGothic" w:eastAsia="MS PGothic" w:hAnsi="MS PGothic"/>
          <w:sz w:val="14"/>
          <w:szCs w:val="14"/>
          <w:color w:val="auto"/>
        </w:rPr>
        <w:t>☐</w:t>
      </w:r>
    </w:p>
    <w:p>
      <w:pPr>
        <w:spacing w:after="0" w:line="22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 101(b)(7):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182880</wp:posOffset>
            </wp:positionV>
            <wp:extent cx="7148195"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584835</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465" w:right="1440" w:bottom="1440" w:gutter="0" w:footer="0" w:header="0"/>
        </w:sectPr>
      </w:pPr>
    </w:p>
    <w:bookmarkStart w:id="1" w:name="page2"/>
    <w:bookmarkEnd w:id="1"/>
    <w:p>
      <w:pPr>
        <w:jc w:val="center"/>
        <w:ind w:right="-3"/>
        <w:spacing w:after="0"/>
        <w:rPr>
          <w:sz w:val="20"/>
          <w:szCs w:val="20"/>
          <w:color w:val="auto"/>
        </w:rPr>
      </w:pPr>
      <w:r>
        <w:rPr>
          <w:rFonts w:ascii="Arial" w:cs="Arial" w:eastAsia="Arial" w:hAnsi="Arial"/>
          <w:sz w:val="16"/>
          <w:szCs w:val="16"/>
          <w:b w:val="1"/>
          <w:bCs w:val="1"/>
          <w:color w:val="auto"/>
        </w:rPr>
        <w:t>EXPLANATORY NOTE</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4"/>
          <w:szCs w:val="14"/>
          <w:color w:val="auto"/>
        </w:rPr>
        <w:t>This amended Report of Foreign Private Issuer on Form 6-K (this “</w:t>
      </w:r>
      <w:r>
        <w:rPr>
          <w:rFonts w:ascii="Arial" w:cs="Arial" w:eastAsia="Arial" w:hAnsi="Arial"/>
          <w:sz w:val="14"/>
          <w:szCs w:val="14"/>
          <w:b w:val="1"/>
          <w:bCs w:val="1"/>
          <w:color w:val="auto"/>
        </w:rPr>
        <w:t>Amended Form 6-K</w:t>
      </w:r>
      <w:r>
        <w:rPr>
          <w:rFonts w:ascii="Arial" w:cs="Arial" w:eastAsia="Arial" w:hAnsi="Arial"/>
          <w:sz w:val="14"/>
          <w:szCs w:val="14"/>
          <w:color w:val="auto"/>
        </w:rPr>
        <w:t>”) is being furnished to amend the Report of Foreign Private Issuer on Form 6-</w:t>
      </w:r>
    </w:p>
    <w:p>
      <w:pPr>
        <w:spacing w:after="0" w:line="47" w:lineRule="exact"/>
        <w:rPr>
          <w:sz w:val="20"/>
          <w:szCs w:val="20"/>
          <w:color w:val="auto"/>
        </w:rPr>
      </w:pPr>
    </w:p>
    <w:p>
      <w:pPr>
        <w:ind w:left="4" w:hanging="4"/>
        <w:spacing w:after="0" w:line="258" w:lineRule="auto"/>
        <w:tabs>
          <w:tab w:leader="none" w:pos="199" w:val="left"/>
        </w:tabs>
        <w:numPr>
          <w:ilvl w:val="0"/>
          <w:numId w:val="1"/>
        </w:numPr>
        <w:rPr>
          <w:rFonts w:ascii="Arial" w:cs="Arial" w:eastAsia="Arial" w:hAnsi="Arial"/>
          <w:sz w:val="16"/>
          <w:szCs w:val="16"/>
          <w:color w:val="auto"/>
        </w:rPr>
      </w:pPr>
      <w:r>
        <w:rPr>
          <w:rFonts w:ascii="Arial" w:cs="Arial" w:eastAsia="Arial" w:hAnsi="Arial"/>
          <w:sz w:val="16"/>
          <w:szCs w:val="16"/>
          <w:color w:val="auto"/>
        </w:rPr>
        <w:t>furnished earlier on the date hereof (the “</w:t>
      </w:r>
      <w:r>
        <w:rPr>
          <w:rFonts w:ascii="Arial" w:cs="Arial" w:eastAsia="Arial" w:hAnsi="Arial"/>
          <w:sz w:val="16"/>
          <w:szCs w:val="16"/>
          <w:b w:val="1"/>
          <w:bCs w:val="1"/>
          <w:color w:val="auto"/>
        </w:rPr>
        <w:t>Original Form 6-K</w:t>
      </w:r>
      <w:r>
        <w:rPr>
          <w:rFonts w:ascii="Arial" w:cs="Arial" w:eastAsia="Arial" w:hAnsi="Arial"/>
          <w:sz w:val="16"/>
          <w:szCs w:val="16"/>
          <w:color w:val="auto"/>
        </w:rPr>
        <w:t>”) by Kornit Digital Ltd. (“</w:t>
      </w:r>
      <w:r>
        <w:rPr>
          <w:rFonts w:ascii="Arial" w:cs="Arial" w:eastAsia="Arial" w:hAnsi="Arial"/>
          <w:sz w:val="16"/>
          <w:szCs w:val="16"/>
          <w:b w:val="1"/>
          <w:bCs w:val="1"/>
          <w:color w:val="auto"/>
        </w:rPr>
        <w:t>Kornit</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This Amended Form 6-K contains a revised version of Exhibit 99.2 (the slide presentation for the conference call of Kornit held today (May 11, 2021).</w:t>
      </w:r>
    </w:p>
    <w:p>
      <w:pPr>
        <w:spacing w:after="0" w:line="165" w:lineRule="exact"/>
        <w:rPr>
          <w:sz w:val="20"/>
          <w:szCs w:val="20"/>
          <w:color w:val="auto"/>
        </w:rPr>
      </w:pPr>
    </w:p>
    <w:p>
      <w:pPr>
        <w:ind w:left="564"/>
        <w:spacing w:after="0"/>
        <w:rPr>
          <w:sz w:val="20"/>
          <w:szCs w:val="20"/>
          <w:color w:val="auto"/>
        </w:rPr>
      </w:pPr>
      <w:r>
        <w:rPr>
          <w:rFonts w:ascii="Arial" w:cs="Arial" w:eastAsia="Arial" w:hAnsi="Arial"/>
          <w:sz w:val="14"/>
          <w:szCs w:val="14"/>
          <w:color w:val="auto"/>
        </w:rPr>
        <w:t>Other than the foregoing, this Amended Form 6-K does not, and does not purport to, amend, update or restate the information in the Original Form 6-K or the exhibits</w:t>
      </w:r>
    </w:p>
    <w:p>
      <w:pPr>
        <w:spacing w:after="0" w:line="43"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thereto.</w:t>
      </w:r>
    </w:p>
    <w:p>
      <w:pPr>
        <w:spacing w:after="0" w:line="370"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81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CONTENTS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and Financial Condition- First Quarter 2021</w:t>
      </w:r>
    </w:p>
    <w:p>
      <w:pPr>
        <w:spacing w:after="0" w:line="202" w:lineRule="exact"/>
        <w:rPr>
          <w:sz w:val="20"/>
          <w:szCs w:val="20"/>
          <w:color w:val="auto"/>
        </w:rPr>
      </w:pPr>
    </w:p>
    <w:p>
      <w:pPr>
        <w:jc w:val="both"/>
        <w:ind w:firstLine="565"/>
        <w:spacing w:after="0" w:line="275" w:lineRule="auto"/>
        <w:rPr>
          <w:sz w:val="20"/>
          <w:szCs w:val="20"/>
          <w:color w:val="auto"/>
        </w:rPr>
      </w:pPr>
      <w:r>
        <w:rPr>
          <w:rFonts w:ascii="Arial" w:cs="Arial" w:eastAsia="Arial" w:hAnsi="Arial"/>
          <w:sz w:val="16"/>
          <w:szCs w:val="16"/>
          <w:color w:val="auto"/>
        </w:rPr>
        <w:t xml:space="preserve">On May 11, 2021 Kornit issued a press release entitled “Kornit Digital Reports First Quarter Results,” in which Kornit reported its financial results for the first quarter ended March 31, 2021. A copy of that press release is furnished as </w:t>
      </w:r>
      <w:r>
        <w:rPr>
          <w:rFonts w:ascii="Arial" w:cs="Arial" w:eastAsia="Arial" w:hAnsi="Arial"/>
          <w:sz w:val="16"/>
          <w:szCs w:val="16"/>
          <w:u w:val="single" w:color="auto"/>
          <w:color w:val="auto"/>
        </w:rPr>
        <w:t>Exhibit 99.1</w:t>
      </w:r>
      <w:r>
        <w:rPr>
          <w:rFonts w:ascii="Arial" w:cs="Arial" w:eastAsia="Arial" w:hAnsi="Arial"/>
          <w:sz w:val="16"/>
          <w:szCs w:val="16"/>
          <w:color w:val="auto"/>
        </w:rPr>
        <w:t xml:space="preserve"> hereto.</w:t>
      </w:r>
    </w:p>
    <w:p>
      <w:pPr>
        <w:spacing w:after="0" w:line="152" w:lineRule="exact"/>
        <w:rPr>
          <w:sz w:val="20"/>
          <w:szCs w:val="20"/>
          <w:color w:val="auto"/>
        </w:rPr>
      </w:pPr>
    </w:p>
    <w:p>
      <w:pPr>
        <w:jc w:val="both"/>
        <w:ind w:right="20" w:firstLine="565"/>
        <w:spacing w:after="0" w:line="262" w:lineRule="auto"/>
        <w:rPr>
          <w:sz w:val="20"/>
          <w:szCs w:val="20"/>
          <w:color w:val="auto"/>
        </w:rPr>
      </w:pPr>
      <w:r>
        <w:rPr>
          <w:rFonts w:ascii="Arial" w:cs="Arial" w:eastAsia="Arial" w:hAnsi="Arial"/>
          <w:sz w:val="16"/>
          <w:szCs w:val="16"/>
          <w:color w:val="auto"/>
        </w:rPr>
        <w:t xml:space="preserve">In conjunction with the conference call being held on May 11, 2021 to discuss Kornit’s results for the first quarter ended March 31, 2021, Kornit also made available to its investors a slide presentation to provide additional information regarding its business and its financial results. That slide presentation is attached as </w:t>
      </w:r>
      <w:r>
        <w:rPr>
          <w:rFonts w:ascii="Arial" w:cs="Arial" w:eastAsia="Arial" w:hAnsi="Arial"/>
          <w:sz w:val="16"/>
          <w:szCs w:val="16"/>
          <w:u w:val="single" w:color="auto"/>
          <w:color w:val="auto"/>
        </w:rPr>
        <w:t>Exhibit 99.2</w:t>
      </w:r>
      <w:r>
        <w:rPr>
          <w:rFonts w:ascii="Arial" w:cs="Arial" w:eastAsia="Arial" w:hAnsi="Arial"/>
          <w:sz w:val="16"/>
          <w:szCs w:val="16"/>
          <w:color w:val="auto"/>
        </w:rPr>
        <w:t xml:space="preserve"> to this Report of Foreign Private Issuer on Form 6-K (this “</w:t>
      </w:r>
      <w:r>
        <w:rPr>
          <w:rFonts w:ascii="Arial" w:cs="Arial" w:eastAsia="Arial" w:hAnsi="Arial"/>
          <w:sz w:val="16"/>
          <w:szCs w:val="16"/>
          <w:b w:val="1"/>
          <w:bCs w:val="1"/>
          <w:color w:val="auto"/>
        </w:rPr>
        <w:t>Form 6-K</w:t>
      </w:r>
      <w:r>
        <w:rPr>
          <w:rFonts w:ascii="Arial" w:cs="Arial" w:eastAsia="Arial" w:hAnsi="Arial"/>
          <w:sz w:val="16"/>
          <w:szCs w:val="16"/>
          <w:color w:val="auto"/>
        </w:rPr>
        <w:t>”) and is incorporated herein by reference.</w:t>
      </w:r>
    </w:p>
    <w:p>
      <w:pPr>
        <w:spacing w:after="0" w:line="162" w:lineRule="exact"/>
        <w:rPr>
          <w:sz w:val="20"/>
          <w:szCs w:val="20"/>
          <w:color w:val="auto"/>
        </w:rPr>
      </w:pPr>
    </w:p>
    <w:p>
      <w:pPr>
        <w:jc w:val="both"/>
        <w:ind w:firstLine="565"/>
        <w:spacing w:after="0" w:line="287" w:lineRule="auto"/>
        <w:rPr>
          <w:rFonts w:ascii="Arial" w:cs="Arial" w:eastAsia="Arial" w:hAnsi="Arial"/>
          <w:sz w:val="15"/>
          <w:szCs w:val="15"/>
          <w:color w:val="auto"/>
        </w:rPr>
      </w:pPr>
      <w:r>
        <w:rPr>
          <w:rFonts w:ascii="Arial" w:cs="Arial" w:eastAsia="Arial" w:hAnsi="Arial"/>
          <w:sz w:val="15"/>
          <w:szCs w:val="15"/>
          <w:color w:val="auto"/>
        </w:rPr>
        <w:t xml:space="preserve">The U.S. GAAP financial information contained in the (i) consolidated balance sheets, (ii) consolidated statements of operations and (iii) consolidated statements of cash flows included in the press release attached as Exhibit 99.1 to this Form 6-K is hereby incorporated by reference into Kornit’s Registration Statements on </w:t>
      </w:r>
      <w:hyperlink r:id="rId14">
        <w:r>
          <w:rPr>
            <w:rFonts w:ascii="Arial" w:cs="Arial" w:eastAsia="Arial" w:hAnsi="Arial"/>
            <w:sz w:val="15"/>
            <w:szCs w:val="15"/>
            <w:u w:val="single" w:color="auto"/>
            <w:color w:val="0000EE"/>
          </w:rPr>
          <w:t>Form F-3</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(File No. 333-248784) and Form S-8 (File No.’s </w:t>
      </w:r>
      <w:hyperlink r:id="rId15">
        <w:r>
          <w:rPr>
            <w:rFonts w:ascii="Arial" w:cs="Arial" w:eastAsia="Arial" w:hAnsi="Arial"/>
            <w:sz w:val="15"/>
            <w:szCs w:val="15"/>
            <w:u w:val="single" w:color="auto"/>
            <w:color w:val="0000EE"/>
          </w:rPr>
          <w:t>333-203970</w:t>
        </w:r>
      </w:hyperlink>
      <w:r>
        <w:rPr>
          <w:rFonts w:ascii="Arial" w:cs="Arial" w:eastAsia="Arial" w:hAnsi="Arial"/>
          <w:sz w:val="15"/>
          <w:szCs w:val="15"/>
          <w:color w:val="auto"/>
        </w:rPr>
        <w:t xml:space="preserve">, </w:t>
      </w:r>
      <w:hyperlink r:id="rId16">
        <w:r>
          <w:rPr>
            <w:rFonts w:ascii="Arial" w:cs="Arial" w:eastAsia="Arial" w:hAnsi="Arial"/>
            <w:sz w:val="15"/>
            <w:szCs w:val="15"/>
            <w:u w:val="single" w:color="auto"/>
            <w:color w:val="0000EE"/>
          </w:rPr>
          <w:t>333-214015</w:t>
        </w:r>
      </w:hyperlink>
      <w:r>
        <w:rPr>
          <w:rFonts w:ascii="Arial" w:cs="Arial" w:eastAsia="Arial" w:hAnsi="Arial"/>
          <w:sz w:val="15"/>
          <w:szCs w:val="15"/>
          <w:color w:val="auto"/>
        </w:rPr>
        <w:t xml:space="preserve">, </w:t>
      </w:r>
      <w:hyperlink r:id="rId17">
        <w:r>
          <w:rPr>
            <w:rFonts w:ascii="Arial" w:cs="Arial" w:eastAsia="Arial" w:hAnsi="Arial"/>
            <w:sz w:val="15"/>
            <w:szCs w:val="15"/>
            <w:u w:val="single" w:color="auto"/>
            <w:color w:val="0000EE"/>
          </w:rPr>
          <w:t>333-217039</w:t>
        </w:r>
      </w:hyperlink>
      <w:r>
        <w:rPr>
          <w:rFonts w:ascii="Arial" w:cs="Arial" w:eastAsia="Arial" w:hAnsi="Arial"/>
          <w:sz w:val="15"/>
          <w:szCs w:val="15"/>
          <w:color w:val="auto"/>
        </w:rPr>
        <w:t xml:space="preserve">, </w:t>
      </w:r>
      <w:hyperlink r:id="rId18">
        <w:r>
          <w:rPr>
            <w:rFonts w:ascii="Arial" w:cs="Arial" w:eastAsia="Arial" w:hAnsi="Arial"/>
            <w:sz w:val="15"/>
            <w:szCs w:val="15"/>
            <w:u w:val="single" w:color="auto"/>
            <w:color w:val="0000EE"/>
          </w:rPr>
          <w:t>333-223794</w:t>
        </w:r>
      </w:hyperlink>
      <w:r>
        <w:rPr>
          <w:rFonts w:ascii="Arial" w:cs="Arial" w:eastAsia="Arial" w:hAnsi="Arial"/>
          <w:sz w:val="15"/>
          <w:szCs w:val="15"/>
          <w:color w:val="auto"/>
        </w:rPr>
        <w:t xml:space="preserve">, </w:t>
      </w:r>
      <w:hyperlink r:id="rId19">
        <w:r>
          <w:rPr>
            <w:rFonts w:ascii="Arial" w:cs="Arial" w:eastAsia="Arial" w:hAnsi="Arial"/>
            <w:sz w:val="15"/>
            <w:szCs w:val="15"/>
            <w:u w:val="single" w:color="auto"/>
            <w:color w:val="0000EE"/>
          </w:rPr>
          <w:t>333-230567</w:t>
        </w:r>
      </w:hyperlink>
      <w:r>
        <w:rPr>
          <w:rFonts w:ascii="Arial" w:cs="Arial" w:eastAsia="Arial" w:hAnsi="Arial"/>
          <w:sz w:val="15"/>
          <w:szCs w:val="15"/>
          <w:color w:val="auto"/>
        </w:rPr>
        <w:t xml:space="preserve">, </w:t>
      </w:r>
      <w:hyperlink r:id="rId20">
        <w:r>
          <w:rPr>
            <w:rFonts w:ascii="Arial" w:cs="Arial" w:eastAsia="Arial" w:hAnsi="Arial"/>
            <w:sz w:val="15"/>
            <w:szCs w:val="15"/>
            <w:u w:val="single" w:color="auto"/>
            <w:color w:val="0000EE"/>
          </w:rPr>
          <w:t>333-237346</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and </w:t>
      </w:r>
      <w:hyperlink r:id="rId21">
        <w:r>
          <w:rPr>
            <w:rFonts w:ascii="Arial" w:cs="Arial" w:eastAsia="Arial" w:hAnsi="Arial"/>
            <w:sz w:val="15"/>
            <w:szCs w:val="15"/>
            <w:u w:val="single" w:color="auto"/>
            <w:color w:val="0000EE"/>
          </w:rPr>
          <w:t>333-254749</w:t>
        </w:r>
      </w:hyperlink>
      <w:r>
        <w:rPr>
          <w:rFonts w:ascii="Arial" w:cs="Arial" w:eastAsia="Arial" w:hAnsi="Arial"/>
          <w:sz w:val="15"/>
          <w:szCs w:val="15"/>
          <w:color w:val="auto"/>
        </w:rPr>
        <w:t>).</w:t>
      </w:r>
    </w:p>
    <w:p>
      <w:pPr>
        <w:spacing w:after="0" w:line="331" w:lineRule="exact"/>
        <w:rPr>
          <w:rFonts w:ascii="Arial" w:cs="Arial" w:eastAsia="Arial" w:hAnsi="Arial"/>
          <w:sz w:val="15"/>
          <w:szCs w:val="15"/>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ind w:right="20" w:firstLine="565"/>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20" w:type="dxa"/>
            <w:vAlign w:val="bottom"/>
          </w:tcPr>
          <w:p>
            <w:pPr>
              <w:spacing w:after="0"/>
              <w:rPr>
                <w:sz w:val="20"/>
                <w:szCs w:val="20"/>
                <w:color w:val="auto"/>
              </w:rPr>
            </w:pPr>
            <w:r>
              <w:rPr>
                <w:rFonts w:ascii="Arial" w:cs="Arial" w:eastAsia="Arial" w:hAnsi="Arial"/>
                <w:sz w:val="16"/>
                <w:szCs w:val="16"/>
                <w:color w:val="auto"/>
              </w:rPr>
              <w:t>Date: May 11, 2021</w:t>
            </w:r>
          </w:p>
        </w:tc>
        <w:tc>
          <w:tcPr>
            <w:tcW w:w="7240" w:type="dxa"/>
            <w:vAlign w:val="bottom"/>
            <w:gridSpan w:val="2"/>
          </w:tcPr>
          <w:p>
            <w:pPr>
              <w:ind w:left="2740"/>
              <w:spacing w:after="0"/>
              <w:rPr>
                <w:sz w:val="20"/>
                <w:szCs w:val="20"/>
                <w:color w:val="auto"/>
              </w:rPr>
            </w:pPr>
            <w:r>
              <w:rPr>
                <w:rFonts w:ascii="Arial" w:cs="Arial" w:eastAsia="Arial" w:hAnsi="Arial"/>
                <w:sz w:val="16"/>
                <w:szCs w:val="16"/>
                <w:b w:val="1"/>
                <w:bCs w:val="1"/>
                <w:color w:val="auto"/>
              </w:rPr>
              <w:t>KORNIT DIGITAL LTD.</w:t>
            </w:r>
          </w:p>
        </w:tc>
      </w:tr>
      <w:tr>
        <w:trPr>
          <w:trHeight w:val="386"/>
        </w:trPr>
        <w:tc>
          <w:tcPr>
            <w:tcW w:w="4020" w:type="dxa"/>
            <w:vAlign w:val="bottom"/>
          </w:tcPr>
          <w:p>
            <w:pPr>
              <w:spacing w:after="0"/>
              <w:rPr>
                <w:sz w:val="24"/>
                <w:szCs w:val="24"/>
                <w:color w:val="auto"/>
              </w:rPr>
            </w:pPr>
          </w:p>
        </w:tc>
        <w:tc>
          <w:tcPr>
            <w:tcW w:w="3300" w:type="dxa"/>
            <w:vAlign w:val="bottom"/>
          </w:tcPr>
          <w:p>
            <w:pPr>
              <w:ind w:left="2740"/>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Alon Rozner</w:t>
            </w:r>
          </w:p>
        </w:tc>
      </w:tr>
      <w:tr>
        <w:trPr>
          <w:trHeight w:val="179"/>
        </w:trPr>
        <w:tc>
          <w:tcPr>
            <w:tcW w:w="4020" w:type="dxa"/>
            <w:vAlign w:val="bottom"/>
          </w:tcPr>
          <w:p>
            <w:pPr>
              <w:spacing w:after="0"/>
              <w:rPr>
                <w:sz w:val="15"/>
                <w:szCs w:val="15"/>
                <w:color w:val="auto"/>
              </w:rPr>
            </w:pPr>
          </w:p>
        </w:tc>
        <w:tc>
          <w:tcPr>
            <w:tcW w:w="3300" w:type="dxa"/>
            <w:vAlign w:val="bottom"/>
          </w:tcPr>
          <w:p>
            <w:pPr>
              <w:ind w:left="2740"/>
              <w:spacing w:after="0" w:line="179" w:lineRule="exact"/>
              <w:rPr>
                <w:sz w:val="20"/>
                <w:szCs w:val="20"/>
                <w:color w:val="auto"/>
              </w:rPr>
            </w:pPr>
            <w:r>
              <w:rPr>
                <w:rFonts w:ascii="Arial" w:cs="Arial" w:eastAsia="Arial" w:hAnsi="Arial"/>
                <w:sz w:val="16"/>
                <w:szCs w:val="16"/>
                <w:color w:val="auto"/>
              </w:rPr>
              <w:t>Name:</w:t>
            </w:r>
          </w:p>
        </w:tc>
        <w:tc>
          <w:tcPr>
            <w:tcW w:w="3940" w:type="dxa"/>
            <w:vAlign w:val="bottom"/>
          </w:tcPr>
          <w:p>
            <w:pPr>
              <w:spacing w:after="0" w:line="179" w:lineRule="exact"/>
              <w:rPr>
                <w:sz w:val="20"/>
                <w:szCs w:val="20"/>
                <w:color w:val="auto"/>
              </w:rPr>
            </w:pPr>
            <w:r>
              <w:rPr>
                <w:rFonts w:ascii="Arial" w:cs="Arial" w:eastAsia="Arial" w:hAnsi="Arial"/>
                <w:sz w:val="16"/>
                <w:szCs w:val="16"/>
                <w:color w:val="auto"/>
              </w:rPr>
              <w:t>Alon Rozner</w:t>
            </w:r>
          </w:p>
        </w:tc>
      </w:tr>
      <w:tr>
        <w:trPr>
          <w:trHeight w:val="204"/>
        </w:trPr>
        <w:tc>
          <w:tcPr>
            <w:tcW w:w="4020" w:type="dxa"/>
            <w:vAlign w:val="bottom"/>
          </w:tcPr>
          <w:p>
            <w:pPr>
              <w:spacing w:after="0"/>
              <w:rPr>
                <w:sz w:val="17"/>
                <w:szCs w:val="17"/>
                <w:color w:val="auto"/>
              </w:rPr>
            </w:pPr>
          </w:p>
        </w:tc>
        <w:tc>
          <w:tcPr>
            <w:tcW w:w="3300" w:type="dxa"/>
            <w:vAlign w:val="bottom"/>
          </w:tcPr>
          <w:p>
            <w:pPr>
              <w:ind w:left="2740"/>
              <w:spacing w:after="0"/>
              <w:rPr>
                <w:sz w:val="20"/>
                <w:szCs w:val="20"/>
                <w:color w:val="auto"/>
              </w:rPr>
            </w:pPr>
            <w:r>
              <w:rPr>
                <w:rFonts w:ascii="Arial" w:cs="Arial" w:eastAsia="Arial" w:hAnsi="Arial"/>
                <w:sz w:val="16"/>
                <w:szCs w:val="16"/>
                <w:color w:val="auto"/>
              </w:rPr>
              <w:t>Title:</w:t>
            </w:r>
          </w:p>
        </w:tc>
        <w:tc>
          <w:tcPr>
            <w:tcW w:w="394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pacing w:after="0" w:line="3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8"/>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gridSpan w:val="3"/>
          </w:tcPr>
          <w:p>
            <w:pPr>
              <w:jc w:val="center"/>
              <w:ind w:right="1140"/>
              <w:spacing w:after="0"/>
              <w:rPr>
                <w:sz w:val="20"/>
                <w:szCs w:val="20"/>
                <w:color w:val="auto"/>
              </w:rPr>
            </w:pPr>
            <w:r>
              <w:rPr>
                <w:rFonts w:ascii="Arial" w:cs="Arial" w:eastAsia="Arial" w:hAnsi="Arial"/>
                <w:sz w:val="16"/>
                <w:szCs w:val="16"/>
                <w:b w:val="1"/>
                <w:bCs w:val="1"/>
                <w:color w:val="auto"/>
                <w:w w:val="94"/>
              </w:rPr>
              <w:t>Exhibit Index</w:t>
            </w:r>
          </w:p>
        </w:tc>
      </w:tr>
      <w:tr>
        <w:trPr>
          <w:trHeight w:val="398"/>
        </w:trPr>
        <w:tc>
          <w:tcPr>
            <w:tcW w:w="102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10240" w:type="dxa"/>
            <w:vAlign w:val="bottom"/>
            <w:gridSpan w:val="4"/>
          </w:tcPr>
          <w:p>
            <w:pPr>
              <w:ind w:left="120"/>
              <w:spacing w:after="0"/>
              <w:rPr>
                <w:sz w:val="20"/>
                <w:szCs w:val="20"/>
                <w:color w:val="auto"/>
              </w:rPr>
            </w:pPr>
            <w:r>
              <w:rPr>
                <w:rFonts w:ascii="Arial" w:cs="Arial" w:eastAsia="Arial" w:hAnsi="Arial"/>
                <w:sz w:val="16"/>
                <w:szCs w:val="16"/>
                <w:b w:val="1"/>
                <w:bCs w:val="1"/>
                <w:color w:val="auto"/>
              </w:rPr>
              <w:t>Description</w:t>
            </w:r>
          </w:p>
        </w:tc>
      </w:tr>
      <w:tr>
        <w:trPr>
          <w:trHeight w:val="171"/>
        </w:trPr>
        <w:tc>
          <w:tcPr>
            <w:tcW w:w="10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99.1</w:t>
            </w:r>
          </w:p>
        </w:tc>
        <w:tc>
          <w:tcPr>
            <w:tcW w:w="120" w:type="dxa"/>
            <w:vAlign w:val="bottom"/>
            <w:tcBorders>
              <w:top w:val="single" w:sz="8" w:color="CCEEFF"/>
            </w:tcBorders>
            <w:shd w:val="clear" w:color="auto" w:fill="CCEEFF"/>
          </w:tcPr>
          <w:p>
            <w:pPr>
              <w:spacing w:after="0"/>
              <w:rPr>
                <w:sz w:val="14"/>
                <w:szCs w:val="14"/>
                <w:color w:val="auto"/>
              </w:rPr>
            </w:pPr>
          </w:p>
        </w:tc>
        <w:tc>
          <w:tcPr>
            <w:tcW w:w="10120" w:type="dxa"/>
            <w:vAlign w:val="bottom"/>
            <w:tcBorders>
              <w:top w:val="single" w:sz="8" w:color="auto"/>
            </w:tcBorders>
            <w:gridSpan w:val="3"/>
            <w:shd w:val="clear" w:color="auto" w:fill="CCEEFF"/>
          </w:tcPr>
          <w:p>
            <w:pPr>
              <w:spacing w:after="0" w:line="155" w:lineRule="exact"/>
              <w:rPr>
                <w:rFonts w:ascii="Arial" w:cs="Arial" w:eastAsia="Arial" w:hAnsi="Arial"/>
                <w:sz w:val="16"/>
                <w:szCs w:val="16"/>
                <w:color w:val="0000EE"/>
              </w:rPr>
            </w:pPr>
            <w:hyperlink w:anchor="page6">
              <w:r>
                <w:rPr>
                  <w:rFonts w:ascii="Arial" w:cs="Arial" w:eastAsia="Arial" w:hAnsi="Arial"/>
                  <w:sz w:val="16"/>
                  <w:szCs w:val="16"/>
                  <w:color w:val="0000EE"/>
                </w:rPr>
                <w:t>Press release, dated May 11, 2021, titled “Kornit Digital Reports First Quarter 2021 Results”</w:t>
              </w:r>
            </w:hyperlink>
          </w:p>
        </w:tc>
      </w:tr>
      <w:tr>
        <w:trPr>
          <w:trHeight w:val="191"/>
        </w:trPr>
        <w:tc>
          <w:tcPr>
            <w:tcW w:w="10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440" w:type="dxa"/>
            <w:vAlign w:val="bottom"/>
            <w:tcBorders>
              <w:top w:val="single" w:sz="8" w:color="0000EE"/>
            </w:tcBorders>
          </w:tcPr>
          <w:p>
            <w:pPr>
              <w:spacing w:after="0"/>
              <w:rPr>
                <w:sz w:val="16"/>
                <w:szCs w:val="16"/>
                <w:color w:val="auto"/>
              </w:rPr>
            </w:pPr>
          </w:p>
        </w:tc>
        <w:tc>
          <w:tcPr>
            <w:tcW w:w="1460" w:type="dxa"/>
            <w:vAlign w:val="bottom"/>
            <w:tcBorders>
              <w:top w:val="single" w:sz="8" w:color="0000EE"/>
            </w:tcBorders>
          </w:tcPr>
          <w:p>
            <w:pPr>
              <w:spacing w:after="0"/>
              <w:rPr>
                <w:sz w:val="16"/>
                <w:szCs w:val="16"/>
                <w:color w:val="auto"/>
              </w:rPr>
            </w:pPr>
          </w:p>
        </w:tc>
        <w:tc>
          <w:tcPr>
            <w:tcW w:w="4220" w:type="dxa"/>
            <w:vAlign w:val="bottom"/>
            <w:tcBorders>
              <w:top w:val="single" w:sz="8" w:color="CCEEFF"/>
            </w:tcBorders>
          </w:tcPr>
          <w:p>
            <w:pPr>
              <w:spacing w:after="0"/>
              <w:rPr>
                <w:sz w:val="16"/>
                <w:szCs w:val="16"/>
                <w:color w:val="auto"/>
              </w:rPr>
            </w:pPr>
          </w:p>
        </w:tc>
      </w:tr>
      <w:tr>
        <w:trPr>
          <w:trHeight w:val="171"/>
        </w:trPr>
        <w:tc>
          <w:tcPr>
            <w:tcW w:w="102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99.2</w:t>
            </w:r>
          </w:p>
        </w:tc>
        <w:tc>
          <w:tcPr>
            <w:tcW w:w="10240" w:type="dxa"/>
            <w:vAlign w:val="bottom"/>
            <w:gridSpan w:val="4"/>
            <w:shd w:val="clear" w:color="auto" w:fill="CCEEFF"/>
          </w:tcPr>
          <w:p>
            <w:pPr>
              <w:ind w:left="120"/>
              <w:spacing w:after="0" w:line="155" w:lineRule="exact"/>
              <w:rPr>
                <w:rFonts w:ascii="Arial" w:cs="Arial" w:eastAsia="Arial" w:hAnsi="Arial"/>
                <w:sz w:val="16"/>
                <w:szCs w:val="16"/>
                <w:color w:val="0000EE"/>
              </w:rPr>
            </w:pPr>
            <w:hyperlink w:anchor="page15">
              <w:r>
                <w:rPr>
                  <w:rFonts w:ascii="Arial" w:cs="Arial" w:eastAsia="Arial" w:hAnsi="Arial"/>
                  <w:sz w:val="16"/>
                  <w:szCs w:val="16"/>
                  <w:color w:val="0000EE"/>
                </w:rPr>
                <w:t>Slide presentation for conference call of Kornit held on May 11, 2021</w:t>
              </w:r>
            </w:hyperlink>
          </w:p>
        </w:tc>
      </w:tr>
      <w:tr>
        <w:trPr>
          <w:trHeight w:val="577"/>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440" w:type="dxa"/>
            <w:vAlign w:val="bottom"/>
            <w:tcBorders>
              <w:top w:val="single" w:sz="8" w:color="0000EE"/>
              <w:bottom w:val="single" w:sz="8" w:color="auto"/>
            </w:tcBorders>
          </w:tcPr>
          <w:p>
            <w:pPr>
              <w:spacing w:after="0"/>
              <w:rPr>
                <w:sz w:val="24"/>
                <w:szCs w:val="24"/>
                <w:color w:val="auto"/>
              </w:rPr>
            </w:pPr>
          </w:p>
        </w:tc>
        <w:tc>
          <w:tcPr>
            <w:tcW w:w="1460" w:type="dxa"/>
            <w:vAlign w:val="bottom"/>
            <w:tcBorders>
              <w:top w:val="single" w:sz="8" w:color="CCEEFF"/>
              <w:bottom w:val="single" w:sz="8" w:color="auto"/>
            </w:tcBorders>
          </w:tcPr>
          <w:p>
            <w:pPr>
              <w:jc w:val="right"/>
              <w:ind w:right="1306"/>
              <w:spacing w:after="0"/>
              <w:rPr>
                <w:sz w:val="20"/>
                <w:szCs w:val="20"/>
                <w:color w:val="auto"/>
              </w:rPr>
            </w:pPr>
            <w:r>
              <w:rPr>
                <w:rFonts w:ascii="Arial" w:cs="Arial" w:eastAsia="Arial" w:hAnsi="Arial"/>
                <w:sz w:val="15"/>
                <w:szCs w:val="15"/>
                <w:color w:val="auto"/>
                <w:w w:val="71"/>
              </w:rPr>
              <w:t>4</w:t>
            </w:r>
          </w:p>
        </w:tc>
        <w:tc>
          <w:tcPr>
            <w:tcW w:w="42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b w:val="1"/>
          <w:bCs w:val="1"/>
          <w:color w:val="auto"/>
        </w:rPr>
        <w:t>Exhibit 99.1</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Investor Contact:</w:t>
      </w:r>
    </w:p>
    <w:p>
      <w:pPr>
        <w:spacing w:after="0" w:line="24" w:lineRule="exact"/>
        <w:rPr>
          <w:sz w:val="20"/>
          <w:szCs w:val="20"/>
          <w:color w:val="auto"/>
        </w:rPr>
      </w:pPr>
    </w:p>
    <w:p>
      <w:pPr>
        <w:ind w:left="4"/>
        <w:spacing w:after="0"/>
        <w:rPr>
          <w:sz w:val="20"/>
          <w:szCs w:val="20"/>
          <w:color w:val="auto"/>
        </w:rPr>
      </w:pPr>
      <w:r>
        <w:rPr>
          <w:rFonts w:ascii="Arial" w:cs="Arial" w:eastAsia="Arial" w:hAnsi="Arial"/>
          <w:sz w:val="16"/>
          <w:szCs w:val="16"/>
          <w:color w:val="auto"/>
        </w:rPr>
        <w:t>Monica Gould</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Blueshirt Group</w:t>
      </w:r>
    </w:p>
    <w:p>
      <w:pPr>
        <w:spacing w:after="0" w:line="7" w:lineRule="exact"/>
        <w:rPr>
          <w:sz w:val="20"/>
          <w:szCs w:val="20"/>
          <w:color w:val="auto"/>
        </w:rPr>
      </w:pPr>
    </w:p>
    <w:p>
      <w:pPr>
        <w:ind w:left="4" w:right="9380" w:hanging="4"/>
        <w:spacing w:after="0" w:line="330" w:lineRule="auto"/>
        <w:tabs>
          <w:tab w:leader="none" w:pos="389" w:val="left"/>
        </w:tabs>
        <w:numPr>
          <w:ilvl w:val="0"/>
          <w:numId w:val="2"/>
        </w:numPr>
        <w:rPr>
          <w:rFonts w:ascii="Arial" w:cs="Arial" w:eastAsia="Arial" w:hAnsi="Arial"/>
          <w:sz w:val="14"/>
          <w:szCs w:val="14"/>
          <w:color w:val="auto"/>
        </w:rPr>
      </w:pPr>
      <w:r>
        <w:rPr>
          <w:rFonts w:ascii="Arial" w:cs="Arial" w:eastAsia="Arial" w:hAnsi="Arial"/>
          <w:sz w:val="14"/>
          <w:szCs w:val="14"/>
          <w:color w:val="auto"/>
        </w:rPr>
        <w:t>871-3927 Monica@blueshirtgroup.com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1069975" cy="645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069975" cy="645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Kornit Digital Reports First Quarter 2021 Results</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Revenue Increased 152% Year-Over-Year</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Record Shipments of Mass Production Systems</w:t>
      </w:r>
    </w:p>
    <w:p>
      <w:pPr>
        <w:spacing w:after="0" w:line="202" w:lineRule="exact"/>
        <w:rPr>
          <w:sz w:val="20"/>
          <w:szCs w:val="20"/>
          <w:color w:val="auto"/>
        </w:rPr>
      </w:pPr>
    </w:p>
    <w:p>
      <w:pPr>
        <w:ind w:left="284" w:hanging="284"/>
        <w:spacing w:after="0"/>
        <w:tabs>
          <w:tab w:leader="none" w:pos="284" w:val="left"/>
        </w:tabs>
        <w:numPr>
          <w:ilvl w:val="0"/>
          <w:numId w:val="3"/>
        </w:numPr>
        <w:rPr>
          <w:rFonts w:ascii="Arial" w:cs="Arial" w:eastAsia="Arial" w:hAnsi="Arial"/>
          <w:sz w:val="16"/>
          <w:szCs w:val="16"/>
          <w:color w:val="auto"/>
        </w:rPr>
      </w:pPr>
      <w:r>
        <w:rPr>
          <w:rFonts w:ascii="Arial" w:cs="Arial" w:eastAsia="Arial" w:hAnsi="Arial"/>
          <w:sz w:val="16"/>
          <w:szCs w:val="16"/>
          <w:color w:val="auto"/>
        </w:rPr>
        <w:t>First quarter revenue grew 152% year-over-year to $66.1 million, net of non-cash warrants impact of $3.1 million</w:t>
      </w:r>
    </w:p>
    <w:p>
      <w:pPr>
        <w:spacing w:after="0" w:line="198" w:lineRule="exact"/>
        <w:rPr>
          <w:rFonts w:ascii="Arial" w:cs="Arial" w:eastAsia="Arial" w:hAnsi="Arial"/>
          <w:sz w:val="16"/>
          <w:szCs w:val="16"/>
          <w:color w:val="auto"/>
        </w:rPr>
      </w:pPr>
    </w:p>
    <w:p>
      <w:pPr>
        <w:ind w:left="284" w:right="20" w:hanging="284"/>
        <w:spacing w:after="0" w:line="275" w:lineRule="auto"/>
        <w:tabs>
          <w:tab w:leader="none" w:pos="284" w:val="left"/>
        </w:tabs>
        <w:numPr>
          <w:ilvl w:val="0"/>
          <w:numId w:val="3"/>
        </w:numPr>
        <w:rPr>
          <w:rFonts w:ascii="Arial" w:cs="Arial" w:eastAsia="Arial" w:hAnsi="Arial"/>
          <w:sz w:val="16"/>
          <w:szCs w:val="16"/>
          <w:color w:val="auto"/>
        </w:rPr>
      </w:pPr>
      <w:r>
        <w:rPr>
          <w:rFonts w:ascii="Arial" w:cs="Arial" w:eastAsia="Arial" w:hAnsi="Arial"/>
          <w:sz w:val="16"/>
          <w:szCs w:val="16"/>
          <w:color w:val="auto"/>
        </w:rPr>
        <w:t>First quarter GAAP operating profit of $3.1 million; non-GAAP operating profit of $6.5 million, in each case net of $3.1 million attributed to the non-cash impact of warrants</w:t>
      </w:r>
    </w:p>
    <w:p>
      <w:pPr>
        <w:spacing w:after="0" w:line="151" w:lineRule="exact"/>
        <w:rPr>
          <w:rFonts w:ascii="Arial" w:cs="Arial" w:eastAsia="Arial" w:hAnsi="Arial"/>
          <w:sz w:val="16"/>
          <w:szCs w:val="16"/>
          <w:color w:val="auto"/>
        </w:rPr>
      </w:pPr>
    </w:p>
    <w:p>
      <w:pPr>
        <w:ind w:left="284" w:hanging="284"/>
        <w:spacing w:after="0"/>
        <w:tabs>
          <w:tab w:leader="none" w:pos="284"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 growth and profitability significantly exceeded expectations</w:t>
      </w:r>
    </w:p>
    <w:p>
      <w:pPr>
        <w:spacing w:after="0" w:line="198" w:lineRule="exact"/>
        <w:rPr>
          <w:rFonts w:ascii="Arial" w:cs="Arial" w:eastAsia="Arial" w:hAnsi="Arial"/>
          <w:sz w:val="16"/>
          <w:szCs w:val="16"/>
          <w:color w:val="auto"/>
        </w:rPr>
      </w:pPr>
    </w:p>
    <w:p>
      <w:pPr>
        <w:ind w:left="284" w:hanging="284"/>
        <w:spacing w:after="0"/>
        <w:tabs>
          <w:tab w:leader="none" w:pos="284" w:val="left"/>
        </w:tabs>
        <w:numPr>
          <w:ilvl w:val="0"/>
          <w:numId w:val="3"/>
        </w:numPr>
        <w:rPr>
          <w:rFonts w:ascii="Arial" w:cs="Arial" w:eastAsia="Arial" w:hAnsi="Arial"/>
          <w:sz w:val="16"/>
          <w:szCs w:val="16"/>
          <w:color w:val="auto"/>
        </w:rPr>
      </w:pPr>
      <w:r>
        <w:rPr>
          <w:rFonts w:ascii="Arial" w:cs="Arial" w:eastAsia="Arial" w:hAnsi="Arial"/>
          <w:sz w:val="16"/>
          <w:szCs w:val="16"/>
          <w:color w:val="auto"/>
        </w:rPr>
        <w:t>Executing on major global expansion projects with strategic customers</w:t>
      </w:r>
    </w:p>
    <w:p>
      <w:pPr>
        <w:spacing w:after="0" w:line="198" w:lineRule="exact"/>
        <w:rPr>
          <w:rFonts w:ascii="Arial" w:cs="Arial" w:eastAsia="Arial" w:hAnsi="Arial"/>
          <w:sz w:val="16"/>
          <w:szCs w:val="16"/>
          <w:color w:val="auto"/>
        </w:rPr>
      </w:pPr>
    </w:p>
    <w:p>
      <w:pPr>
        <w:ind w:left="284" w:hanging="284"/>
        <w:spacing w:after="0"/>
        <w:tabs>
          <w:tab w:leader="none" w:pos="284"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Introduction of breakthrough MAX technology and ATLAS MAX establishes new standard for sustainable on-demand textile production</w:t>
      </w:r>
    </w:p>
    <w:p>
      <w:pPr>
        <w:spacing w:after="0" w:line="194" w:lineRule="exact"/>
        <w:rPr>
          <w:sz w:val="20"/>
          <w:szCs w:val="20"/>
          <w:color w:val="auto"/>
        </w:rPr>
      </w:pPr>
    </w:p>
    <w:p>
      <w:pPr>
        <w:jc w:val="both"/>
        <w:ind w:left="4" w:right="20"/>
        <w:spacing w:after="0" w:line="280" w:lineRule="auto"/>
        <w:rPr>
          <w:sz w:val="20"/>
          <w:szCs w:val="20"/>
          <w:color w:val="auto"/>
        </w:rPr>
      </w:pPr>
      <w:r>
        <w:rPr>
          <w:rFonts w:ascii="Arial" w:cs="Arial" w:eastAsia="Arial" w:hAnsi="Arial"/>
          <w:sz w:val="16"/>
          <w:szCs w:val="16"/>
          <w:b w:val="1"/>
          <w:bCs w:val="1"/>
          <w:color w:val="auto"/>
        </w:rPr>
        <w:t xml:space="preserve">Rosh-Ha’Ayin, Israel – May 11, 2021 – </w:t>
      </w:r>
      <w:r>
        <w:rPr>
          <w:rFonts w:ascii="Arial" w:cs="Arial" w:eastAsia="Arial" w:hAnsi="Arial"/>
          <w:sz w:val="16"/>
          <w:szCs w:val="16"/>
          <w:color w:val="auto"/>
        </w:rPr>
        <w:t>Kornit Digital Ltd. (NASDAQ: KRNT), a worldwide market leader in digital textile printing technology, today reported results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first quarter ended March 31, 2021.</w:t>
      </w:r>
    </w:p>
    <w:p>
      <w:pPr>
        <w:spacing w:after="0" w:line="148" w:lineRule="exact"/>
        <w:rPr>
          <w:sz w:val="20"/>
          <w:szCs w:val="20"/>
          <w:color w:val="auto"/>
        </w:rPr>
      </w:pPr>
    </w:p>
    <w:p>
      <w:pPr>
        <w:jc w:val="both"/>
        <w:ind w:left="4"/>
        <w:spacing w:after="0" w:line="258" w:lineRule="auto"/>
        <w:rPr>
          <w:sz w:val="20"/>
          <w:szCs w:val="20"/>
          <w:color w:val="auto"/>
        </w:rPr>
      </w:pPr>
      <w:r>
        <w:rPr>
          <w:rFonts w:ascii="Arial" w:cs="Arial" w:eastAsia="Arial" w:hAnsi="Arial"/>
          <w:sz w:val="16"/>
          <w:szCs w:val="16"/>
          <w:color w:val="auto"/>
        </w:rPr>
        <w:t>“We are excited to share a strong start to the year and outstanding first quarter results. We significantly exceeded our expectations for revenue and profitability, and our outlook for the year is very strong,” said Ronen Samuel, Kornit Digital’s Chief Executive Officer. “As the world moves into the post-pandemic era, the textile industry is in desperate need to accelerate its mass adoption of digital, sustainable, on-demand production. The business opportunity ahead of us is enormous and we are laser focused on introducing continued innovation and scaling our business on all fronts.”</w:t>
      </w:r>
    </w:p>
    <w:p>
      <w:pPr>
        <w:spacing w:after="0" w:line="165" w:lineRule="exact"/>
        <w:rPr>
          <w:sz w:val="20"/>
          <w:szCs w:val="20"/>
          <w:color w:val="auto"/>
        </w:rPr>
      </w:pPr>
    </w:p>
    <w:p>
      <w:pPr>
        <w:jc w:val="both"/>
        <w:ind w:left="4"/>
        <w:spacing w:after="0" w:line="254" w:lineRule="auto"/>
        <w:rPr>
          <w:sz w:val="20"/>
          <w:szCs w:val="20"/>
          <w:color w:val="auto"/>
        </w:rPr>
      </w:pPr>
      <w:r>
        <w:rPr>
          <w:rFonts w:ascii="Arial" w:cs="Arial" w:eastAsia="Arial" w:hAnsi="Arial"/>
          <w:sz w:val="16"/>
          <w:szCs w:val="16"/>
          <w:color w:val="auto"/>
        </w:rPr>
        <w:t>Mr. Samuel continued, “during the second half of last year we discussed engagements on major global expansion projects with multiple strategic accounts, which we are now rolling out and we continue to build Kornit’s brand recognition in the heart of the fashion and home décor industries. The launch of our Max technology establishes a new standard for on-demand fashion and apparel production and significantly expands our addressable market into lucrative new segments. Our first product release, the ATLAS MAX, is just the beginning of revolutionary future new products coming from the MAX line, which will unlock additional huge market segments. Kornit is in a remarkable position and I am more confident than ever in our value proposition, our leadership position, and our dedicated people as we take another step on our path to become a $500 million revenue run rate business ahead of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374015</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3" w:right="319" w:bottom="1440" w:gutter="0" w:footer="0" w:header="0"/>
        </w:sectPr>
      </w:pPr>
    </w:p>
    <w:bookmarkStart w:id="6" w:name="page7"/>
    <w:bookmarkEnd w:id="6"/>
    <w:p>
      <w:pPr>
        <w:spacing w:after="0" w:line="275" w:lineRule="auto"/>
        <w:rPr>
          <w:sz w:val="20"/>
          <w:szCs w:val="20"/>
          <w:color w:val="auto"/>
        </w:rPr>
      </w:pPr>
      <w:r>
        <w:rPr>
          <w:rFonts w:ascii="Arial" w:cs="Arial" w:eastAsia="Arial" w:hAnsi="Arial"/>
          <w:sz w:val="16"/>
          <w:szCs w:val="16"/>
          <w:color w:val="auto"/>
        </w:rPr>
        <w:t>The following table compares the adverse, non-cash impact that the Company’s outstanding warrants had on the Company’s results of operations during the first quarters of 2021 and 2020, respectively: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40" w:type="dxa"/>
            <w:vAlign w:val="bottom"/>
          </w:tcPr>
          <w:p>
            <w:pPr>
              <w:spacing w:after="0"/>
              <w:rPr>
                <w:sz w:val="18"/>
                <w:szCs w:val="18"/>
                <w:color w:val="auto"/>
              </w:rPr>
            </w:pPr>
          </w:p>
        </w:tc>
        <w:tc>
          <w:tcPr>
            <w:tcW w:w="3500" w:type="dxa"/>
            <w:vAlign w:val="bottom"/>
            <w:gridSpan w:val="4"/>
          </w:tcPr>
          <w:p>
            <w:pPr>
              <w:jc w:val="right"/>
              <w:ind w:right="340"/>
              <w:spacing w:after="0"/>
              <w:rPr>
                <w:sz w:val="20"/>
                <w:szCs w:val="20"/>
                <w:color w:val="auto"/>
              </w:rPr>
            </w:pPr>
            <w:r>
              <w:rPr>
                <w:rFonts w:ascii="Arial" w:cs="Arial" w:eastAsia="Arial" w:hAnsi="Arial"/>
                <w:sz w:val="16"/>
                <w:szCs w:val="16"/>
                <w:b w:val="1"/>
                <w:bCs w:val="1"/>
                <w:color w:val="auto"/>
              </w:rPr>
              <w:t>First Quarter Warrants Impact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366"/>
        </w:trPr>
        <w:tc>
          <w:tcPr>
            <w:tcW w:w="35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6"/>
          </w:tcPr>
          <w:p>
            <w:pPr>
              <w:jc w:val="right"/>
              <w:ind w:right="8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2"/>
        </w:trPr>
        <w:tc>
          <w:tcPr>
            <w:tcW w:w="35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1180"/>
              <w:spacing w:after="0"/>
              <w:rPr>
                <w:sz w:val="20"/>
                <w:szCs w:val="20"/>
                <w:color w:val="auto"/>
              </w:rPr>
            </w:pPr>
            <w:r>
              <w:rPr>
                <w:rFonts w:ascii="Arial" w:cs="Arial" w:eastAsia="Arial" w:hAnsi="Arial"/>
                <w:sz w:val="16"/>
                <w:szCs w:val="16"/>
                <w:b w:val="1"/>
                <w:bCs w:val="1"/>
                <w:color w:val="auto"/>
              </w:rPr>
              <w:t>March 31,</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07"/>
        </w:trPr>
        <w:tc>
          <w:tcPr>
            <w:tcW w:w="35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2021</w:t>
            </w:r>
          </w:p>
        </w:tc>
        <w:tc>
          <w:tcPr>
            <w:tcW w:w="9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6"/>
                <w:szCs w:val="16"/>
                <w:b w:val="1"/>
                <w:bCs w:val="1"/>
                <w:color w:val="auto"/>
              </w:rPr>
              <w:t>2020</w:t>
            </w:r>
          </w:p>
        </w:tc>
        <w:tc>
          <w:tcPr>
            <w:tcW w:w="9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175"/>
        </w:trPr>
        <w:tc>
          <w:tcPr>
            <w:tcW w:w="35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80"/>
              <w:spacing w:after="0" w:line="175" w:lineRule="exact"/>
              <w:rPr>
                <w:sz w:val="20"/>
                <w:szCs w:val="20"/>
                <w:color w:val="auto"/>
              </w:rPr>
            </w:pPr>
            <w:r>
              <w:rPr>
                <w:rFonts w:ascii="Arial" w:cs="Arial" w:eastAsia="Arial" w:hAnsi="Arial"/>
                <w:sz w:val="16"/>
                <w:szCs w:val="16"/>
                <w:b w:val="1"/>
                <w:bCs w:val="1"/>
                <w:color w:val="auto"/>
                <w:w w:val="92"/>
              </w:rPr>
              <w:t>Net of</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460"/>
              <w:spacing w:after="0" w:line="175" w:lineRule="exact"/>
              <w:rPr>
                <w:sz w:val="20"/>
                <w:szCs w:val="20"/>
                <w:color w:val="auto"/>
              </w:rPr>
            </w:pPr>
            <w:r>
              <w:rPr>
                <w:rFonts w:ascii="Arial" w:cs="Arial" w:eastAsia="Arial" w:hAnsi="Arial"/>
                <w:sz w:val="16"/>
                <w:szCs w:val="16"/>
                <w:b w:val="1"/>
                <w:bCs w:val="1"/>
                <w:color w:val="auto"/>
                <w:w w:val="88"/>
              </w:rPr>
              <w:t>Net of</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91"/>
        </w:trPr>
        <w:tc>
          <w:tcPr>
            <w:tcW w:w="35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5"/>
              </w:rPr>
              <w:t>Warrants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5"/>
              </w:rPr>
              <w:t>Warrants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2"/>
              </w:rPr>
              <w:t>Warrants</w:t>
            </w:r>
          </w:p>
        </w:tc>
        <w:tc>
          <w:tcPr>
            <w:tcW w:w="14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Warrants</w:t>
            </w:r>
          </w:p>
        </w:tc>
      </w:tr>
      <w:tr>
        <w:trPr>
          <w:trHeight w:val="212"/>
        </w:trPr>
        <w:tc>
          <w:tcPr>
            <w:tcW w:w="35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Impact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Impact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Impact</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Impact</w:t>
            </w:r>
          </w:p>
        </w:tc>
      </w:tr>
      <w:tr>
        <w:trPr>
          <w:trHeight w:val="191"/>
        </w:trPr>
        <w:tc>
          <w:tcPr>
            <w:tcW w:w="35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91"/>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66.1M</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center"/>
              <w:ind w:left="540"/>
              <w:spacing w:after="0"/>
              <w:rPr>
                <w:sz w:val="20"/>
                <w:szCs w:val="20"/>
                <w:color w:val="auto"/>
              </w:rPr>
            </w:pPr>
            <w:r>
              <w:rPr>
                <w:rFonts w:ascii="Arial" w:cs="Arial" w:eastAsia="Arial" w:hAnsi="Arial"/>
                <w:sz w:val="16"/>
                <w:szCs w:val="16"/>
                <w:color w:val="auto"/>
                <w:w w:val="95"/>
              </w:rPr>
              <w:t>3.1M</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26.2M</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center"/>
              <w:ind w:left="580"/>
              <w:spacing w:after="0"/>
              <w:rPr>
                <w:sz w:val="20"/>
                <w:szCs w:val="20"/>
                <w:color w:val="auto"/>
              </w:rPr>
            </w:pPr>
            <w:r>
              <w:rPr>
                <w:rFonts w:ascii="Arial" w:cs="Arial" w:eastAsia="Arial" w:hAnsi="Arial"/>
                <w:sz w:val="16"/>
                <w:szCs w:val="16"/>
                <w:color w:val="auto"/>
                <w:w w:val="95"/>
              </w:rPr>
              <w:t>0.6M</w:t>
            </w:r>
          </w:p>
        </w:tc>
      </w:tr>
      <w:tr>
        <w:trPr>
          <w:trHeight w:val="191"/>
        </w:trPr>
        <w:tc>
          <w:tcPr>
            <w:tcW w:w="3540" w:type="dxa"/>
            <w:vAlign w:val="bottom"/>
          </w:tcPr>
          <w:p>
            <w:pPr>
              <w:spacing w:after="0"/>
              <w:rPr>
                <w:sz w:val="20"/>
                <w:szCs w:val="20"/>
                <w:color w:val="auto"/>
              </w:rPr>
            </w:pPr>
            <w:r>
              <w:rPr>
                <w:rFonts w:ascii="Arial" w:cs="Arial" w:eastAsia="Arial" w:hAnsi="Arial"/>
                <w:sz w:val="16"/>
                <w:szCs w:val="16"/>
                <w:color w:val="auto"/>
              </w:rPr>
              <w:t>Non-GAAP Gross Margin</w:t>
            </w:r>
          </w:p>
        </w:tc>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47.1%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left="580"/>
              <w:spacing w:after="0"/>
              <w:rPr>
                <w:sz w:val="20"/>
                <w:szCs w:val="20"/>
                <w:color w:val="auto"/>
              </w:rPr>
            </w:pPr>
            <w:r>
              <w:rPr>
                <w:rFonts w:ascii="Arial" w:cs="Arial" w:eastAsia="Arial" w:hAnsi="Arial"/>
                <w:sz w:val="16"/>
                <w:szCs w:val="16"/>
                <w:color w:val="auto"/>
                <w:w w:val="87"/>
              </w:rPr>
              <w:t>240bps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33.0%</w:t>
            </w:r>
          </w:p>
        </w:tc>
        <w:tc>
          <w:tcPr>
            <w:tcW w:w="140" w:type="dxa"/>
            <w:vAlign w:val="bottom"/>
          </w:tcPr>
          <w:p>
            <w:pPr>
              <w:spacing w:after="0"/>
              <w:rPr>
                <w:sz w:val="16"/>
                <w:szCs w:val="16"/>
                <w:color w:val="auto"/>
              </w:rPr>
            </w:pPr>
          </w:p>
        </w:tc>
        <w:tc>
          <w:tcPr>
            <w:tcW w:w="1200" w:type="dxa"/>
            <w:vAlign w:val="bottom"/>
            <w:gridSpan w:val="2"/>
          </w:tcPr>
          <w:p>
            <w:pPr>
              <w:jc w:val="center"/>
              <w:ind w:left="620"/>
              <w:spacing w:after="0"/>
              <w:rPr>
                <w:sz w:val="20"/>
                <w:szCs w:val="20"/>
                <w:color w:val="auto"/>
              </w:rPr>
            </w:pPr>
            <w:r>
              <w:rPr>
                <w:rFonts w:ascii="Arial" w:cs="Arial" w:eastAsia="Arial" w:hAnsi="Arial"/>
                <w:sz w:val="16"/>
                <w:szCs w:val="16"/>
                <w:color w:val="auto"/>
                <w:w w:val="87"/>
              </w:rPr>
              <w:t>141bps</w:t>
            </w:r>
          </w:p>
        </w:tc>
      </w:tr>
      <w:tr>
        <w:trPr>
          <w:trHeight w:val="191"/>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Non-GAAP Operating Margin</w:t>
            </w:r>
          </w:p>
        </w:tc>
        <w:tc>
          <w:tcPr>
            <w:tcW w:w="2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9.8%</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ind w:left="580"/>
              <w:spacing w:after="0"/>
              <w:rPr>
                <w:sz w:val="20"/>
                <w:szCs w:val="20"/>
                <w:color w:val="auto"/>
              </w:rPr>
            </w:pPr>
            <w:r>
              <w:rPr>
                <w:rFonts w:ascii="Arial" w:cs="Arial" w:eastAsia="Arial" w:hAnsi="Arial"/>
                <w:sz w:val="16"/>
                <w:szCs w:val="16"/>
                <w:color w:val="auto"/>
                <w:w w:val="87"/>
              </w:rPr>
              <w:t>409bps</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(40.1)%</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center"/>
              <w:ind w:left="620"/>
              <w:spacing w:after="0"/>
              <w:rPr>
                <w:sz w:val="20"/>
                <w:szCs w:val="20"/>
                <w:color w:val="auto"/>
              </w:rPr>
            </w:pPr>
            <w:r>
              <w:rPr>
                <w:rFonts w:ascii="Arial" w:cs="Arial" w:eastAsia="Arial" w:hAnsi="Arial"/>
                <w:sz w:val="16"/>
                <w:szCs w:val="16"/>
                <w:color w:val="auto"/>
                <w:w w:val="87"/>
              </w:rPr>
              <w:t>295bps</w:t>
            </w:r>
          </w:p>
        </w:tc>
      </w:tr>
      <w:tr>
        <w:trPr>
          <w:trHeight w:val="191"/>
        </w:trPr>
        <w:tc>
          <w:tcPr>
            <w:tcW w:w="3540" w:type="dxa"/>
            <w:vAlign w:val="bottom"/>
          </w:tcPr>
          <w:p>
            <w:pPr>
              <w:spacing w:after="0"/>
              <w:rPr>
                <w:sz w:val="20"/>
                <w:szCs w:val="20"/>
                <w:color w:val="auto"/>
              </w:rPr>
            </w:pPr>
            <w:r>
              <w:rPr>
                <w:rFonts w:ascii="Arial" w:cs="Arial" w:eastAsia="Arial" w:hAnsi="Arial"/>
                <w:sz w:val="16"/>
                <w:szCs w:val="16"/>
                <w:color w:val="auto"/>
              </w:rPr>
              <w:t>Non-GAAP Net Margin</w:t>
            </w:r>
          </w:p>
        </w:tc>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11.7%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left="580"/>
              <w:spacing w:after="0"/>
              <w:rPr>
                <w:sz w:val="20"/>
                <w:szCs w:val="20"/>
                <w:color w:val="auto"/>
              </w:rPr>
            </w:pPr>
            <w:r>
              <w:rPr>
                <w:rFonts w:ascii="Arial" w:cs="Arial" w:eastAsia="Arial" w:hAnsi="Arial"/>
                <w:sz w:val="16"/>
                <w:szCs w:val="16"/>
                <w:color w:val="auto"/>
                <w:w w:val="87"/>
              </w:rPr>
              <w:t>400bps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(34.0)%</w:t>
            </w:r>
          </w:p>
        </w:tc>
        <w:tc>
          <w:tcPr>
            <w:tcW w:w="140" w:type="dxa"/>
            <w:vAlign w:val="bottom"/>
          </w:tcPr>
          <w:p>
            <w:pPr>
              <w:spacing w:after="0"/>
              <w:rPr>
                <w:sz w:val="16"/>
                <w:szCs w:val="16"/>
                <w:color w:val="auto"/>
              </w:rPr>
            </w:pPr>
          </w:p>
        </w:tc>
        <w:tc>
          <w:tcPr>
            <w:tcW w:w="1200" w:type="dxa"/>
            <w:vAlign w:val="bottom"/>
            <w:gridSpan w:val="2"/>
          </w:tcPr>
          <w:p>
            <w:pPr>
              <w:jc w:val="center"/>
              <w:ind w:left="620"/>
              <w:spacing w:after="0"/>
              <w:rPr>
                <w:sz w:val="20"/>
                <w:szCs w:val="20"/>
                <w:color w:val="auto"/>
              </w:rPr>
            </w:pPr>
            <w:r>
              <w:rPr>
                <w:rFonts w:ascii="Arial" w:cs="Arial" w:eastAsia="Arial" w:hAnsi="Arial"/>
                <w:sz w:val="16"/>
                <w:szCs w:val="16"/>
                <w:color w:val="auto"/>
                <w:w w:val="87"/>
              </w:rPr>
              <w:t>282bps</w:t>
            </w:r>
          </w:p>
        </w:tc>
      </w:tr>
      <w:tr>
        <w:trPr>
          <w:trHeight w:val="191"/>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Non-GAAP Diluted Earnings Per Share</w:t>
            </w:r>
          </w:p>
        </w:tc>
        <w:tc>
          <w:tcPr>
            <w:tcW w:w="2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0.16</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0.07</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0.02</w:t>
            </w:r>
          </w:p>
        </w:tc>
      </w:tr>
    </w:tbl>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are very pleased with our strong first quarter results, which were driven by a record quarter for mass production system shipments,” said Alon Rozner, Kornit Digital’s Chief Financial Officer. “Our engagements on major global expansion projects with strategic accounts and our growing business with net new accounts continues to drive our backlog to record levels, positioning us very well to execute on our short term and long-term goals.”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First Quarter 2021 Results of Operations</w:t>
      </w:r>
    </w:p>
    <w:p>
      <w:pPr>
        <w:spacing w:after="0" w:line="202" w:lineRule="exact"/>
        <w:rPr>
          <w:sz w:val="20"/>
          <w:szCs w:val="20"/>
          <w:color w:val="auto"/>
        </w:rPr>
      </w:pPr>
    </w:p>
    <w:p>
      <w:pPr>
        <w:ind w:left="560" w:right="20" w:hanging="278"/>
        <w:spacing w:after="0" w:line="275" w:lineRule="auto"/>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Total revenue for the first quarter of 2021 was $66.1 million, net of $3.1 million attributed to the non-cash impact of warrants, compared to $26.2 million, net of $0.6 million attributed to the non-cash impact of warrants in the prior year period.</w:t>
      </w:r>
    </w:p>
    <w:p>
      <w:pPr>
        <w:spacing w:after="0" w:line="151" w:lineRule="exact"/>
        <w:rPr>
          <w:rFonts w:ascii="Arial" w:cs="Arial" w:eastAsia="Arial" w:hAnsi="Arial"/>
          <w:sz w:val="16"/>
          <w:szCs w:val="16"/>
          <w:color w:val="auto"/>
        </w:rPr>
      </w:pPr>
    </w:p>
    <w:p>
      <w:pPr>
        <w:ind w:left="560" w:hanging="278"/>
        <w:spacing w:after="0" w:line="275" w:lineRule="auto"/>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GAAP net income for the first quarter of 2021 was $5.1 million, or $0.11 per diluted share, compared to net loss of $10.1 million, or $0.25 per basic share, for the first quarter of 2020.</w:t>
      </w:r>
    </w:p>
    <w:p>
      <w:pPr>
        <w:spacing w:after="0" w:line="151" w:lineRule="exact"/>
        <w:rPr>
          <w:rFonts w:ascii="Arial" w:cs="Arial" w:eastAsia="Arial" w:hAnsi="Arial"/>
          <w:sz w:val="16"/>
          <w:szCs w:val="16"/>
          <w:color w:val="auto"/>
        </w:rPr>
      </w:pPr>
    </w:p>
    <w:p>
      <w:pPr>
        <w:jc w:val="both"/>
        <w:ind w:left="560" w:right="20" w:hanging="278"/>
        <w:spacing w:after="0" w:line="262" w:lineRule="auto"/>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Non-GAAP net income for the first quarter of 2021 was $7.7 million, or $0.16 per diluted share, net of $0.07 per diluted share attributed to the non-cash impact of warrants, compared to non-GAAP net loss of $8.9 million, or $0.22 per basic share, net of $0.02 per diluted share attributed to the non-cash impact of warrants, for the first quarter of 2020.</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Second Quarter 2021 Guidance</w:t>
      </w:r>
    </w:p>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Company will discuss the details of its guidance live during its earnings conference call, which will be available for replay via webcast at ir.kornit.com, as referenced below.</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First Quarter Earnings Conference Call Information</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Company will host a conference call today at 8:30 a.m. ET, or 3:30 p.m. Israel time, to discuss the results, followed by a question and answer session for the investment community. A live webcast of the call can be accessed at ir.kornit.com. To access the call, participants may dial toll-free at 1-877-407-0792 or +1-201-689-8263. The toll-free Israeli number is 1 809 406 247. The confirmation code is 13719064.</w:t>
      </w:r>
    </w:p>
    <w:p>
      <w:pPr>
        <w:spacing w:after="0" w:line="16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To listen to a telephonic replay of the conference call, dial toll-free 1-844-512-2921 or +1-412-317-6671 (international) and enter confirmation code 13719064. The telephonic replay will be available beginning at 11:30 a.m. ET on Tuesday, May 11, 2021, until 11:59 p.m. ET on Tuesday, May 25, 2021. The call will also be available for replay via the webcast link on Kornit’s Investor Relations website.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Company’s degree of success in developing, introducing and selling new or improved products and product enhancements including specifically the Company’s Poly Pro and Presto products; the extent of the Company’s ability to consummate sales to large accounts with multi-system delivery plans; the degree of the Company’s ability to fill orders for Kornit’s systems; the extent of the Company’s ability to continue to increase sales of Kornit’s systems, ink and consumables; the extent of the Company’s ability to leverage Kornit’s global infrastructure build-out; the development of the market for digital textile printing; the availability of alternative ink; competition; sales concentration; changes to the Company’s relationships with suppliers; the extent of the Company’s success in marketing; the duration and severity of, and the degree of recovery from, the global COVID-19 pandemic, which could potentially impact once again, in a material adverse manner, the Company’s operations, financial position and cash flows, and those of the Company’s customers and suppliers; and those additional factors referred to under “Risk Factors” in Item 3.D of the Company’s Annual Report on Form 20-F for the year ended December 31, 2020, filed with the U.S. Securities and Exchange Commission, or SEC, on March 25, 2021. Any forward-looking statements in this press release are made as of the date hereof, whether as a result of new information, future events or otherwise, except as required by law.</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Non-GAAP Discussion Disclosure</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Non-GAAP financial measures consist of GAAP financial measures adjusted to exclude the impact of share-based compensation expenses, acquisition related expenses, excess cost of acquired inventory, foreign exchange differences associated with ASC 842, amortization of acquired intangible assets, deferred tax impact and the one-time impact of COVID-19, and the tax effect of the foregoing. The purpose of such adjustments is to provide an indication of the Company’s performance exclusive of non-cash charges and other items that are considered by management to be outside of the Company’s core operating results. These non-GAAP measures are among the primary factors management uses in planning for and forecasting future periods. Furthermore, the non-GAAP measures are regularly used internally to understand, manage and evaluate the Company’s business and make operating decisions, and the Company believes that they are useful to investors as a consistent and comparable measure of the ongoing performance of the Company’s business. However, the Company’s non-GAAP financial measures are not meant to be considered in isolation or as a substitute for comparable GAAP measures and should be read only in conjunction with the Company’s consolidated financial statements prepared in accordance with GAAP. Additionally, these non-GAAP financial measures may differ materially from the non-GAAP financial measures used by other companies.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Kornit</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Kornit Digital Ltd. (NASDAQ: 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2002, Kornit Digital is a global company, headquartered in Israel with offices in the USA, Europe and Asia Pacific, and serves customers in more than 100 countries and states worldwide.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CURRENT ASSETS: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Short-term bank deposit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Marketable securities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Trade receivables, net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Inventories</w:t>
      </w:r>
    </w:p>
    <w:p>
      <w:pPr>
        <w:spacing w:after="0" w:line="7" w:lineRule="exact"/>
        <w:rPr>
          <w:sz w:val="20"/>
          <w:szCs w:val="20"/>
          <w:color w:val="auto"/>
        </w:rPr>
      </w:pPr>
    </w:p>
    <w:p>
      <w:pPr>
        <w:ind w:right="460"/>
        <w:spacing w:after="0" w:line="289" w:lineRule="auto"/>
        <w:rPr>
          <w:sz w:val="20"/>
          <w:szCs w:val="20"/>
          <w:color w:val="auto"/>
        </w:rPr>
      </w:pPr>
      <w:r>
        <w:rPr>
          <w:rFonts w:ascii="Arial" w:cs="Arial" w:eastAsia="Arial" w:hAnsi="Arial"/>
          <w:sz w:val="16"/>
          <w:szCs w:val="16"/>
          <w:color w:val="auto"/>
        </w:rPr>
        <w:t>Other accounts receivable and prepaid expenses Total current assets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LONG-TERM ASSETS: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Marketable securities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Deposits and other long-term assets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Severance pay fund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Deferred taxes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right-of-use assets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net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Goodwill</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Total long-term assets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jc w:val="center"/>
        <w:ind w:right="426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jc w:val="center"/>
        <w:ind w:right="426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right="4260"/>
        <w:spacing w:after="0"/>
        <w:rPr>
          <w:sz w:val="20"/>
          <w:szCs w:val="20"/>
          <w:color w:val="auto"/>
        </w:rPr>
      </w:pPr>
      <w:r>
        <w:rPr>
          <w:rFonts w:ascii="Arial" w:cs="Arial" w:eastAsia="Arial" w:hAnsi="Arial"/>
          <w:sz w:val="15"/>
          <w:szCs w:val="15"/>
          <w:b w:val="1"/>
          <w:bCs w:val="1"/>
          <w:color w:val="auto"/>
        </w:rPr>
        <w:t>CONSOLIDATED BALANCE SHEETS</w:t>
      </w:r>
    </w:p>
    <w:p>
      <w:pPr>
        <w:spacing w:after="0" w:line="19" w:lineRule="exact"/>
        <w:rPr>
          <w:sz w:val="20"/>
          <w:szCs w:val="20"/>
          <w:color w:val="auto"/>
        </w:rPr>
      </w:pPr>
    </w:p>
    <w:p>
      <w:pPr>
        <w:jc w:val="center"/>
        <w:ind w:right="4260"/>
        <w:spacing w:after="0"/>
        <w:rPr>
          <w:sz w:val="20"/>
          <w:szCs w:val="20"/>
          <w:color w:val="auto"/>
        </w:rPr>
      </w:pPr>
      <w:r>
        <w:rPr>
          <w:rFonts w:ascii="Arial" w:cs="Arial" w:eastAsia="Arial" w:hAnsi="Arial"/>
          <w:sz w:val="16"/>
          <w:szCs w:val="16"/>
          <w:b w:val="1"/>
          <w:bCs w:val="1"/>
          <w:color w:val="auto"/>
        </w:rPr>
        <w:t>(U.S. dollars in thousands)</w:t>
      </w:r>
    </w:p>
    <w:p>
      <w:pPr>
        <w:spacing w:after="0" w:line="182" w:lineRule="exact"/>
        <w:rPr>
          <w:sz w:val="20"/>
          <w:szCs w:val="20"/>
          <w:color w:val="auto"/>
        </w:rPr>
      </w:pPr>
    </w:p>
    <w:tbl>
      <w:tblPr>
        <w:tblLayout w:type="fixed"/>
        <w:tblInd w:w="4440" w:type="dxa"/>
        <w:tblCellMar>
          <w:top w:w="0" w:type="dxa"/>
          <w:left w:w="0" w:type="dxa"/>
          <w:bottom w:w="0" w:type="dxa"/>
          <w:right w:w="0" w:type="dxa"/>
        </w:tblCellMar>
      </w:tblPr>
      <w:tr>
        <w:trPr>
          <w:trHeight w:val="203"/>
        </w:trPr>
        <w:tc>
          <w:tcPr>
            <w:tcW w:w="10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March 31,</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w w:val="88"/>
              </w:rPr>
              <w:t>December 31,</w:t>
            </w:r>
          </w:p>
        </w:tc>
      </w:tr>
      <w:tr>
        <w:trPr>
          <w:trHeight w:val="212"/>
        </w:trPr>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89"/>
              </w:rPr>
              <w:t>2021</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r>
      <w:tr>
        <w:trPr>
          <w:trHeight w:val="195"/>
        </w:trPr>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94"/>
              </w:rPr>
              <w:t>(Unaudited)</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561"/>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94,171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125,777</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243,659</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224,804</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25,836</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13,718</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53,054</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51,566</w:t>
            </w:r>
          </w:p>
        </w:tc>
      </w:tr>
      <w:tr>
        <w:trPr>
          <w:trHeight w:val="203"/>
        </w:trPr>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52,750</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52,487</w:t>
            </w:r>
          </w:p>
        </w:tc>
      </w:tr>
      <w:tr>
        <w:trPr>
          <w:trHeight w:val="208"/>
        </w:trPr>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7,500</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9,178</w:t>
            </w:r>
          </w:p>
        </w:tc>
      </w:tr>
      <w:tr>
        <w:trPr>
          <w:trHeight w:val="195"/>
        </w:trPr>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476,970</w:t>
            </w:r>
          </w:p>
        </w:tc>
        <w:tc>
          <w:tcPr>
            <w:tcW w:w="2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477,530</w:t>
            </w:r>
          </w:p>
        </w:tc>
      </w:tr>
      <w:tr>
        <w:trPr>
          <w:trHeight w:val="561"/>
        </w:trPr>
        <w:tc>
          <w:tcPr>
            <w:tcW w:w="10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74,986</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71,636</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405</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395</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324</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337</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5,473</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5,096</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31,708</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29,255</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20,319</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21,053</w:t>
            </w:r>
          </w:p>
        </w:tc>
      </w:tr>
      <w:tr>
        <w:trPr>
          <w:trHeight w:val="203"/>
        </w:trPr>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6,809</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7,221</w:t>
            </w:r>
          </w:p>
        </w:tc>
      </w:tr>
      <w:tr>
        <w:trPr>
          <w:trHeight w:val="208"/>
        </w:trPr>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16,466</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16,466</w:t>
            </w:r>
          </w:p>
        </w:tc>
      </w:tr>
      <w:tr>
        <w:trPr>
          <w:trHeight w:val="195"/>
        </w:trPr>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156,490</w:t>
            </w:r>
          </w:p>
        </w:tc>
        <w:tc>
          <w:tcPr>
            <w:tcW w:w="2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151,459</w:t>
            </w:r>
          </w:p>
        </w:tc>
      </w:tr>
      <w:tr>
        <w:trPr>
          <w:trHeight w:val="422"/>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633,460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628,989</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-2694305</wp:posOffset>
            </wp:positionH>
            <wp:positionV relativeFrom="paragraph">
              <wp:posOffset>-2564130</wp:posOffset>
            </wp:positionV>
            <wp:extent cx="7148195" cy="121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-2321560</wp:posOffset>
            </wp:positionV>
            <wp:extent cx="7148195" cy="1212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-2078355</wp:posOffset>
            </wp:positionV>
            <wp:extent cx="7148195" cy="1212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-1820545</wp:posOffset>
            </wp:positionV>
            <wp:extent cx="7148195" cy="136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48195" cy="13652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-1555115</wp:posOffset>
            </wp:positionV>
            <wp:extent cx="7148195" cy="121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-1311910</wp:posOffset>
            </wp:positionV>
            <wp:extent cx="7148195" cy="121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-1069340</wp:posOffset>
            </wp:positionV>
            <wp:extent cx="7148195" cy="121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-826770</wp:posOffset>
            </wp:positionV>
            <wp:extent cx="7148195" cy="1212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-583565</wp:posOffset>
            </wp:positionV>
            <wp:extent cx="7148195" cy="136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48195" cy="13652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-310515</wp:posOffset>
            </wp:positionV>
            <wp:extent cx="714819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48195" cy="1289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520" w:space="720"/>
            <w:col w:w="7020"/>
          </w:cols>
          <w:pgMar w:left="320" w:top="816" w:right="319" w:bottom="1440" w:gutter="0" w:footer="0" w:header="0"/>
        </w:sectPr>
      </w:pPr>
    </w:p>
    <w:tbl>
      <w:tblPr>
        <w:tblLayout w:type="fixed"/>
        <w:tblInd w:w="0" w:type="dxa"/>
        <w:tblCellMar>
          <w:top w:w="0" w:type="dxa"/>
          <w:left w:w="0" w:type="dxa"/>
          <w:bottom w:w="0" w:type="dxa"/>
          <w:right w:w="0" w:type="dxa"/>
        </w:tblCellMar>
      </w:tblPr>
      <w:tr>
        <w:trPr>
          <w:trHeight w:val="171"/>
        </w:trPr>
        <w:tc>
          <w:tcPr>
            <w:tcW w:w="4520" w:type="dxa"/>
            <w:vAlign w:val="bottom"/>
            <w:shd w:val="clear" w:color="auto" w:fill="CCEEFF"/>
          </w:tcPr>
          <w:p>
            <w:pPr>
              <w:spacing w:after="0"/>
              <w:rPr>
                <w:sz w:val="14"/>
                <w:szCs w:val="14"/>
                <w:color w:val="auto"/>
              </w:rPr>
            </w:pPr>
          </w:p>
        </w:tc>
        <w:tc>
          <w:tcPr>
            <w:tcW w:w="4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4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20"/>
                <w:szCs w:val="20"/>
                <w:color w:val="auto"/>
              </w:rPr>
            </w:pPr>
            <w:r>
              <w:rPr>
                <w:rFonts w:ascii="Arial" w:cs="Arial" w:eastAsia="Arial" w:hAnsi="Arial"/>
                <w:sz w:val="16"/>
                <w:szCs w:val="16"/>
                <w:color w:val="auto"/>
              </w:rPr>
              <w:t>Trade payables</w:t>
            </w:r>
          </w:p>
        </w:tc>
        <w:tc>
          <w:tcPr>
            <w:tcW w:w="4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26,517</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32,016</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Employees and payroll accruals</w:t>
            </w:r>
          </w:p>
        </w:tc>
        <w:tc>
          <w:tcPr>
            <w:tcW w:w="4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16,569</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15,022</w:t>
            </w:r>
          </w:p>
        </w:tc>
        <w:tc>
          <w:tcPr>
            <w:tcW w:w="0" w:type="dxa"/>
            <w:vAlign w:val="bottom"/>
          </w:tcPr>
          <w:p>
            <w:pPr>
              <w:spacing w:after="0"/>
              <w:rPr>
                <w:sz w:val="1"/>
                <w:szCs w:val="1"/>
                <w:color w:val="auto"/>
              </w:rPr>
            </w:pPr>
          </w:p>
        </w:tc>
      </w:tr>
      <w:tr>
        <w:trPr>
          <w:trHeight w:val="191"/>
        </w:trPr>
        <w:tc>
          <w:tcPr>
            <w:tcW w:w="4520" w:type="dxa"/>
            <w:vAlign w:val="bottom"/>
          </w:tcPr>
          <w:p>
            <w:pPr>
              <w:spacing w:after="0"/>
              <w:rPr>
                <w:sz w:val="20"/>
                <w:szCs w:val="20"/>
                <w:color w:val="auto"/>
              </w:rPr>
            </w:pPr>
            <w:r>
              <w:rPr>
                <w:rFonts w:ascii="Arial" w:cs="Arial" w:eastAsia="Arial" w:hAnsi="Arial"/>
                <w:sz w:val="16"/>
                <w:szCs w:val="16"/>
                <w:color w:val="auto"/>
              </w:rPr>
              <w:t>Deferred revenues and advances from customers</w:t>
            </w: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23,647</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27,019</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w:t>
            </w:r>
          </w:p>
        </w:tc>
        <w:tc>
          <w:tcPr>
            <w:tcW w:w="4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3,721</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3,957</w:t>
            </w:r>
          </w:p>
        </w:tc>
        <w:tc>
          <w:tcPr>
            <w:tcW w:w="0" w:type="dxa"/>
            <w:vAlign w:val="bottom"/>
          </w:tcPr>
          <w:p>
            <w:pPr>
              <w:spacing w:after="0"/>
              <w:rPr>
                <w:sz w:val="1"/>
                <w:szCs w:val="1"/>
                <w:color w:val="auto"/>
              </w:rPr>
            </w:pPr>
          </w:p>
        </w:tc>
      </w:tr>
      <w:tr>
        <w:trPr>
          <w:trHeight w:val="207"/>
        </w:trPr>
        <w:tc>
          <w:tcPr>
            <w:tcW w:w="4520" w:type="dxa"/>
            <w:vAlign w:val="bottom"/>
          </w:tcPr>
          <w:p>
            <w:pPr>
              <w:spacing w:after="0"/>
              <w:rPr>
                <w:sz w:val="20"/>
                <w:szCs w:val="20"/>
                <w:color w:val="auto"/>
              </w:rPr>
            </w:pPr>
            <w:r>
              <w:rPr>
                <w:rFonts w:ascii="Arial" w:cs="Arial" w:eastAsia="Arial" w:hAnsi="Arial"/>
                <w:sz w:val="16"/>
                <w:szCs w:val="16"/>
                <w:color w:val="auto"/>
              </w:rPr>
              <w:t>Other payables and accrued expenses</w:t>
            </w:r>
          </w:p>
        </w:tc>
        <w:tc>
          <w:tcPr>
            <w:tcW w:w="4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13,467</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11,613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416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83,921</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89,627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LONG-TERM LIABILITIES:</w:t>
            </w:r>
          </w:p>
        </w:tc>
        <w:tc>
          <w:tcPr>
            <w:tcW w:w="4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20"/>
                <w:szCs w:val="20"/>
                <w:color w:val="auto"/>
              </w:rPr>
            </w:pPr>
            <w:r>
              <w:rPr>
                <w:rFonts w:ascii="Arial" w:cs="Arial" w:eastAsia="Arial" w:hAnsi="Arial"/>
                <w:sz w:val="16"/>
                <w:szCs w:val="16"/>
                <w:color w:val="auto"/>
              </w:rPr>
              <w:t>Accrued severance pay</w:t>
            </w: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1,171</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1,214</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w:t>
            </w:r>
          </w:p>
        </w:tc>
        <w:tc>
          <w:tcPr>
            <w:tcW w:w="4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17,334</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18,688</w:t>
            </w:r>
          </w:p>
        </w:tc>
        <w:tc>
          <w:tcPr>
            <w:tcW w:w="0" w:type="dxa"/>
            <w:vAlign w:val="bottom"/>
          </w:tcPr>
          <w:p>
            <w:pPr>
              <w:spacing w:after="0"/>
              <w:rPr>
                <w:sz w:val="1"/>
                <w:szCs w:val="1"/>
                <w:color w:val="auto"/>
              </w:rPr>
            </w:pPr>
          </w:p>
        </w:tc>
      </w:tr>
      <w:tr>
        <w:trPr>
          <w:trHeight w:val="207"/>
        </w:trPr>
        <w:tc>
          <w:tcPr>
            <w:tcW w:w="452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4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742</w:t>
            </w:r>
          </w:p>
        </w:tc>
        <w:tc>
          <w:tcPr>
            <w:tcW w:w="3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195"/>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long-term liabilities</w:t>
            </w:r>
          </w:p>
        </w:tc>
        <w:tc>
          <w:tcPr>
            <w:tcW w:w="416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19,247</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20,345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SHAREHOLDERS’ EQUITY</w:t>
            </w:r>
          </w:p>
        </w:tc>
        <w:tc>
          <w:tcPr>
            <w:tcW w:w="4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530,292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519,017</w:t>
            </w:r>
          </w:p>
        </w:tc>
        <w:tc>
          <w:tcPr>
            <w:tcW w:w="0" w:type="dxa"/>
            <w:vAlign w:val="bottom"/>
          </w:tcPr>
          <w:p>
            <w:pPr>
              <w:spacing w:after="0"/>
              <w:rPr>
                <w:sz w:val="1"/>
                <w:szCs w:val="1"/>
                <w:color w:val="auto"/>
              </w:rPr>
            </w:pPr>
          </w:p>
        </w:tc>
      </w:tr>
      <w:tr>
        <w:trPr>
          <w:trHeight w:val="191"/>
        </w:trPr>
        <w:tc>
          <w:tcPr>
            <w:tcW w:w="4520" w:type="dxa"/>
            <w:vAlign w:val="bottom"/>
            <w:tcBorders>
              <w:top w:val="single" w:sz="8" w:color="CCEEFF"/>
            </w:tcBorders>
          </w:tcPr>
          <w:p>
            <w:pPr>
              <w:spacing w:after="0"/>
              <w:rPr>
                <w:sz w:val="16"/>
                <w:szCs w:val="16"/>
                <w:color w:val="auto"/>
              </w:rPr>
            </w:pPr>
          </w:p>
        </w:tc>
        <w:tc>
          <w:tcPr>
            <w:tcW w:w="416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 and shareholders’ equity</w:t>
            </w:r>
          </w:p>
        </w:tc>
        <w:tc>
          <w:tcPr>
            <w:tcW w:w="4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633,460</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628,989</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jc w:val="right"/>
              <w:ind w:right="2940"/>
              <w:spacing w:after="0"/>
              <w:rPr>
                <w:sz w:val="20"/>
                <w:szCs w:val="20"/>
                <w:color w:val="auto"/>
              </w:rPr>
            </w:pPr>
            <w:r>
              <w:rPr>
                <w:rFonts w:ascii="Arial" w:cs="Arial" w:eastAsia="Arial" w:hAnsi="Arial"/>
                <w:sz w:val="16"/>
                <w:szCs w:val="16"/>
                <w:color w:val="auto"/>
              </w:rPr>
              <w:t>5</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45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6" w:right="319" w:bottom="1440" w:gutter="0" w:footer="0" w:header="0"/>
          <w:type w:val="continuous"/>
        </w:sectPr>
      </w:pPr>
    </w:p>
    <w:bookmarkStart w:id="10" w:name="page11"/>
    <w:bookmarkEnd w:id="10"/>
    <w:p>
      <w:pPr>
        <w:ind w:left="474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182"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Three Months Ended</w:t>
      </w:r>
    </w:p>
    <w:p>
      <w:pPr>
        <w:spacing w:after="0" w:line="24"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95"/>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80" w:type="dxa"/>
            <w:vAlign w:val="bottom"/>
          </w:tcPr>
          <w:p>
            <w:pPr>
              <w:spacing w:after="0"/>
              <w:rPr>
                <w:sz w:val="20"/>
                <w:szCs w:val="20"/>
                <w:color w:val="auto"/>
              </w:rPr>
            </w:pPr>
            <w:r>
              <w:rPr>
                <w:rFonts w:ascii="Arial" w:cs="Arial" w:eastAsia="Arial" w:hAnsi="Arial"/>
                <w:sz w:val="16"/>
                <w:szCs w:val="16"/>
                <w:color w:val="auto"/>
              </w:rPr>
              <w:t>Revenues</w:t>
            </w: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Products</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57,946</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22,387</w:t>
            </w:r>
          </w:p>
        </w:tc>
        <w:tc>
          <w:tcPr>
            <w:tcW w:w="0" w:type="dxa"/>
            <w:vAlign w:val="bottom"/>
          </w:tcPr>
          <w:p>
            <w:pPr>
              <w:spacing w:after="0"/>
              <w:rPr>
                <w:sz w:val="1"/>
                <w:szCs w:val="1"/>
                <w:color w:val="auto"/>
              </w:rPr>
            </w:pPr>
          </w:p>
        </w:tc>
      </w:tr>
      <w:tr>
        <w:trPr>
          <w:trHeight w:val="207"/>
        </w:trPr>
        <w:tc>
          <w:tcPr>
            <w:tcW w:w="7180" w:type="dxa"/>
            <w:vAlign w:val="bottom"/>
          </w:tcPr>
          <w:p>
            <w:pPr>
              <w:ind w:left="140"/>
              <w:spacing w:after="0"/>
              <w:rPr>
                <w:sz w:val="20"/>
                <w:szCs w:val="20"/>
                <w:color w:val="auto"/>
              </w:rPr>
            </w:pPr>
            <w:r>
              <w:rPr>
                <w:rFonts w:ascii="Arial" w:cs="Arial" w:eastAsia="Arial" w:hAnsi="Arial"/>
                <w:sz w:val="16"/>
                <w:szCs w:val="16"/>
                <w:color w:val="auto"/>
              </w:rPr>
              <w:t>Services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8,177</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3,825</w:t>
            </w:r>
          </w:p>
        </w:tc>
        <w:tc>
          <w:tcPr>
            <w:tcW w:w="0" w:type="dxa"/>
            <w:vAlign w:val="bottom"/>
          </w:tcPr>
          <w:p>
            <w:pPr>
              <w:spacing w:after="0"/>
              <w:rPr>
                <w:sz w:val="1"/>
                <w:szCs w:val="1"/>
                <w:color w:val="auto"/>
              </w:rPr>
            </w:pPr>
          </w:p>
        </w:tc>
      </w:tr>
      <w:tr>
        <w:trPr>
          <w:trHeight w:val="191"/>
        </w:trPr>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15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66,123</w:t>
            </w: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26,212</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8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revenues</w:t>
            </w:r>
          </w:p>
        </w:tc>
        <w:tc>
          <w:tcPr>
            <w:tcW w:w="1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80" w:type="dxa"/>
            <w:vAlign w:val="bottom"/>
          </w:tcPr>
          <w:p>
            <w:pPr>
              <w:ind w:left="140"/>
              <w:spacing w:after="0"/>
              <w:rPr>
                <w:sz w:val="20"/>
                <w:szCs w:val="20"/>
                <w:color w:val="auto"/>
              </w:rPr>
            </w:pPr>
            <w:r>
              <w:rPr>
                <w:rFonts w:ascii="Arial" w:cs="Arial" w:eastAsia="Arial" w:hAnsi="Arial"/>
                <w:sz w:val="16"/>
                <w:szCs w:val="16"/>
                <w:color w:val="auto"/>
              </w:rPr>
              <w:t>Products</w:t>
            </w: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28,175</w:t>
            </w: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12,156</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Services</w:t>
            </w: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7,538</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6,028</w:t>
            </w:r>
          </w:p>
        </w:tc>
        <w:tc>
          <w:tcPr>
            <w:tcW w:w="0" w:type="dxa"/>
            <w:vAlign w:val="bottom"/>
          </w:tcPr>
          <w:p>
            <w:pPr>
              <w:spacing w:after="0"/>
              <w:rPr>
                <w:sz w:val="1"/>
                <w:szCs w:val="1"/>
                <w:color w:val="auto"/>
              </w:rPr>
            </w:pPr>
          </w:p>
        </w:tc>
      </w:tr>
      <w:tr>
        <w:trPr>
          <w:trHeight w:val="179"/>
        </w:trPr>
        <w:tc>
          <w:tcPr>
            <w:tcW w:w="7180" w:type="dxa"/>
            <w:vAlign w:val="bottom"/>
            <w:tcBorders>
              <w:top w:val="single" w:sz="8" w:color="CCEEFF"/>
              <w:bottom w:val="single" w:sz="8" w:color="CCEEFF"/>
            </w:tcBorders>
          </w:tcPr>
          <w:p>
            <w:pPr>
              <w:spacing w:after="0" w:line="175" w:lineRule="exact"/>
              <w:rPr>
                <w:sz w:val="20"/>
                <w:szCs w:val="20"/>
                <w:color w:val="auto"/>
              </w:rPr>
            </w:pPr>
            <w:r>
              <w:rPr>
                <w:rFonts w:ascii="Arial" w:cs="Arial" w:eastAsia="Arial" w:hAnsi="Arial"/>
                <w:sz w:val="16"/>
                <w:szCs w:val="16"/>
                <w:color w:val="auto"/>
              </w:rPr>
              <w:t>Total cost of revenues</w:t>
            </w:r>
          </w:p>
        </w:tc>
        <w:tc>
          <w:tcPr>
            <w:tcW w:w="150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35,713</w:t>
            </w:r>
          </w:p>
        </w:tc>
        <w:tc>
          <w:tcPr>
            <w:tcW w:w="240" w:type="dxa"/>
            <w:vAlign w:val="bottom"/>
            <w:tcBorders>
              <w:top w:val="single" w:sz="8" w:color="CCEEFF"/>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18,184</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180" w:type="dxa"/>
            <w:vAlign w:val="bottom"/>
          </w:tcPr>
          <w:p>
            <w:pPr>
              <w:spacing w:after="0"/>
              <w:rPr>
                <w:sz w:val="20"/>
                <w:szCs w:val="20"/>
                <w:color w:val="auto"/>
              </w:rPr>
            </w:pPr>
            <w:r>
              <w:rPr>
                <w:rFonts w:ascii="Arial" w:cs="Arial" w:eastAsia="Arial" w:hAnsi="Arial"/>
                <w:sz w:val="16"/>
                <w:szCs w:val="16"/>
                <w:color w:val="auto"/>
              </w:rPr>
              <w:t>Gross profit</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30,410</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8,028</w:t>
            </w:r>
          </w:p>
        </w:tc>
        <w:tc>
          <w:tcPr>
            <w:tcW w:w="0" w:type="dxa"/>
            <w:vAlign w:val="bottom"/>
          </w:tcPr>
          <w:p>
            <w:pPr>
              <w:spacing w:after="0"/>
              <w:rPr>
                <w:sz w:val="1"/>
                <w:szCs w:val="1"/>
                <w:color w:val="auto"/>
              </w:rPr>
            </w:pPr>
          </w:p>
        </w:tc>
      </w:tr>
      <w:tr>
        <w:trPr>
          <w:trHeight w:val="191"/>
        </w:trPr>
        <w:tc>
          <w:tcPr>
            <w:tcW w:w="718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80" w:type="dxa"/>
            <w:vAlign w:val="bottom"/>
          </w:tcPr>
          <w:p>
            <w:pPr>
              <w:spacing w:after="0"/>
              <w:rPr>
                <w:sz w:val="20"/>
                <w:szCs w:val="20"/>
                <w:color w:val="auto"/>
              </w:rPr>
            </w:pPr>
            <w:r>
              <w:rPr>
                <w:rFonts w:ascii="Arial" w:cs="Arial" w:eastAsia="Arial" w:hAnsi="Arial"/>
                <w:sz w:val="16"/>
                <w:szCs w:val="16"/>
                <w:color w:val="auto"/>
              </w:rPr>
              <w:t>Operating expenses:</w:t>
            </w: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 net</w:t>
            </w:r>
          </w:p>
        </w:tc>
        <w:tc>
          <w:tcPr>
            <w:tcW w:w="1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9,444</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6,483</w:t>
            </w:r>
          </w:p>
        </w:tc>
        <w:tc>
          <w:tcPr>
            <w:tcW w:w="0" w:type="dxa"/>
            <w:vAlign w:val="bottom"/>
          </w:tcPr>
          <w:p>
            <w:pPr>
              <w:spacing w:after="0"/>
              <w:rPr>
                <w:sz w:val="1"/>
                <w:szCs w:val="1"/>
                <w:color w:val="auto"/>
              </w:rPr>
            </w:pPr>
          </w:p>
        </w:tc>
      </w:tr>
      <w:tr>
        <w:trPr>
          <w:trHeight w:val="191"/>
        </w:trPr>
        <w:tc>
          <w:tcPr>
            <w:tcW w:w="7180" w:type="dxa"/>
            <w:vAlign w:val="bottom"/>
          </w:tcPr>
          <w:p>
            <w:pPr>
              <w:ind w:left="140"/>
              <w:spacing w:after="0"/>
              <w:rPr>
                <w:sz w:val="20"/>
                <w:szCs w:val="20"/>
                <w:color w:val="auto"/>
              </w:rPr>
            </w:pPr>
            <w:r>
              <w:rPr>
                <w:rFonts w:ascii="Arial" w:cs="Arial" w:eastAsia="Arial" w:hAnsi="Arial"/>
                <w:sz w:val="16"/>
                <w:szCs w:val="16"/>
                <w:color w:val="auto"/>
              </w:rPr>
              <w:t>Sales and marketing</w:t>
            </w: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11,049</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8,497</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6,808</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6,070</w:t>
            </w:r>
          </w:p>
        </w:tc>
        <w:tc>
          <w:tcPr>
            <w:tcW w:w="0" w:type="dxa"/>
            <w:vAlign w:val="bottom"/>
          </w:tcPr>
          <w:p>
            <w:pPr>
              <w:spacing w:after="0"/>
              <w:rPr>
                <w:sz w:val="1"/>
                <w:szCs w:val="1"/>
                <w:color w:val="auto"/>
              </w:rPr>
            </w:pPr>
          </w:p>
        </w:tc>
      </w:tr>
      <w:tr>
        <w:trPr>
          <w:trHeight w:val="175"/>
        </w:trPr>
        <w:tc>
          <w:tcPr>
            <w:tcW w:w="718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color w:val="auto"/>
              </w:rPr>
              <w:t>Total operating expenses</w:t>
            </w:r>
          </w:p>
        </w:tc>
        <w:tc>
          <w:tcPr>
            <w:tcW w:w="15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27,301</w:t>
            </w:r>
          </w:p>
        </w:tc>
        <w:tc>
          <w:tcPr>
            <w:tcW w:w="24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21,050</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18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1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3,109</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(13,022)</w:t>
            </w:r>
          </w:p>
        </w:tc>
        <w:tc>
          <w:tcPr>
            <w:tcW w:w="0" w:type="dxa"/>
            <w:vAlign w:val="bottom"/>
          </w:tcPr>
          <w:p>
            <w:pPr>
              <w:spacing w:after="0"/>
              <w:rPr>
                <w:sz w:val="1"/>
                <w:szCs w:val="1"/>
                <w:color w:val="auto"/>
              </w:rPr>
            </w:pPr>
          </w:p>
        </w:tc>
      </w:tr>
      <w:tr>
        <w:trPr>
          <w:trHeight w:val="207"/>
        </w:trPr>
        <w:tc>
          <w:tcPr>
            <w:tcW w:w="7180" w:type="dxa"/>
            <w:vAlign w:val="bottom"/>
          </w:tcPr>
          <w:p>
            <w:pPr>
              <w:spacing w:after="0"/>
              <w:rPr>
                <w:sz w:val="20"/>
                <w:szCs w:val="20"/>
                <w:color w:val="auto"/>
              </w:rPr>
            </w:pPr>
            <w:r>
              <w:rPr>
                <w:rFonts w:ascii="Arial" w:cs="Arial" w:eastAsia="Arial" w:hAnsi="Arial"/>
                <w:sz w:val="16"/>
                <w:szCs w:val="16"/>
                <w:color w:val="auto"/>
              </w:rPr>
              <w:t>Financial income, net</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2,065</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2,205</w:t>
            </w:r>
          </w:p>
        </w:tc>
        <w:tc>
          <w:tcPr>
            <w:tcW w:w="0" w:type="dxa"/>
            <w:vAlign w:val="bottom"/>
          </w:tcPr>
          <w:p>
            <w:pPr>
              <w:spacing w:after="0"/>
              <w:rPr>
                <w:sz w:val="1"/>
                <w:szCs w:val="1"/>
                <w:color w:val="auto"/>
              </w:rPr>
            </w:pPr>
          </w:p>
        </w:tc>
      </w:tr>
      <w:tr>
        <w:trPr>
          <w:trHeight w:val="191"/>
        </w:trPr>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(loss) before taxes on income (tax benefit)</w:t>
            </w:r>
          </w:p>
        </w:tc>
        <w:tc>
          <w:tcPr>
            <w:tcW w:w="15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5,174</w:t>
            </w: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(10,817)</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spacing w:after="0"/>
              <w:rPr>
                <w:sz w:val="20"/>
                <w:szCs w:val="20"/>
                <w:color w:val="auto"/>
              </w:rPr>
            </w:pPr>
            <w:r>
              <w:rPr>
                <w:rFonts w:ascii="Arial" w:cs="Arial" w:eastAsia="Arial" w:hAnsi="Arial"/>
                <w:sz w:val="16"/>
                <w:szCs w:val="16"/>
                <w:color w:val="auto"/>
              </w:rPr>
              <w:t>Taxes on income (Tax benefit)</w:t>
            </w: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Net income (loss)</w:t>
            </w:r>
          </w:p>
        </w:tc>
        <w:tc>
          <w:tcPr>
            <w:tcW w:w="1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7180" w:type="dxa"/>
            <w:vAlign w:val="bottom"/>
            <w:vMerge w:val="continue"/>
          </w:tcPr>
          <w:p>
            <w:pPr>
              <w:spacing w:after="0"/>
              <w:rPr>
                <w:sz w:val="21"/>
                <w:szCs w:val="21"/>
                <w:color w:val="auto"/>
              </w:rPr>
            </w:pPr>
          </w:p>
        </w:tc>
        <w:tc>
          <w:tcPr>
            <w:tcW w:w="1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5,099</w:t>
            </w: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(10,054</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718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7180" w:type="dxa"/>
            <w:vAlign w:val="bottom"/>
          </w:tcPr>
          <w:p>
            <w:pPr>
              <w:spacing w:after="0"/>
              <w:rPr>
                <w:sz w:val="20"/>
                <w:szCs w:val="20"/>
                <w:color w:val="auto"/>
              </w:rPr>
            </w:pPr>
            <w:r>
              <w:rPr>
                <w:rFonts w:ascii="Arial" w:cs="Arial" w:eastAsia="Arial" w:hAnsi="Arial"/>
                <w:sz w:val="16"/>
                <w:szCs w:val="16"/>
                <w:b w:val="1"/>
                <w:bCs w:val="1"/>
                <w:color w:val="auto"/>
              </w:rPr>
              <w:t>Basic earnings (losses) per share</w:t>
            </w:r>
          </w:p>
        </w:tc>
        <w:tc>
          <w:tcPr>
            <w:tcW w:w="1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0.11</w:t>
            </w:r>
          </w:p>
        </w:tc>
        <w:tc>
          <w:tcPr>
            <w:tcW w:w="240" w:type="dxa"/>
            <w:vAlign w:val="bottom"/>
          </w:tcPr>
          <w:p>
            <w:pPr>
              <w:spacing w:after="0"/>
              <w:rPr>
                <w:sz w:val="23"/>
                <w:szCs w:val="23"/>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line="227" w:lineRule="exact"/>
              <w:rPr>
                <w:sz w:val="20"/>
                <w:szCs w:val="20"/>
                <w:color w:val="auto"/>
              </w:rPr>
            </w:pPr>
            <w:r>
              <w:rPr>
                <w:rFonts w:ascii="Arial" w:cs="Arial" w:eastAsia="Arial" w:hAnsi="Arial"/>
                <w:sz w:val="14"/>
                <w:szCs w:val="14"/>
                <w:color w:val="auto"/>
              </w:rPr>
              <w:t>(0.25</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187"/>
        </w:trPr>
        <w:tc>
          <w:tcPr>
            <w:tcW w:w="718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7180" w:type="dxa"/>
            <w:vAlign w:val="bottom"/>
          </w:tcPr>
          <w:p>
            <w:pPr>
              <w:spacing w:after="0"/>
              <w:rPr>
                <w:sz w:val="20"/>
                <w:szCs w:val="20"/>
                <w:color w:val="auto"/>
              </w:rPr>
            </w:pPr>
            <w:r>
              <w:rPr>
                <w:rFonts w:ascii="Arial" w:cs="Arial" w:eastAsia="Arial" w:hAnsi="Arial"/>
                <w:sz w:val="16"/>
                <w:szCs w:val="16"/>
                <w:color w:val="auto"/>
              </w:rPr>
              <w:t>Weighted average number of shares used in computing basic earnings (losses) per share</w:t>
            </w: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46,041,253</w:t>
            </w:r>
          </w:p>
        </w:tc>
        <w:tc>
          <w:tcPr>
            <w:tcW w:w="340" w:type="dxa"/>
            <w:vAlign w:val="bottom"/>
          </w:tcPr>
          <w:p>
            <w:pPr>
              <w:spacing w:after="0"/>
              <w:rPr>
                <w:sz w:val="23"/>
                <w:szCs w:val="2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w w:val="92"/>
              </w:rPr>
              <w:t>40,762,688</w:t>
            </w:r>
          </w:p>
        </w:tc>
        <w:tc>
          <w:tcPr>
            <w:tcW w:w="0" w:type="dxa"/>
            <w:vAlign w:val="bottom"/>
          </w:tcPr>
          <w:p>
            <w:pPr>
              <w:spacing w:after="0"/>
              <w:rPr>
                <w:sz w:val="1"/>
                <w:szCs w:val="1"/>
                <w:color w:val="auto"/>
              </w:rPr>
            </w:pPr>
          </w:p>
        </w:tc>
      </w:tr>
      <w:tr>
        <w:trPr>
          <w:trHeight w:val="187"/>
        </w:trPr>
        <w:tc>
          <w:tcPr>
            <w:tcW w:w="718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7180" w:type="dxa"/>
            <w:vAlign w:val="bottom"/>
          </w:tcPr>
          <w:p>
            <w:pPr>
              <w:spacing w:after="0"/>
              <w:rPr>
                <w:sz w:val="20"/>
                <w:szCs w:val="20"/>
                <w:color w:val="auto"/>
              </w:rPr>
            </w:pPr>
            <w:r>
              <w:rPr>
                <w:rFonts w:ascii="Arial" w:cs="Arial" w:eastAsia="Arial" w:hAnsi="Arial"/>
                <w:sz w:val="16"/>
                <w:szCs w:val="16"/>
                <w:b w:val="1"/>
                <w:bCs w:val="1"/>
                <w:color w:val="auto"/>
              </w:rPr>
              <w:t>Diluted earnings (losses) per share</w:t>
            </w:r>
          </w:p>
        </w:tc>
        <w:tc>
          <w:tcPr>
            <w:tcW w:w="1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0.11</w:t>
            </w:r>
          </w:p>
        </w:tc>
        <w:tc>
          <w:tcPr>
            <w:tcW w:w="240" w:type="dxa"/>
            <w:vAlign w:val="bottom"/>
          </w:tcPr>
          <w:p>
            <w:pPr>
              <w:spacing w:after="0"/>
              <w:rPr>
                <w:sz w:val="23"/>
                <w:szCs w:val="23"/>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line="227" w:lineRule="exact"/>
              <w:rPr>
                <w:sz w:val="20"/>
                <w:szCs w:val="20"/>
                <w:color w:val="auto"/>
              </w:rPr>
            </w:pPr>
            <w:r>
              <w:rPr>
                <w:rFonts w:ascii="Arial" w:cs="Arial" w:eastAsia="Arial" w:hAnsi="Arial"/>
                <w:sz w:val="14"/>
                <w:szCs w:val="14"/>
                <w:color w:val="auto"/>
              </w:rPr>
              <w:t>(0.25</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187"/>
        </w:trPr>
        <w:tc>
          <w:tcPr>
            <w:tcW w:w="718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180" w:type="dxa"/>
            <w:vAlign w:val="bottom"/>
          </w:tcPr>
          <w:p>
            <w:pPr>
              <w:spacing w:after="0"/>
              <w:rPr>
                <w:sz w:val="20"/>
                <w:szCs w:val="20"/>
                <w:color w:val="auto"/>
              </w:rPr>
            </w:pPr>
            <w:r>
              <w:rPr>
                <w:rFonts w:ascii="Arial" w:cs="Arial" w:eastAsia="Arial" w:hAnsi="Arial"/>
                <w:sz w:val="16"/>
                <w:szCs w:val="16"/>
                <w:color w:val="auto"/>
              </w:rPr>
              <w:t>Weighted average number of shares used in computing diluted earnings (losses) per share</w:t>
            </w: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47,568,215</w:t>
            </w:r>
          </w:p>
        </w:tc>
        <w:tc>
          <w:tcPr>
            <w:tcW w:w="3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w w:val="92"/>
              </w:rPr>
              <w:t>40,762,688</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5580"/>
              <w:spacing w:after="0"/>
              <w:rPr>
                <w:sz w:val="20"/>
                <w:szCs w:val="20"/>
                <w:color w:val="auto"/>
              </w:rPr>
            </w:pPr>
            <w:r>
              <w:rPr>
                <w:rFonts w:ascii="Arial" w:cs="Arial" w:eastAsia="Arial" w:hAnsi="Arial"/>
                <w:sz w:val="16"/>
                <w:szCs w:val="16"/>
                <w:color w:val="auto"/>
              </w:rPr>
              <w:t>6</w:t>
            </w:r>
          </w:p>
        </w:tc>
        <w:tc>
          <w:tcPr>
            <w:tcW w:w="1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7180" w:type="dxa"/>
            <w:vAlign w:val="bottom"/>
            <w:tcBorders>
              <w:bottom w:val="single" w:sz="8" w:color="auto"/>
            </w:tcBorders>
            <w:vMerge w:val="continue"/>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6" w:right="319" w:bottom="1440" w:gutter="0" w:footer="0" w:header="0"/>
        </w:sectPr>
      </w:pPr>
    </w:p>
    <w:bookmarkStart w:id="11" w:name="page12"/>
    <w:bookmarkEnd w:id="11"/>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RECONCILATION OF GAAP TO NON-GAAP 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212"/>
        </w:trPr>
        <w:tc>
          <w:tcPr>
            <w:tcW w:w="67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6"/>
                <w:szCs w:val="16"/>
                <w:b w:val="1"/>
                <w:bCs w:val="1"/>
                <w:color w:val="auto"/>
                <w:w w:val="94"/>
              </w:rPr>
              <w:t>March 31,</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7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95"/>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80" w:type="dxa"/>
            <w:vAlign w:val="bottom"/>
            <w:tcBorders>
              <w:bottom w:val="single" w:sz="8" w:color="CCEEFF"/>
            </w:tcBorders>
          </w:tcPr>
          <w:p>
            <w:pPr>
              <w:spacing w:after="0"/>
              <w:rPr>
                <w:sz w:val="16"/>
                <w:szCs w:val="16"/>
                <w:color w:val="auto"/>
              </w:rPr>
            </w:pPr>
          </w:p>
        </w:tc>
        <w:tc>
          <w:tcPr>
            <w:tcW w:w="19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6"/>
                <w:szCs w:val="16"/>
                <w:b w:val="1"/>
                <w:bCs w:val="1"/>
                <w:color w:val="auto"/>
                <w:w w:val="92"/>
              </w:rPr>
              <w:t>(Unaudited)</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GAAP cost of revenues</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35,713</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18,184</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tcPr>
          <w:p>
            <w:pPr>
              <w:spacing w:after="0"/>
              <w:rPr>
                <w:sz w:val="20"/>
                <w:szCs w:val="20"/>
                <w:color w:val="auto"/>
              </w:rPr>
            </w:pPr>
            <w:r>
              <w:rPr>
                <w:rFonts w:ascii="Arial" w:cs="Arial" w:eastAsia="Arial" w:hAnsi="Arial"/>
                <w:sz w:val="16"/>
                <w:szCs w:val="16"/>
                <w:color w:val="auto"/>
              </w:rPr>
              <w:t>Cost of product recorded for share-based compensation (1)</w:t>
            </w: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(299)</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Cost of service recorded for share-based compensation (1)</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(233)</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91"/>
        </w:trPr>
        <w:tc>
          <w:tcPr>
            <w:tcW w:w="6780" w:type="dxa"/>
            <w:vAlign w:val="bottom"/>
          </w:tcPr>
          <w:p>
            <w:pPr>
              <w:spacing w:after="0"/>
              <w:rPr>
                <w:sz w:val="20"/>
                <w:szCs w:val="20"/>
                <w:color w:val="auto"/>
              </w:rPr>
            </w:pPr>
            <w:r>
              <w:rPr>
                <w:rFonts w:ascii="Arial" w:cs="Arial" w:eastAsia="Arial" w:hAnsi="Arial"/>
                <w:sz w:val="16"/>
                <w:szCs w:val="16"/>
                <w:color w:val="auto"/>
              </w:rPr>
              <w:t>Intangible assets amortization on cost of product (2)</w:t>
            </w: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(25)</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amortization on cost of service (2)</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(160)</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6"/>
                <w:szCs w:val="16"/>
                <w:color w:val="auto"/>
              </w:rPr>
              <w:t>COVID-19 one time impact (3)</w:t>
            </w: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4"/>
        </w:trPr>
        <w:tc>
          <w:tcPr>
            <w:tcW w:w="67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cost of revenues</w:t>
            </w:r>
          </w:p>
        </w:tc>
        <w:tc>
          <w:tcPr>
            <w:tcW w:w="19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6780" w:type="dxa"/>
            <w:vAlign w:val="bottom"/>
            <w:vMerge w:val="continue"/>
            <w:shd w:val="clear" w:color="auto" w:fill="CCEEFF"/>
          </w:tcPr>
          <w:p>
            <w:pPr>
              <w:spacing w:after="0"/>
              <w:rPr>
                <w:sz w:val="19"/>
                <w:szCs w:val="19"/>
                <w:color w:val="auto"/>
              </w:rPr>
            </w:pPr>
          </w:p>
        </w:tc>
        <w:tc>
          <w:tcPr>
            <w:tcW w:w="214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34,996</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17,551</w:t>
            </w:r>
          </w:p>
        </w:tc>
        <w:tc>
          <w:tcPr>
            <w:tcW w:w="12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GAAP gross profit</w:t>
            </w:r>
          </w:p>
        </w:tc>
        <w:tc>
          <w:tcPr>
            <w:tcW w:w="214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30,410</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8,028</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6"/>
                <w:szCs w:val="16"/>
                <w:color w:val="auto"/>
              </w:rPr>
              <w:t>Gross profit adjustments</w:t>
            </w: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717</w:t>
            </w: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67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gross profit</w:t>
            </w:r>
          </w:p>
        </w:tc>
        <w:tc>
          <w:tcPr>
            <w:tcW w:w="19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6780" w:type="dxa"/>
            <w:vAlign w:val="bottom"/>
            <w:vMerge w:val="continue"/>
            <w:shd w:val="clear" w:color="auto" w:fill="CCEEFF"/>
          </w:tcPr>
          <w:p>
            <w:pPr>
              <w:spacing w:after="0"/>
              <w:rPr>
                <w:sz w:val="19"/>
                <w:szCs w:val="19"/>
                <w:color w:val="auto"/>
              </w:rPr>
            </w:pPr>
          </w:p>
        </w:tc>
        <w:tc>
          <w:tcPr>
            <w:tcW w:w="214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31,127</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8,661</w:t>
            </w:r>
          </w:p>
        </w:tc>
        <w:tc>
          <w:tcPr>
            <w:tcW w:w="12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GAAP operating expenses</w:t>
            </w:r>
          </w:p>
        </w:tc>
        <w:tc>
          <w:tcPr>
            <w:tcW w:w="214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27,301</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21,050</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tcPr>
          <w:p>
            <w:pPr>
              <w:spacing w:after="0"/>
              <w:rPr>
                <w:sz w:val="20"/>
                <w:szCs w:val="20"/>
                <w:color w:val="auto"/>
              </w:rPr>
            </w:pPr>
            <w:r>
              <w:rPr>
                <w:rFonts w:ascii="Arial" w:cs="Arial" w:eastAsia="Arial" w:hAnsi="Arial"/>
                <w:sz w:val="16"/>
                <w:szCs w:val="16"/>
                <w:color w:val="auto"/>
              </w:rPr>
              <w:t>Share-based compensation (1)</w:t>
            </w: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(2,540)</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(1,744)</w:t>
            </w: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amortization (2)</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(119)</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6"/>
                <w:szCs w:val="16"/>
                <w:color w:val="auto"/>
              </w:rPr>
              <w:t>COVID-19 one time impact (3)</w:t>
            </w: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4"/>
        </w:trPr>
        <w:tc>
          <w:tcPr>
            <w:tcW w:w="67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operating expenses</w:t>
            </w:r>
          </w:p>
        </w:tc>
        <w:tc>
          <w:tcPr>
            <w:tcW w:w="19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6780" w:type="dxa"/>
            <w:vAlign w:val="bottom"/>
            <w:vMerge w:val="continue"/>
            <w:shd w:val="clear" w:color="auto" w:fill="CCEEFF"/>
          </w:tcPr>
          <w:p>
            <w:pPr>
              <w:spacing w:after="0"/>
              <w:rPr>
                <w:sz w:val="19"/>
                <w:szCs w:val="19"/>
                <w:color w:val="auto"/>
              </w:rPr>
            </w:pPr>
          </w:p>
        </w:tc>
        <w:tc>
          <w:tcPr>
            <w:tcW w:w="214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24,642</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19,160</w:t>
            </w:r>
          </w:p>
        </w:tc>
        <w:tc>
          <w:tcPr>
            <w:tcW w:w="12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GAAP Financial income, net</w:t>
            </w:r>
          </w:p>
        </w:tc>
        <w:tc>
          <w:tcPr>
            <w:tcW w:w="214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2,065</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2,205</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6"/>
                <w:szCs w:val="16"/>
                <w:color w:val="auto"/>
              </w:rPr>
              <w:t>Foreign exchange gain associated with ASC 842</w:t>
            </w: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(802)</w:t>
            </w:r>
          </w:p>
        </w:tc>
        <w:tc>
          <w:tcPr>
            <w:tcW w:w="3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4"/>
        </w:trPr>
        <w:tc>
          <w:tcPr>
            <w:tcW w:w="67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Financial income, net</w:t>
            </w:r>
          </w:p>
        </w:tc>
        <w:tc>
          <w:tcPr>
            <w:tcW w:w="19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6780" w:type="dxa"/>
            <w:vAlign w:val="bottom"/>
            <w:vMerge w:val="continue"/>
            <w:shd w:val="clear" w:color="auto" w:fill="CCEEFF"/>
          </w:tcPr>
          <w:p>
            <w:pPr>
              <w:spacing w:after="0"/>
              <w:rPr>
                <w:sz w:val="19"/>
                <w:szCs w:val="19"/>
                <w:color w:val="auto"/>
              </w:rPr>
            </w:pPr>
          </w:p>
        </w:tc>
        <w:tc>
          <w:tcPr>
            <w:tcW w:w="214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1,263</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w:t>
            </w:r>
          </w:p>
        </w:tc>
        <w:tc>
          <w:tcPr>
            <w:tcW w:w="12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GAAP Taxes on income (Tax benefit)</w:t>
            </w:r>
          </w:p>
        </w:tc>
        <w:tc>
          <w:tcPr>
            <w:tcW w:w="214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0" w:type="dxa"/>
            <w:vAlign w:val="bottom"/>
          </w:tcPr>
          <w:p>
            <w:pPr>
              <w:spacing w:after="0"/>
              <w:rPr>
                <w:sz w:val="1"/>
                <w:szCs w:val="1"/>
                <w:color w:val="auto"/>
              </w:rPr>
            </w:pPr>
          </w:p>
        </w:tc>
      </w:tr>
      <w:tr>
        <w:trPr>
          <w:trHeight w:val="191"/>
        </w:trPr>
        <w:tc>
          <w:tcPr>
            <w:tcW w:w="6780" w:type="dxa"/>
            <w:vAlign w:val="bottom"/>
          </w:tcPr>
          <w:p>
            <w:pPr>
              <w:spacing w:after="0"/>
              <w:rPr>
                <w:sz w:val="20"/>
                <w:szCs w:val="20"/>
                <w:color w:val="auto"/>
              </w:rPr>
            </w:pPr>
            <w:r>
              <w:rPr>
                <w:rFonts w:ascii="Arial" w:cs="Arial" w:eastAsia="Arial" w:hAnsi="Arial"/>
                <w:sz w:val="16"/>
                <w:szCs w:val="16"/>
                <w:color w:val="auto"/>
              </w:rPr>
              <w:t>Tax effect on to the above non-GAAP adjustments</w:t>
            </w: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191</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Taxes on income (Tax benefit) (a)</w:t>
            </w:r>
          </w:p>
        </w:tc>
        <w:tc>
          <w:tcPr>
            <w:tcW w:w="1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(248)</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Non-GAAP Taxes on income</w:t>
            </w:r>
          </w:p>
        </w:tc>
        <w:tc>
          <w:tcPr>
            <w:tcW w:w="1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780" w:type="dxa"/>
            <w:vAlign w:val="bottom"/>
            <w:vMerge w:val="continue"/>
          </w:tcPr>
          <w:p>
            <w:pPr>
              <w:spacing w:after="0"/>
              <w:rPr>
                <w:sz w:val="21"/>
                <w:szCs w:val="21"/>
                <w:color w:val="auto"/>
              </w:rPr>
            </w:pPr>
          </w:p>
        </w:tc>
        <w:tc>
          <w:tcPr>
            <w:tcW w:w="214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21"/>
                <w:szCs w:val="21"/>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678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tcPr>
          <w:p>
            <w:pPr>
              <w:spacing w:after="0"/>
              <w:rPr>
                <w:sz w:val="20"/>
                <w:szCs w:val="20"/>
                <w:color w:val="auto"/>
              </w:rPr>
            </w:pPr>
            <w:r>
              <w:rPr>
                <w:rFonts w:ascii="Arial" w:cs="Arial" w:eastAsia="Arial" w:hAnsi="Arial"/>
                <w:sz w:val="16"/>
                <w:szCs w:val="16"/>
                <w:color w:val="auto"/>
              </w:rPr>
              <w:t>GAAP net income (loss)</w:t>
            </w:r>
          </w:p>
        </w:tc>
        <w:tc>
          <w:tcPr>
            <w:tcW w:w="214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5,099</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(10,054)</w:t>
            </w: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(1)</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3,072</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2,108</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tcPr>
          <w:p>
            <w:pPr>
              <w:spacing w:after="0"/>
              <w:rPr>
                <w:sz w:val="20"/>
                <w:szCs w:val="20"/>
                <w:color w:val="auto"/>
              </w:rPr>
            </w:pPr>
            <w:r>
              <w:rPr>
                <w:rFonts w:ascii="Arial" w:cs="Arial" w:eastAsia="Arial" w:hAnsi="Arial"/>
                <w:sz w:val="16"/>
                <w:szCs w:val="16"/>
                <w:color w:val="auto"/>
              </w:rPr>
              <w:t>Intangible assets amortization (2)</w:t>
            </w: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304</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COVID-19 one time impact (3)</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tcPr>
          <w:p>
            <w:pPr>
              <w:spacing w:after="0"/>
              <w:rPr>
                <w:sz w:val="20"/>
                <w:szCs w:val="20"/>
                <w:color w:val="auto"/>
              </w:rPr>
            </w:pPr>
            <w:r>
              <w:rPr>
                <w:rFonts w:ascii="Arial" w:cs="Arial" w:eastAsia="Arial" w:hAnsi="Arial"/>
                <w:sz w:val="16"/>
                <w:szCs w:val="16"/>
                <w:color w:val="auto"/>
              </w:rPr>
              <w:t>Foreign exchange gain associated with ASC 842</w:t>
            </w: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(802)</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Tax effect on to the above non-GAAP adjustments</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(191)</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6"/>
                <w:szCs w:val="16"/>
                <w:color w:val="auto"/>
              </w:rPr>
              <w:t>Deferred taxes on income (Tax benefit) (a)</w:t>
            </w: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248</w:t>
            </w:r>
          </w:p>
        </w:tc>
        <w:tc>
          <w:tcPr>
            <w:tcW w:w="3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(846)</w:t>
            </w:r>
          </w:p>
        </w:tc>
        <w:tc>
          <w:tcPr>
            <w:tcW w:w="0" w:type="dxa"/>
            <w:vAlign w:val="bottom"/>
          </w:tcPr>
          <w:p>
            <w:pPr>
              <w:spacing w:after="0"/>
              <w:rPr>
                <w:sz w:val="1"/>
                <w:szCs w:val="1"/>
                <w:color w:val="auto"/>
              </w:rPr>
            </w:pPr>
          </w:p>
        </w:tc>
      </w:tr>
      <w:tr>
        <w:trPr>
          <w:trHeight w:val="24"/>
        </w:trPr>
        <w:tc>
          <w:tcPr>
            <w:tcW w:w="67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net income (loss)</w:t>
            </w:r>
          </w:p>
        </w:tc>
        <w:tc>
          <w:tcPr>
            <w:tcW w:w="19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9"/>
        </w:trPr>
        <w:tc>
          <w:tcPr>
            <w:tcW w:w="6780" w:type="dxa"/>
            <w:vAlign w:val="bottom"/>
            <w:vMerge w:val="continue"/>
            <w:shd w:val="clear" w:color="auto" w:fill="CCEEFF"/>
          </w:tcPr>
          <w:p>
            <w:pPr>
              <w:spacing w:after="0"/>
              <w:rPr>
                <w:sz w:val="19"/>
                <w:szCs w:val="19"/>
                <w:color w:val="auto"/>
              </w:rPr>
            </w:pPr>
          </w:p>
        </w:tc>
        <w:tc>
          <w:tcPr>
            <w:tcW w:w="214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7,730</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(8,905</w:t>
            </w:r>
          </w:p>
        </w:tc>
        <w:tc>
          <w:tcPr>
            <w:tcW w:w="120" w:type="dxa"/>
            <w:vAlign w:val="bottom"/>
            <w:tcBorders>
              <w:left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GAAP diluted earnings (losses) per share</w:t>
            </w:r>
          </w:p>
        </w:tc>
        <w:tc>
          <w:tcPr>
            <w:tcW w:w="214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line="227" w:lineRule="exact"/>
              <w:rPr>
                <w:sz w:val="20"/>
                <w:szCs w:val="20"/>
                <w:color w:val="auto"/>
              </w:rPr>
            </w:pPr>
            <w:r>
              <w:rPr>
                <w:rFonts w:ascii="Arial" w:cs="Arial" w:eastAsia="Arial" w:hAnsi="Arial"/>
                <w:sz w:val="14"/>
                <w:szCs w:val="14"/>
                <w:color w:val="auto"/>
              </w:rPr>
              <w:t>(0.25</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Non-GAAP diluted earnings (losses) per share</w:t>
            </w:r>
          </w:p>
        </w:tc>
        <w:tc>
          <w:tcPr>
            <w:tcW w:w="214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0.16</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line="227" w:lineRule="exact"/>
              <w:rPr>
                <w:sz w:val="20"/>
                <w:szCs w:val="20"/>
                <w:color w:val="auto"/>
              </w:rPr>
            </w:pPr>
            <w:r>
              <w:rPr>
                <w:rFonts w:ascii="Arial" w:cs="Arial" w:eastAsia="Arial" w:hAnsi="Arial"/>
                <w:sz w:val="14"/>
                <w:szCs w:val="14"/>
                <w:color w:val="auto"/>
              </w:rPr>
              <w:t>(0.22</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shares</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Shares used in computing GAAP diluted net earnings (losses) per share</w:t>
            </w:r>
          </w:p>
        </w:tc>
        <w:tc>
          <w:tcPr>
            <w:tcW w:w="1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47,568,215</w:t>
            </w: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40,762,688</w:t>
            </w:r>
          </w:p>
        </w:tc>
        <w:tc>
          <w:tcPr>
            <w:tcW w:w="12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Shares used in computing Non-GAAP diluted net earnings (losses) per share</w:t>
            </w:r>
          </w:p>
        </w:tc>
        <w:tc>
          <w:tcPr>
            <w:tcW w:w="1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47,692,101</w:t>
            </w: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40,762,688</w:t>
            </w:r>
          </w:p>
        </w:tc>
        <w:tc>
          <w:tcPr>
            <w:tcW w:w="12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(1) Share-based compensation</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tcPr>
          <w:p>
            <w:pPr>
              <w:ind w:left="280"/>
              <w:spacing w:after="0"/>
              <w:rPr>
                <w:sz w:val="20"/>
                <w:szCs w:val="20"/>
                <w:color w:val="auto"/>
              </w:rPr>
            </w:pPr>
            <w:r>
              <w:rPr>
                <w:rFonts w:ascii="Arial" w:cs="Arial" w:eastAsia="Arial" w:hAnsi="Arial"/>
                <w:sz w:val="16"/>
                <w:szCs w:val="16"/>
                <w:color w:val="auto"/>
              </w:rPr>
              <w:t>Cost of product revenues</w:t>
            </w: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299</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Cost of service revenues</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233</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502</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 and marketing</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1,072</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966</w:t>
            </w: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67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67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3,072</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2,108</w:t>
            </w:r>
          </w:p>
        </w:tc>
        <w:tc>
          <w:tcPr>
            <w:tcW w:w="12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(2) Intangible assets amortization</w:t>
            </w:r>
          </w:p>
        </w:tc>
        <w:tc>
          <w:tcPr>
            <w:tcW w:w="1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80" w:type="dxa"/>
            <w:vAlign w:val="bottom"/>
            <w:vMerge w:val="continue"/>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Cost of product revenues</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tcPr>
          <w:p>
            <w:pPr>
              <w:ind w:left="280"/>
              <w:spacing w:after="0"/>
              <w:rPr>
                <w:sz w:val="20"/>
                <w:szCs w:val="20"/>
                <w:color w:val="auto"/>
              </w:rPr>
            </w:pPr>
            <w:r>
              <w:rPr>
                <w:rFonts w:ascii="Arial" w:cs="Arial" w:eastAsia="Arial" w:hAnsi="Arial"/>
                <w:sz w:val="16"/>
                <w:szCs w:val="16"/>
                <w:color w:val="auto"/>
              </w:rPr>
              <w:t>Cost of service revenues</w:t>
            </w: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160</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80"/>
              <w:spacing w:after="0"/>
              <w:rPr>
                <w:sz w:val="20"/>
                <w:szCs w:val="20"/>
                <w:color w:val="auto"/>
              </w:rPr>
            </w:pPr>
            <w:r>
              <w:rPr>
                <w:rFonts w:ascii="Arial" w:cs="Arial" w:eastAsia="Arial" w:hAnsi="Arial"/>
                <w:sz w:val="16"/>
                <w:szCs w:val="16"/>
                <w:color w:val="auto"/>
              </w:rPr>
              <w:t>Selling and marketing</w:t>
            </w: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119</w:t>
            </w: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67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67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304</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(3) COVID-19 one time impact</w:t>
            </w:r>
          </w:p>
        </w:tc>
        <w:tc>
          <w:tcPr>
            <w:tcW w:w="1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80" w:type="dxa"/>
            <w:vAlign w:val="bottom"/>
            <w:vMerge w:val="continue"/>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Cost of product revenues</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tcPr>
          <w:p>
            <w:pPr>
              <w:ind w:left="280"/>
              <w:spacing w:after="0"/>
              <w:rPr>
                <w:sz w:val="20"/>
                <w:szCs w:val="20"/>
                <w:color w:val="auto"/>
              </w:rPr>
            </w:pPr>
            <w:r>
              <w:rPr>
                <w:rFonts w:ascii="Arial" w:cs="Arial" w:eastAsia="Arial" w:hAnsi="Arial"/>
                <w:sz w:val="16"/>
                <w:szCs w:val="16"/>
                <w:color w:val="auto"/>
              </w:rPr>
              <w:t>Cost of service revenues</w:t>
            </w: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tcPr>
          <w:p>
            <w:pPr>
              <w:ind w:left="280"/>
              <w:spacing w:after="0"/>
              <w:rPr>
                <w:sz w:val="20"/>
                <w:szCs w:val="20"/>
                <w:color w:val="auto"/>
              </w:rPr>
            </w:pPr>
            <w:r>
              <w:rPr>
                <w:rFonts w:ascii="Arial" w:cs="Arial" w:eastAsia="Arial" w:hAnsi="Arial"/>
                <w:sz w:val="16"/>
                <w:szCs w:val="16"/>
                <w:color w:val="auto"/>
              </w:rPr>
              <w:t>Selling and marketing</w:t>
            </w: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19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91" w:orient="portrait"/>
          <w:cols w:equalWidth="0" w:num="1">
            <w:col w:w="11260"/>
          </w:cols>
          <w:pgMar w:left="320" w:top="816" w:right="319" w:bottom="0" w:gutter="0" w:footer="0" w:header="0"/>
        </w:sectPr>
      </w:pPr>
    </w:p>
    <w:bookmarkStart w:id="12" w:name="page13"/>
    <w:bookmarkEnd w:id="12"/>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5709285</wp:posOffset>
            </wp:positionH>
            <wp:positionV relativeFrom="page">
              <wp:posOffset>88900</wp:posOffset>
            </wp:positionV>
            <wp:extent cx="157099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570990" cy="7620"/>
                    </a:xfrm>
                    <a:prstGeom prst="rect">
                      <a:avLst/>
                    </a:prstGeom>
                    <a:noFill/>
                  </pic:spPr>
                </pic:pic>
              </a:graphicData>
            </a:graphic>
          </wp:anchor>
        </w:drawing>
        <w:t>(a)  Non cash impact related to the recognition of deferred taxes with respect to carryforward</w:t>
      </w:r>
    </w:p>
    <w:p>
      <w:pPr>
        <w:sectPr>
          <w:pgSz w:w="11900" w:h="16838" w:orient="portrait"/>
          <w:cols w:equalWidth="0" w:num="1">
            <w:col w:w="10139"/>
          </w:cols>
          <w:pgMar w:left="320" w:top="330"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714819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330" w:right="1440" w:bottom="1440" w:gutter="0" w:footer="0" w:header="0"/>
          <w:type w:val="continuous"/>
        </w:sectPr>
      </w:pPr>
    </w:p>
    <w:bookmarkStart w:id="13" w:name="page14"/>
    <w:bookmarkEnd w:id="13"/>
    <w:p>
      <w:pPr>
        <w:jc w:val="center"/>
        <w:ind w:right="2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(U.S. dollars in thousands)</w:t>
      </w:r>
    </w:p>
    <w:p>
      <w:pPr>
        <w:spacing w:after="0" w:line="182"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Three Months Ended</w:t>
      </w:r>
    </w:p>
    <w:p>
      <w:pPr>
        <w:spacing w:after="0" w:line="24"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95"/>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7360" w:type="dxa"/>
            <w:vAlign w:val="bottom"/>
            <w:gridSpan w:val="3"/>
          </w:tcPr>
          <w:p>
            <w:pPr>
              <w:spacing w:after="0" w:line="155" w:lineRule="exact"/>
              <w:rPr>
                <w:sz w:val="20"/>
                <w:szCs w:val="20"/>
                <w:color w:val="auto"/>
              </w:rPr>
            </w:pPr>
            <w:r>
              <w:rPr>
                <w:rFonts w:ascii="Arial" w:cs="Arial" w:eastAsia="Arial" w:hAnsi="Arial"/>
                <w:sz w:val="16"/>
                <w:szCs w:val="16"/>
                <w:color w:val="auto"/>
              </w:rPr>
              <w:t>Cash flows from operating activities:</w:t>
            </w: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3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5,099</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(10,054)</w:t>
            </w:r>
          </w:p>
        </w:tc>
        <w:tc>
          <w:tcPr>
            <w:tcW w:w="0" w:type="dxa"/>
            <w:vAlign w:val="bottom"/>
          </w:tcPr>
          <w:p>
            <w:pPr>
              <w:spacing w:after="0"/>
              <w:rPr>
                <w:sz w:val="1"/>
                <w:szCs w:val="1"/>
                <w:color w:val="auto"/>
              </w:rPr>
            </w:pPr>
          </w:p>
        </w:tc>
      </w:tr>
      <w:tr>
        <w:trPr>
          <w:trHeight w:val="191"/>
        </w:trPr>
        <w:tc>
          <w:tcPr>
            <w:tcW w:w="7360" w:type="dxa"/>
            <w:vAlign w:val="bottom"/>
            <w:gridSpan w:val="3"/>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1,492</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1,101</w:t>
            </w:r>
          </w:p>
        </w:tc>
        <w:tc>
          <w:tcPr>
            <w:tcW w:w="0" w:type="dxa"/>
            <w:vAlign w:val="bottom"/>
          </w:tcPr>
          <w:p>
            <w:pPr>
              <w:spacing w:after="0"/>
              <w:rPr>
                <w:sz w:val="1"/>
                <w:szCs w:val="1"/>
                <w:color w:val="auto"/>
              </w:rPr>
            </w:pPr>
          </w:p>
        </w:tc>
      </w:tr>
      <w:tr>
        <w:trPr>
          <w:trHeight w:val="191"/>
        </w:trPr>
        <w:tc>
          <w:tcPr>
            <w:tcW w:w="7360" w:type="dxa"/>
            <w:vAlign w:val="bottom"/>
            <w:gridSpan w:val="3"/>
          </w:tcPr>
          <w:p>
            <w:pPr>
              <w:ind w:left="140"/>
              <w:spacing w:after="0"/>
              <w:rPr>
                <w:sz w:val="20"/>
                <w:szCs w:val="20"/>
                <w:color w:val="auto"/>
              </w:rPr>
            </w:pPr>
            <w:r>
              <w:rPr>
                <w:rFonts w:ascii="Arial" w:cs="Arial" w:eastAsia="Arial" w:hAnsi="Arial"/>
                <w:sz w:val="16"/>
                <w:szCs w:val="16"/>
                <w:color w:val="auto"/>
              </w:rPr>
              <w:t>Fair value of warrants deducted from revenues</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3,139</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Share-based compensation</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3,072</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2,108</w:t>
            </w:r>
          </w:p>
        </w:tc>
        <w:tc>
          <w:tcPr>
            <w:tcW w:w="0" w:type="dxa"/>
            <w:vAlign w:val="bottom"/>
          </w:tcPr>
          <w:p>
            <w:pPr>
              <w:spacing w:after="0"/>
              <w:rPr>
                <w:sz w:val="1"/>
                <w:szCs w:val="1"/>
                <w:color w:val="auto"/>
              </w:rPr>
            </w:pPr>
          </w:p>
        </w:tc>
      </w:tr>
      <w:tr>
        <w:trPr>
          <w:trHeight w:val="191"/>
        </w:trPr>
        <w:tc>
          <w:tcPr>
            <w:tcW w:w="7360" w:type="dxa"/>
            <w:vAlign w:val="bottom"/>
            <w:gridSpan w:val="3"/>
          </w:tcPr>
          <w:p>
            <w:pPr>
              <w:ind w:left="140"/>
              <w:spacing w:after="0"/>
              <w:rPr>
                <w:sz w:val="20"/>
                <w:szCs w:val="20"/>
                <w:color w:val="auto"/>
              </w:rPr>
            </w:pPr>
            <w:r>
              <w:rPr>
                <w:rFonts w:ascii="Arial" w:cs="Arial" w:eastAsia="Arial" w:hAnsi="Arial"/>
                <w:sz w:val="16"/>
                <w:szCs w:val="16"/>
                <w:color w:val="auto"/>
              </w:rPr>
              <w:t>Amortization of discount on marketable securities</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(817)</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Realized gain on sale of marketable securities</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91"/>
        </w:trPr>
        <w:tc>
          <w:tcPr>
            <w:tcW w:w="7360" w:type="dxa"/>
            <w:vAlign w:val="bottom"/>
            <w:gridSpan w:val="3"/>
          </w:tcPr>
          <w:p>
            <w:pPr>
              <w:spacing w:after="0"/>
              <w:rPr>
                <w:sz w:val="20"/>
                <w:szCs w:val="20"/>
                <w:color w:val="auto"/>
              </w:rPr>
            </w:pPr>
            <w:r>
              <w:rPr>
                <w:rFonts w:ascii="Arial" w:cs="Arial" w:eastAsia="Arial" w:hAnsi="Arial"/>
                <w:sz w:val="16"/>
                <w:szCs w:val="16"/>
                <w:color w:val="auto"/>
              </w:rPr>
              <w:t>Change in operating assets and liabilities:</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Trade receivables, net</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(1,488)</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7,385</w:t>
            </w:r>
          </w:p>
        </w:tc>
        <w:tc>
          <w:tcPr>
            <w:tcW w:w="0" w:type="dxa"/>
            <w:vAlign w:val="bottom"/>
          </w:tcPr>
          <w:p>
            <w:pPr>
              <w:spacing w:after="0"/>
              <w:rPr>
                <w:sz w:val="1"/>
                <w:szCs w:val="1"/>
                <w:color w:val="auto"/>
              </w:rPr>
            </w:pPr>
          </w:p>
        </w:tc>
      </w:tr>
      <w:tr>
        <w:trPr>
          <w:trHeight w:val="191"/>
        </w:trPr>
        <w:tc>
          <w:tcPr>
            <w:tcW w:w="7360" w:type="dxa"/>
            <w:vAlign w:val="bottom"/>
            <w:gridSpan w:val="3"/>
          </w:tcPr>
          <w:p>
            <w:pPr>
              <w:ind w:left="140"/>
              <w:spacing w:after="0"/>
              <w:rPr>
                <w:sz w:val="20"/>
                <w:szCs w:val="20"/>
                <w:color w:val="auto"/>
              </w:rPr>
            </w:pPr>
            <w:r>
              <w:rPr>
                <w:rFonts w:ascii="Arial" w:cs="Arial" w:eastAsia="Arial" w:hAnsi="Arial"/>
                <w:sz w:val="16"/>
                <w:szCs w:val="16"/>
                <w:color w:val="auto"/>
              </w:rPr>
              <w:t>Other accounts receivables and prepaid expenses</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1,550</w:t>
            </w: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(979)</w:t>
            </w: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(672)</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(9,503)</w:t>
            </w:r>
          </w:p>
        </w:tc>
        <w:tc>
          <w:tcPr>
            <w:tcW w:w="0" w:type="dxa"/>
            <w:vAlign w:val="bottom"/>
          </w:tcPr>
          <w:p>
            <w:pPr>
              <w:spacing w:after="0"/>
              <w:rPr>
                <w:sz w:val="1"/>
                <w:szCs w:val="1"/>
                <w:color w:val="auto"/>
              </w:rPr>
            </w:pPr>
          </w:p>
        </w:tc>
      </w:tr>
      <w:tr>
        <w:trPr>
          <w:trHeight w:val="191"/>
        </w:trPr>
        <w:tc>
          <w:tcPr>
            <w:tcW w:w="7360" w:type="dxa"/>
            <w:vAlign w:val="bottom"/>
            <w:gridSpan w:val="3"/>
          </w:tcPr>
          <w:p>
            <w:pPr>
              <w:ind w:left="140"/>
              <w:spacing w:after="0"/>
              <w:rPr>
                <w:sz w:val="20"/>
                <w:szCs w:val="20"/>
                <w:color w:val="auto"/>
              </w:rPr>
            </w:pPr>
            <w:r>
              <w:rPr>
                <w:rFonts w:ascii="Arial" w:cs="Arial" w:eastAsia="Arial" w:hAnsi="Arial"/>
                <w:sz w:val="16"/>
                <w:szCs w:val="16"/>
                <w:color w:val="auto"/>
              </w:rPr>
              <w:t>Operating leases right-of-use assets</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(56)</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Deferred taxes</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(320)</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(1,106)</w:t>
            </w:r>
          </w:p>
        </w:tc>
        <w:tc>
          <w:tcPr>
            <w:tcW w:w="0" w:type="dxa"/>
            <w:vAlign w:val="bottom"/>
          </w:tcPr>
          <w:p>
            <w:pPr>
              <w:spacing w:after="0"/>
              <w:rPr>
                <w:sz w:val="1"/>
                <w:szCs w:val="1"/>
                <w:color w:val="auto"/>
              </w:rPr>
            </w:pPr>
          </w:p>
        </w:tc>
      </w:tr>
      <w:tr>
        <w:trPr>
          <w:trHeight w:val="191"/>
        </w:trPr>
        <w:tc>
          <w:tcPr>
            <w:tcW w:w="7360" w:type="dxa"/>
            <w:vAlign w:val="bottom"/>
            <w:gridSpan w:val="3"/>
          </w:tcPr>
          <w:p>
            <w:pPr>
              <w:ind w:left="140"/>
              <w:spacing w:after="0"/>
              <w:rPr>
                <w:sz w:val="20"/>
                <w:szCs w:val="20"/>
                <w:color w:val="auto"/>
              </w:rPr>
            </w:pPr>
            <w:r>
              <w:rPr>
                <w:rFonts w:ascii="Arial" w:cs="Arial" w:eastAsia="Arial" w:hAnsi="Arial"/>
                <w:sz w:val="16"/>
                <w:szCs w:val="16"/>
                <w:color w:val="auto"/>
              </w:rPr>
              <w:t>Deposits and long-term assets</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(10)</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Trade payables</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(6,056)</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(1,504)</w:t>
            </w:r>
          </w:p>
        </w:tc>
        <w:tc>
          <w:tcPr>
            <w:tcW w:w="0" w:type="dxa"/>
            <w:vAlign w:val="bottom"/>
          </w:tcPr>
          <w:p>
            <w:pPr>
              <w:spacing w:after="0"/>
              <w:rPr>
                <w:sz w:val="1"/>
                <w:szCs w:val="1"/>
                <w:color w:val="auto"/>
              </w:rPr>
            </w:pPr>
          </w:p>
        </w:tc>
      </w:tr>
      <w:tr>
        <w:trPr>
          <w:trHeight w:val="191"/>
        </w:trPr>
        <w:tc>
          <w:tcPr>
            <w:tcW w:w="7360" w:type="dxa"/>
            <w:vAlign w:val="bottom"/>
            <w:gridSpan w:val="3"/>
          </w:tcPr>
          <w:p>
            <w:pPr>
              <w:ind w:left="140"/>
              <w:spacing w:after="0"/>
              <w:rPr>
                <w:sz w:val="20"/>
                <w:szCs w:val="20"/>
                <w:color w:val="auto"/>
              </w:rPr>
            </w:pPr>
            <w:r>
              <w:rPr>
                <w:rFonts w:ascii="Arial" w:cs="Arial" w:eastAsia="Arial" w:hAnsi="Arial"/>
                <w:sz w:val="16"/>
                <w:szCs w:val="16"/>
                <w:color w:val="auto"/>
              </w:rPr>
              <w:t>Operating lease liabilities</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(800)</w:t>
            </w: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Employees and payroll accruals</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2,235</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191"/>
        </w:trPr>
        <w:tc>
          <w:tcPr>
            <w:tcW w:w="7360" w:type="dxa"/>
            <w:vAlign w:val="bottom"/>
            <w:gridSpan w:val="3"/>
          </w:tcPr>
          <w:p>
            <w:pPr>
              <w:ind w:left="140"/>
              <w:spacing w:after="0"/>
              <w:rPr>
                <w:sz w:val="20"/>
                <w:szCs w:val="20"/>
                <w:color w:val="auto"/>
              </w:rPr>
            </w:pPr>
            <w:r>
              <w:rPr>
                <w:rFonts w:ascii="Arial" w:cs="Arial" w:eastAsia="Arial" w:hAnsi="Arial"/>
                <w:sz w:val="16"/>
                <w:szCs w:val="16"/>
                <w:color w:val="auto"/>
              </w:rPr>
              <w:t>Deferred revenues and advances from customers</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(3,372)</w:t>
            </w: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Other payables and accrued expenses</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1,854</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191"/>
        </w:trPr>
        <w:tc>
          <w:tcPr>
            <w:tcW w:w="7360" w:type="dxa"/>
            <w:vAlign w:val="bottom"/>
            <w:gridSpan w:val="3"/>
          </w:tcPr>
          <w:p>
            <w:pPr>
              <w:ind w:left="140"/>
              <w:spacing w:after="0"/>
              <w:rPr>
                <w:sz w:val="20"/>
                <w:szCs w:val="20"/>
                <w:color w:val="auto"/>
              </w:rPr>
            </w:pPr>
            <w:r>
              <w:rPr>
                <w:rFonts w:ascii="Arial" w:cs="Arial" w:eastAsia="Arial" w:hAnsi="Arial"/>
                <w:sz w:val="16"/>
                <w:szCs w:val="16"/>
                <w:color w:val="auto"/>
              </w:rPr>
              <w:t>Accrued severance pay, net</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(30)</w:t>
            </w: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299</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191"/>
        </w:trPr>
        <w:tc>
          <w:tcPr>
            <w:tcW w:w="7360" w:type="dxa"/>
            <w:vAlign w:val="bottom"/>
            <w:gridSpan w:val="3"/>
          </w:tcPr>
          <w:p>
            <w:pPr>
              <w:spacing w:after="0"/>
              <w:rPr>
                <w:sz w:val="20"/>
                <w:szCs w:val="20"/>
                <w:color w:val="auto"/>
              </w:rPr>
            </w:pPr>
            <w:r>
              <w:rPr>
                <w:rFonts w:ascii="Arial" w:cs="Arial" w:eastAsia="Arial" w:hAnsi="Arial"/>
                <w:sz w:val="16"/>
                <w:szCs w:val="16"/>
                <w:color w:val="auto"/>
              </w:rPr>
              <w:t>Loss from sale and disposal of property and Equipment</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Foreign currency translation income (loss) on inter company balances with foreign subsidiaries</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5000" w:type="dxa"/>
            <w:vAlign w:val="bottom"/>
            <w:tcBorders>
              <w:top w:val="single" w:sz="8" w:color="CCEEFF"/>
            </w:tcBorders>
          </w:tcPr>
          <w:p>
            <w:pPr>
              <w:spacing w:after="0"/>
              <w:rPr>
                <w:sz w:val="16"/>
                <w:szCs w:val="16"/>
                <w:color w:val="auto"/>
              </w:rPr>
            </w:pPr>
          </w:p>
        </w:tc>
        <w:tc>
          <w:tcPr>
            <w:tcW w:w="13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cash provided by (used in) operating activities</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5,119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(13,123)</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5000" w:type="dxa"/>
            <w:vAlign w:val="bottom"/>
            <w:tcBorders>
              <w:top w:val="single" w:sz="8" w:color="CCEEFF"/>
            </w:tcBorders>
          </w:tcPr>
          <w:p>
            <w:pPr>
              <w:spacing w:after="0"/>
              <w:rPr>
                <w:sz w:val="16"/>
                <w:szCs w:val="16"/>
                <w:color w:val="auto"/>
              </w:rPr>
            </w:pPr>
          </w:p>
        </w:tc>
        <w:tc>
          <w:tcPr>
            <w:tcW w:w="13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7360" w:type="dxa"/>
            <w:vAlign w:val="bottom"/>
            <w:gridSpan w:val="3"/>
            <w:shd w:val="clear" w:color="auto" w:fill="CCEEFF"/>
          </w:tcPr>
          <w:p>
            <w:pPr>
              <w:spacing w:after="0" w:line="155" w:lineRule="exact"/>
              <w:rPr>
                <w:sz w:val="20"/>
                <w:szCs w:val="20"/>
                <w:color w:val="auto"/>
              </w:rPr>
            </w:pPr>
            <w:r>
              <w:rPr>
                <w:rFonts w:ascii="Arial" w:cs="Arial" w:eastAsia="Arial" w:hAnsi="Arial"/>
                <w:sz w:val="16"/>
                <w:szCs w:val="16"/>
                <w:color w:val="auto"/>
              </w:rPr>
              <w:t>Cash flows from investing activities:</w:t>
            </w:r>
          </w:p>
        </w:tc>
        <w:tc>
          <w:tcPr>
            <w:tcW w:w="1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34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5000" w:type="dxa"/>
            <w:vAlign w:val="bottom"/>
            <w:tcBorders>
              <w:top w:val="single" w:sz="8" w:color="CCEEFF"/>
            </w:tcBorders>
          </w:tcPr>
          <w:p>
            <w:pPr>
              <w:spacing w:after="0"/>
              <w:rPr>
                <w:sz w:val="16"/>
                <w:szCs w:val="16"/>
                <w:color w:val="auto"/>
              </w:rPr>
            </w:pPr>
          </w:p>
        </w:tc>
        <w:tc>
          <w:tcPr>
            <w:tcW w:w="13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Purchase of property, plant and equipment</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(2,567)</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(3,575)</w:t>
            </w:r>
          </w:p>
        </w:tc>
        <w:tc>
          <w:tcPr>
            <w:tcW w:w="0" w:type="dxa"/>
            <w:vAlign w:val="bottom"/>
          </w:tcPr>
          <w:p>
            <w:pPr>
              <w:spacing w:after="0"/>
              <w:rPr>
                <w:sz w:val="1"/>
                <w:szCs w:val="1"/>
                <w:color w:val="auto"/>
              </w:rPr>
            </w:pPr>
          </w:p>
        </w:tc>
      </w:tr>
      <w:tr>
        <w:trPr>
          <w:trHeight w:val="191"/>
        </w:trPr>
        <w:tc>
          <w:tcPr>
            <w:tcW w:w="7360" w:type="dxa"/>
            <w:vAlign w:val="bottom"/>
            <w:gridSpan w:val="3"/>
          </w:tcPr>
          <w:p>
            <w:pPr>
              <w:spacing w:after="0"/>
              <w:rPr>
                <w:sz w:val="20"/>
                <w:szCs w:val="20"/>
                <w:color w:val="auto"/>
              </w:rPr>
            </w:pPr>
            <w:r>
              <w:rPr>
                <w:rFonts w:ascii="Arial" w:cs="Arial" w:eastAsia="Arial" w:hAnsi="Arial"/>
                <w:sz w:val="16"/>
                <w:szCs w:val="16"/>
                <w:color w:val="auto"/>
              </w:rPr>
              <w:t>Acquisition of intangible assets and capitalization of software development costs</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Proceeds from sale of property, plant and equipment</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1"/>
        </w:trPr>
        <w:tc>
          <w:tcPr>
            <w:tcW w:w="7360" w:type="dxa"/>
            <w:vAlign w:val="bottom"/>
            <w:gridSpan w:val="3"/>
          </w:tcPr>
          <w:p>
            <w:pPr>
              <w:spacing w:after="0"/>
              <w:rPr>
                <w:sz w:val="20"/>
                <w:szCs w:val="20"/>
                <w:color w:val="auto"/>
              </w:rPr>
            </w:pPr>
            <w:r>
              <w:rPr>
                <w:rFonts w:ascii="Arial" w:cs="Arial" w:eastAsia="Arial" w:hAnsi="Arial"/>
                <w:sz w:val="16"/>
                <w:szCs w:val="16"/>
                <w:color w:val="auto"/>
              </w:rPr>
              <w:t>Investment in short-term bank deposits</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(18,855)</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13,850</w:t>
            </w: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Proceeds from sale of marketable securities</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20,802</w:t>
            </w:r>
          </w:p>
        </w:tc>
        <w:tc>
          <w:tcPr>
            <w:tcW w:w="0" w:type="dxa"/>
            <w:vAlign w:val="bottom"/>
          </w:tcPr>
          <w:p>
            <w:pPr>
              <w:spacing w:after="0"/>
              <w:rPr>
                <w:sz w:val="1"/>
                <w:szCs w:val="1"/>
                <w:color w:val="auto"/>
              </w:rPr>
            </w:pPr>
          </w:p>
        </w:tc>
      </w:tr>
      <w:tr>
        <w:trPr>
          <w:trHeight w:val="191"/>
        </w:trPr>
        <w:tc>
          <w:tcPr>
            <w:tcW w:w="7360" w:type="dxa"/>
            <w:vAlign w:val="bottom"/>
            <w:gridSpan w:val="3"/>
          </w:tcPr>
          <w:p>
            <w:pPr>
              <w:spacing w:after="0"/>
              <w:rPr>
                <w:sz w:val="20"/>
                <w:szCs w:val="20"/>
                <w:color w:val="auto"/>
              </w:rPr>
            </w:pPr>
            <w:r>
              <w:rPr>
                <w:rFonts w:ascii="Arial" w:cs="Arial" w:eastAsia="Arial" w:hAnsi="Arial"/>
                <w:sz w:val="16"/>
                <w:szCs w:val="16"/>
                <w:color w:val="auto"/>
              </w:rPr>
              <w:t>Proceeds from maturity of marketable securities</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12,102</w:t>
            </w:r>
          </w:p>
        </w:tc>
        <w:tc>
          <w:tcPr>
            <w:tcW w:w="0" w:type="dxa"/>
            <w:vAlign w:val="bottom"/>
          </w:tcPr>
          <w:p>
            <w:pPr>
              <w:spacing w:after="0"/>
              <w:rPr>
                <w:sz w:val="1"/>
                <w:szCs w:val="1"/>
                <w:color w:val="auto"/>
              </w:rPr>
            </w:pPr>
          </w:p>
        </w:tc>
      </w:tr>
      <w:tr>
        <w:trPr>
          <w:trHeight w:val="207"/>
        </w:trPr>
        <w:tc>
          <w:tcPr>
            <w:tcW w:w="7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Investment in marketable securities</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(15,290)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(8,741)</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5000" w:type="dxa"/>
            <w:vAlign w:val="bottom"/>
            <w:tcBorders>
              <w:top w:val="single" w:sz="8" w:color="CCEEFF"/>
            </w:tcBorders>
          </w:tcPr>
          <w:p>
            <w:pPr>
              <w:spacing w:after="0"/>
              <w:rPr>
                <w:sz w:val="16"/>
                <w:szCs w:val="16"/>
                <w:color w:val="auto"/>
              </w:rPr>
            </w:pPr>
          </w:p>
        </w:tc>
        <w:tc>
          <w:tcPr>
            <w:tcW w:w="13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cash provided by (used in) investing activities</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(36,712)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34,361</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5000" w:type="dxa"/>
            <w:vAlign w:val="bottom"/>
            <w:tcBorders>
              <w:top w:val="single" w:sz="8" w:color="CCEEFF"/>
            </w:tcBorders>
          </w:tcPr>
          <w:p>
            <w:pPr>
              <w:spacing w:after="0"/>
              <w:rPr>
                <w:sz w:val="16"/>
                <w:szCs w:val="16"/>
                <w:color w:val="auto"/>
              </w:rPr>
            </w:pPr>
          </w:p>
        </w:tc>
        <w:tc>
          <w:tcPr>
            <w:tcW w:w="13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7360" w:type="dxa"/>
            <w:vAlign w:val="bottom"/>
            <w:gridSpan w:val="3"/>
            <w:shd w:val="clear" w:color="auto" w:fill="CCEEFF"/>
          </w:tcPr>
          <w:p>
            <w:pPr>
              <w:spacing w:after="0" w:line="155" w:lineRule="exact"/>
              <w:rPr>
                <w:sz w:val="20"/>
                <w:szCs w:val="20"/>
                <w:color w:val="auto"/>
              </w:rPr>
            </w:pPr>
            <w:r>
              <w:rPr>
                <w:rFonts w:ascii="Arial" w:cs="Arial" w:eastAsia="Arial" w:hAnsi="Arial"/>
                <w:sz w:val="16"/>
                <w:szCs w:val="16"/>
                <w:color w:val="auto"/>
              </w:rPr>
              <w:t>Cash flows from financing activities:</w:t>
            </w:r>
          </w:p>
        </w:tc>
        <w:tc>
          <w:tcPr>
            <w:tcW w:w="1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3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000" w:type="dxa"/>
            <w:vAlign w:val="bottom"/>
            <w:tcBorders>
              <w:top w:val="single" w:sz="8" w:color="CCEEFF"/>
            </w:tcBorders>
          </w:tcPr>
          <w:p>
            <w:pPr>
              <w:spacing w:after="0"/>
              <w:rPr>
                <w:sz w:val="16"/>
                <w:szCs w:val="16"/>
                <w:color w:val="auto"/>
              </w:rPr>
            </w:pPr>
          </w:p>
        </w:tc>
        <w:tc>
          <w:tcPr>
            <w:tcW w:w="13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Exercise of employee stock options</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675</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1,568</w:t>
            </w:r>
          </w:p>
        </w:tc>
        <w:tc>
          <w:tcPr>
            <w:tcW w:w="0" w:type="dxa"/>
            <w:vAlign w:val="bottom"/>
          </w:tcPr>
          <w:p>
            <w:pPr>
              <w:spacing w:after="0"/>
              <w:rPr>
                <w:sz w:val="1"/>
                <w:szCs w:val="1"/>
                <w:color w:val="auto"/>
              </w:rPr>
            </w:pPr>
          </w:p>
        </w:tc>
      </w:tr>
      <w:tr>
        <w:trPr>
          <w:trHeight w:val="207"/>
        </w:trPr>
        <w:tc>
          <w:tcPr>
            <w:tcW w:w="7360" w:type="dxa"/>
            <w:vAlign w:val="bottom"/>
            <w:gridSpan w:val="3"/>
          </w:tcPr>
          <w:p>
            <w:pPr>
              <w:spacing w:after="0"/>
              <w:rPr>
                <w:sz w:val="20"/>
                <w:szCs w:val="20"/>
                <w:color w:val="auto"/>
              </w:rPr>
            </w:pPr>
            <w:r>
              <w:rPr>
                <w:rFonts w:ascii="Arial" w:cs="Arial" w:eastAsia="Arial" w:hAnsi="Arial"/>
                <w:sz w:val="16"/>
                <w:szCs w:val="16"/>
                <w:color w:val="auto"/>
              </w:rPr>
              <w:t>Payments related to shares withheld for taxes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(688)</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360" w:type="dxa"/>
            <w:vAlign w:val="bottom"/>
            <w:gridSpan w:val="3"/>
          </w:tcPr>
          <w:p>
            <w:pPr>
              <w:spacing w:after="0"/>
              <w:rPr>
                <w:sz w:val="20"/>
                <w:szCs w:val="20"/>
                <w:color w:val="auto"/>
              </w:rPr>
            </w:pPr>
            <w:r>
              <w:rPr>
                <w:rFonts w:ascii="Arial" w:cs="Arial" w:eastAsia="Arial" w:hAnsi="Arial"/>
                <w:sz w:val="16"/>
                <w:szCs w:val="16"/>
                <w:color w:val="auto"/>
              </w:rPr>
              <w:t>Net cash provided by (used in) financing activities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(13)</w:t>
            </w:r>
          </w:p>
        </w:tc>
        <w:tc>
          <w:tcPr>
            <w:tcW w:w="3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1,515</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360" w:type="dxa"/>
            <w:vAlign w:val="bottom"/>
            <w:gridSpan w:val="3"/>
          </w:tcPr>
          <w:p>
            <w:pPr>
              <w:spacing w:after="0"/>
              <w:rPr>
                <w:sz w:val="20"/>
                <w:szCs w:val="20"/>
                <w:color w:val="auto"/>
              </w:rPr>
            </w:pPr>
            <w:r>
              <w:rPr>
                <w:rFonts w:ascii="Arial" w:cs="Arial" w:eastAsia="Arial" w:hAnsi="Arial"/>
                <w:sz w:val="16"/>
                <w:szCs w:val="16"/>
                <w:color w:val="auto"/>
              </w:rPr>
              <w:t>Foreign currency translation adjustments on cash and cash equivalents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1"/>
        </w:trPr>
        <w:tc>
          <w:tcPr>
            <w:tcW w:w="73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Increase (decrease) in cash and cash equivalents</w:t>
            </w:r>
          </w:p>
        </w:tc>
        <w:tc>
          <w:tcPr>
            <w:tcW w:w="13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(31,606)</w:t>
            </w: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22,734</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rPr>
                <w:sz w:val="20"/>
                <w:szCs w:val="20"/>
                <w:color w:val="auto"/>
              </w:rPr>
            </w:pPr>
            <w:r>
              <w:rPr>
                <w:rFonts w:ascii="Arial" w:cs="Arial" w:eastAsia="Arial" w:hAnsi="Arial"/>
                <w:sz w:val="16"/>
                <w:szCs w:val="16"/>
                <w:color w:val="auto"/>
              </w:rPr>
              <w:t>Cash and cash equivalents at the beginning of the period</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125,777</w:t>
            </w:r>
          </w:p>
        </w:tc>
        <w:tc>
          <w:tcPr>
            <w:tcW w:w="34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40,743</w:t>
            </w:r>
          </w:p>
        </w:tc>
        <w:tc>
          <w:tcPr>
            <w:tcW w:w="0" w:type="dxa"/>
            <w:vAlign w:val="bottom"/>
          </w:tcPr>
          <w:p>
            <w:pPr>
              <w:spacing w:after="0"/>
              <w:rPr>
                <w:sz w:val="1"/>
                <w:szCs w:val="1"/>
                <w:color w:val="auto"/>
              </w:rPr>
            </w:pPr>
          </w:p>
        </w:tc>
      </w:tr>
      <w:tr>
        <w:trPr>
          <w:trHeight w:val="24"/>
        </w:trPr>
        <w:tc>
          <w:tcPr>
            <w:tcW w:w="7360" w:type="dxa"/>
            <w:vAlign w:val="bottom"/>
            <w:gridSpan w:val="3"/>
            <w:vMerge w:val="restart"/>
            <w:shd w:val="clear" w:color="auto" w:fill="CCEEFF"/>
          </w:tcPr>
          <w:p>
            <w:pPr>
              <w:spacing w:after="0"/>
              <w:rPr>
                <w:sz w:val="20"/>
                <w:szCs w:val="20"/>
                <w:color w:val="auto"/>
              </w:rPr>
            </w:pPr>
            <w:r>
              <w:rPr>
                <w:rFonts w:ascii="Arial" w:cs="Arial" w:eastAsia="Arial" w:hAnsi="Arial"/>
                <w:sz w:val="16"/>
                <w:szCs w:val="16"/>
                <w:color w:val="auto"/>
              </w:rPr>
              <w:t>Cash and cash equivalents at the end of the period</w:t>
            </w:r>
          </w:p>
        </w:tc>
        <w:tc>
          <w:tcPr>
            <w:tcW w:w="1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7360" w:type="dxa"/>
            <w:vAlign w:val="bottom"/>
            <w:gridSpan w:val="3"/>
            <w:vMerge w:val="continue"/>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94,171</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63,477</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Non-cash investing and financing activities:</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Purchase of property and equipment on credit</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1,477</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1,909</w:t>
            </w:r>
          </w:p>
        </w:tc>
        <w:tc>
          <w:tcPr>
            <w:tcW w:w="0" w:type="dxa"/>
            <w:vAlign w:val="bottom"/>
          </w:tcPr>
          <w:p>
            <w:pPr>
              <w:spacing w:after="0"/>
              <w:rPr>
                <w:sz w:val="1"/>
                <w:szCs w:val="1"/>
                <w:color w:val="auto"/>
              </w:rPr>
            </w:pPr>
          </w:p>
        </w:tc>
      </w:tr>
      <w:tr>
        <w:trPr>
          <w:trHeight w:val="191"/>
        </w:trPr>
        <w:tc>
          <w:tcPr>
            <w:tcW w:w="7360" w:type="dxa"/>
            <w:vAlign w:val="bottom"/>
            <w:gridSpan w:val="3"/>
          </w:tcPr>
          <w:p>
            <w:pPr>
              <w:spacing w:after="0"/>
              <w:rPr>
                <w:sz w:val="20"/>
                <w:szCs w:val="20"/>
                <w:color w:val="auto"/>
              </w:rPr>
            </w:pPr>
            <w:r>
              <w:rPr>
                <w:rFonts w:ascii="Arial" w:cs="Arial" w:eastAsia="Arial" w:hAnsi="Arial"/>
                <w:sz w:val="16"/>
                <w:szCs w:val="16"/>
                <w:color w:val="auto"/>
              </w:rPr>
              <w:t>Inventory transferred to be used as property and equipment</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412</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Property and equipment transferred to be used as inventory</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60" w:type="dxa"/>
            <w:vAlign w:val="bottom"/>
            <w:gridSpan w:val="3"/>
          </w:tcPr>
          <w:p>
            <w:pPr>
              <w:spacing w:after="0"/>
              <w:rPr>
                <w:sz w:val="20"/>
                <w:szCs w:val="20"/>
                <w:color w:val="auto"/>
              </w:rPr>
            </w:pPr>
            <w:r>
              <w:rPr>
                <w:rFonts w:ascii="Arial" w:cs="Arial" w:eastAsia="Arial" w:hAnsi="Arial"/>
                <w:sz w:val="16"/>
                <w:szCs w:val="16"/>
                <w:color w:val="auto"/>
              </w:rPr>
              <w:t>Lease liabilities arising from obtaining right-of-use assets</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263</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1,653</w:t>
            </w: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Capitalization of software development costs</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77"/>
        </w:trPr>
        <w:tc>
          <w:tcPr>
            <w:tcW w:w="7360" w:type="dxa"/>
            <w:vAlign w:val="bottom"/>
            <w:tcBorders>
              <w:bottom w:val="single" w:sz="8" w:color="auto"/>
            </w:tcBorders>
            <w:gridSpan w:val="3"/>
          </w:tcPr>
          <w:p>
            <w:pPr>
              <w:ind w:left="5580"/>
              <w:spacing w:after="0"/>
              <w:rPr>
                <w:sz w:val="20"/>
                <w:szCs w:val="20"/>
                <w:color w:val="auto"/>
              </w:rPr>
            </w:pPr>
            <w:r>
              <w:rPr>
                <w:rFonts w:ascii="Arial" w:cs="Arial" w:eastAsia="Arial" w:hAnsi="Arial"/>
                <w:sz w:val="16"/>
                <w:szCs w:val="16"/>
                <w:color w:val="auto"/>
              </w:rPr>
              <w:t>8</w:t>
            </w: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6" w:right="319" w:bottom="1440" w:gutter="0" w:footer="0" w:header="0"/>
        </w:sectPr>
      </w:pPr>
    </w:p>
    <w:bookmarkStart w:id="14" w:name="page15"/>
    <w:bookmarkEnd w:id="14"/>
    <w:p>
      <w:pPr>
        <w:ind w:left="930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158750</wp:posOffset>
            </wp:positionV>
            <wp:extent cx="7203440" cy="58426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203440" cy="5842635"/>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426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203440" cy="5842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426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203440" cy="5842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426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203440" cy="5842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426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203440" cy="5842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426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203440" cy="5842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426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203440" cy="5842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426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203440" cy="5842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426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203440" cy="5842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426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203440" cy="5842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426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203440" cy="5842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426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203440" cy="5842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426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203440" cy="5842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426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203440" cy="5842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426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203440" cy="5842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426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203440" cy="58426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K"/>
      <w:numFmt w:val="bullet"/>
      <w:start w:val="1"/>
    </w:lvl>
  </w:abstractNum>
  <w:abstractNum w:abstractNumId="1">
    <w:nsid w:val="19495CFF"/>
    <w:multiLevelType w:val="hybridMultilevel"/>
    <w:lvl w:ilvl="0">
      <w:lvlJc w:val="left"/>
      <w:lvlText w:val="(%1)"/>
      <w:numFmt w:val="decimal"/>
      <w:start w:val="21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jpe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14" Type="http://schemas.openxmlformats.org/officeDocument/2006/relationships/hyperlink" Target="http://www.sec.gov/Archives/edgar/data/1625791/000121390020026445/ff3asr2020_kornitdigital.htm" TargetMode="External"/><Relationship Id="rId15" Type="http://schemas.openxmlformats.org/officeDocument/2006/relationships/hyperlink" Target="http://www.sec.gov/Archives/edgar/data/1625791/000161577415000908/s101052_forms8.htm" TargetMode="External"/><Relationship Id="rId16" Type="http://schemas.openxmlformats.org/officeDocument/2006/relationships/hyperlink" Target="http://www.sec.gov/Archives/edgar/data/1625791/000121390016017339/fs82016_kornitdigital.htm" TargetMode="External"/><Relationship Id="rId17" Type="http://schemas.openxmlformats.org/officeDocument/2006/relationships/hyperlink" Target="http://www.sec.gov/Archives/edgar/data/1625791/000121390017003012/fs82017_kornitdigital.htm" TargetMode="External"/><Relationship Id="rId18" Type="http://schemas.openxmlformats.org/officeDocument/2006/relationships/hyperlink" Target="http://www.sec.gov/Archives/edgar/data/1625791/000121390018003205/fs82018_kornitdigital.htm" TargetMode="External"/><Relationship Id="rId19" Type="http://schemas.openxmlformats.org/officeDocument/2006/relationships/hyperlink" Target="http://www.sec.gov/Archives/edgar/data/1625791/000121390019005079/fs82019_kornitdigitalltd.htm" TargetMode="External"/><Relationship Id="rId20" Type="http://schemas.openxmlformats.org/officeDocument/2006/relationships/hyperlink" Target="http://www.sec.gov/Archives/edgar/data/1625791/000121390020007116/ea119827-s8_kornitdigital.htm" TargetMode="External"/><Relationship Id="rId21" Type="http://schemas.openxmlformats.org/officeDocument/2006/relationships/hyperlink" Target="http://www.sec.gov/Archives/edgar/data/1625791/000121390021017777/ea138332-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2021-05-11T13:19:56Z</dcterms:created>
  <dcterms:modified xsi:type="dcterms:W3CDTF">2021-05-11T13:19:56Z</dcterms:modified>
</cp:coreProperties>
</file>