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200"/>
        <w:spacing w:after="0"/>
        <w:rPr>
          <w:sz w:val="20"/>
          <w:szCs w:val="20"/>
          <w:color w:val="auto"/>
        </w:rPr>
      </w:pPr>
      <w:r>
        <w:rPr>
          <w:rFonts w:ascii="Arial" w:cs="Arial" w:eastAsia="Arial" w:hAnsi="Arial"/>
          <w:sz w:val="20"/>
          <w:szCs w:val="20"/>
          <w:b w:val="1"/>
          <w:bCs w:val="1"/>
          <w:color w:val="auto"/>
        </w:rPr>
        <w:t>Washington, D.C. 20549</w:t>
      </w:r>
    </w:p>
    <w:p>
      <w:pPr>
        <w:spacing w:after="0" w:line="175"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August 2017</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001-36903</w:t>
      </w:r>
    </w:p>
    <w:p>
      <w:pPr>
        <w:spacing w:after="0" w:line="198" w:lineRule="exact"/>
        <w:rPr>
          <w:sz w:val="24"/>
          <w:szCs w:val="24"/>
          <w:color w:val="auto"/>
        </w:rPr>
      </w:pPr>
    </w:p>
    <w:p>
      <w:pPr>
        <w:ind w:left="3920"/>
        <w:spacing w:after="0"/>
        <w:rPr>
          <w:sz w:val="20"/>
          <w:szCs w:val="20"/>
          <w:color w:val="auto"/>
        </w:rPr>
      </w:pPr>
      <w:r>
        <w:rPr>
          <w:rFonts w:ascii="Arial" w:cs="Arial" w:eastAsia="Arial" w:hAnsi="Arial"/>
          <w:sz w:val="32"/>
          <w:szCs w:val="32"/>
          <w:b w:val="1"/>
          <w:bCs w:val="1"/>
          <w:color w:val="auto"/>
        </w:rPr>
        <w:t>KORNIT DIGITAL LTD.</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740" w:right="1719" w:hanging="4736"/>
        <w:spacing w:after="0" w:line="233"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490"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On August 7, 2017, Kornit Digital Ltd. issued a press release entitled “Kornit Digital Reports 2017 Second Quarter Results.” A copy of this press release is furnished as Exhibit 99.1 hereto.</w:t>
      </w:r>
    </w:p>
    <w:p>
      <w:pPr>
        <w:spacing w:after="0" w:line="170" w:lineRule="exact"/>
        <w:rPr>
          <w:sz w:val="20"/>
          <w:szCs w:val="20"/>
          <w:color w:val="auto"/>
        </w:rPr>
      </w:pPr>
    </w:p>
    <w:p>
      <w:pPr>
        <w:jc w:val="both"/>
        <w:ind w:firstLine="638"/>
        <w:spacing w:after="0" w:line="312" w:lineRule="auto"/>
        <w:rPr>
          <w:sz w:val="20"/>
          <w:szCs w:val="20"/>
          <w:color w:val="auto"/>
        </w:rPr>
      </w:pPr>
      <w:r>
        <w:rPr>
          <w:rFonts w:ascii="Arial" w:cs="Arial" w:eastAsia="Arial" w:hAnsi="Arial"/>
          <w:sz w:val="16"/>
          <w:szCs w:val="16"/>
          <w:color w:val="auto"/>
        </w:rPr>
        <w:t>The U.S. GAAP financial information contained in the (i) consolidated statements of operations, (ii) consolidated balance sheets and (iii) consolidated statements of cash flows included in the press release attached as Exhibit 99.1 to this Report on Form 6-K is hereby incorporated by reference into the Registrant’s Registration Statements on Form F-3 (File No. 333-215404) and Form S-8 (File No. 333-203970, 333-214015 and 333-217039).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p>
        </w:tc>
        <w:tc>
          <w:tcPr>
            <w:tcW w:w="6920" w:type="dxa"/>
            <w:vAlign w:val="bottom"/>
            <w:gridSpan w:val="2"/>
          </w:tcPr>
          <w:p>
            <w:pPr>
              <w:ind w:left="2940"/>
              <w:spacing w:after="0"/>
              <w:rPr>
                <w:sz w:val="20"/>
                <w:szCs w:val="20"/>
                <w:color w:val="auto"/>
              </w:rPr>
            </w:pPr>
            <w:r>
              <w:rPr>
                <w:rFonts w:ascii="Arial" w:cs="Arial" w:eastAsia="Arial" w:hAnsi="Arial"/>
                <w:sz w:val="18"/>
                <w:szCs w:val="18"/>
                <w:color w:val="auto"/>
              </w:rPr>
              <w:t>KORNIT DIGITAL LTD.</w:t>
            </w:r>
          </w:p>
        </w:tc>
      </w:tr>
      <w:tr>
        <w:trPr>
          <w:trHeight w:val="432"/>
        </w:trPr>
        <w:tc>
          <w:tcPr>
            <w:tcW w:w="4500" w:type="dxa"/>
            <w:vAlign w:val="bottom"/>
          </w:tcPr>
          <w:p>
            <w:pPr>
              <w:spacing w:after="0"/>
              <w:rPr>
                <w:sz w:val="20"/>
                <w:szCs w:val="20"/>
                <w:color w:val="auto"/>
              </w:rPr>
            </w:pPr>
            <w:r>
              <w:rPr>
                <w:rFonts w:ascii="Arial" w:cs="Arial" w:eastAsia="Arial" w:hAnsi="Arial"/>
                <w:sz w:val="18"/>
                <w:szCs w:val="18"/>
                <w:color w:val="auto"/>
              </w:rPr>
              <w:t>Date: August 7, 2017</w:t>
            </w:r>
          </w:p>
        </w:tc>
        <w:tc>
          <w:tcPr>
            <w:tcW w:w="3500" w:type="dxa"/>
            <w:vAlign w:val="bottom"/>
          </w:tcPr>
          <w:p>
            <w:pPr>
              <w:ind w:left="294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Avidan</w:t>
            </w:r>
          </w:p>
        </w:tc>
      </w:tr>
      <w:tr>
        <w:trPr>
          <w:trHeight w:val="195"/>
        </w:trPr>
        <w:tc>
          <w:tcPr>
            <w:tcW w:w="4500" w:type="dxa"/>
            <w:vAlign w:val="bottom"/>
          </w:tcPr>
          <w:p>
            <w:pPr>
              <w:spacing w:after="0"/>
              <w:rPr>
                <w:sz w:val="16"/>
                <w:szCs w:val="16"/>
                <w:color w:val="auto"/>
              </w:rPr>
            </w:pPr>
          </w:p>
        </w:tc>
        <w:tc>
          <w:tcPr>
            <w:tcW w:w="3500" w:type="dxa"/>
            <w:vAlign w:val="bottom"/>
          </w:tcPr>
          <w:p>
            <w:pPr>
              <w:ind w:left="2940"/>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Guy Avidan</w:t>
            </w:r>
          </w:p>
        </w:tc>
      </w:tr>
      <w:tr>
        <w:trPr>
          <w:trHeight w:val="230"/>
        </w:trPr>
        <w:tc>
          <w:tcPr>
            <w:tcW w:w="4500" w:type="dxa"/>
            <w:vAlign w:val="bottom"/>
          </w:tcPr>
          <w:p>
            <w:pPr>
              <w:spacing w:after="0"/>
              <w:rPr>
                <w:sz w:val="20"/>
                <w:szCs w:val="20"/>
                <w:color w:val="auto"/>
              </w:rPr>
            </w:pPr>
          </w:p>
        </w:tc>
        <w:tc>
          <w:tcPr>
            <w:tcW w:w="3500" w:type="dxa"/>
            <w:vAlign w:val="bottom"/>
          </w:tcPr>
          <w:p>
            <w:pPr>
              <w:ind w:left="294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90"/>
        </w:trPr>
        <w:tc>
          <w:tcPr>
            <w:tcW w:w="45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dated August 7, 2017 entitled “Kornit Digital Reports 2017 Second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01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312A25"/>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312A25"/>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209040" cy="7289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904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Kornit Digital Reports 2017 Second Quarter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7" w:lineRule="exact"/>
        <w:rPr>
          <w:sz w:val="20"/>
          <w:szCs w:val="20"/>
          <w:color w:val="auto"/>
        </w:rPr>
      </w:pP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second quarter 2017 revenue of $28.6 million, net of $1.4 million of non-cash customer incentive related to outstanding warrants issued to Amazon.</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second quarter 2017 revenues of $30.0 million, an increase of 25.3% over the prior-year.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Second quarter 2017 GAAP operating loss of $0. 1 million, compared to operating profit of $0.1 million in the prior-year.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Second quarter 2017 non-GAAP operating profit of $2.7 million, compared to $1.0 million in the prior-year.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Second quarter 2017 GAAP net income of $0.2 million, or $0.01 per diluted share; non-GAAP net income of $3.0 million, or $0.09 per diluted share.</w:t>
      </w:r>
    </w:p>
    <w:p>
      <w:pPr>
        <w:spacing w:after="0" w:line="21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Rosh-Ha`Ayin, Israel – August 7, 2017 – </w:t>
      </w:r>
      <w:r>
        <w:rPr>
          <w:rFonts w:ascii="Arial" w:cs="Arial" w:eastAsia="Arial" w:hAnsi="Arial"/>
          <w:sz w:val="18"/>
          <w:szCs w:val="18"/>
          <w:color w:val="auto"/>
        </w:rPr>
        <w:t>Kornit Digital Ltd. (NASDAQ: KRNT), a leading provider of digital printing solutions for the global printed</w:t>
      </w:r>
      <w:r>
        <w:rPr>
          <w:rFonts w:ascii="Arial" w:cs="Arial" w:eastAsia="Arial" w:hAnsi="Arial"/>
          <w:sz w:val="18"/>
          <w:szCs w:val="18"/>
          <w:b w:val="1"/>
          <w:bCs w:val="1"/>
          <w:color w:val="auto"/>
        </w:rPr>
        <w:t xml:space="preserve"> </w:t>
      </w:r>
      <w:r>
        <w:rPr>
          <w:rFonts w:ascii="Arial" w:cs="Arial" w:eastAsia="Arial" w:hAnsi="Arial"/>
          <w:sz w:val="18"/>
          <w:szCs w:val="18"/>
          <w:color w:val="auto"/>
        </w:rPr>
        <w:t>textile industry, today reported results for the second quarter ended June 30, 2017.</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Kornit reported non-GAAP net income of $3.0 million, or $0.09 per diluted share, compared to non-GAAP net income of 0.7 million, or $0.02 per diluted share in 2016. Higher profitability on a non-GAAP basis was the result of 25.3% revenue growth year-over-year, improved gross margin, and improved operating cost efficiencies which were reflected in lower operating expenses as a percentage of sales based on higher revenue levels.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Kornit participated in several industry trade shows, most notably FESPA Hamburg, where Kornit showcased its various products and closed several deals in both DTG and roll-to-roll, leading to an excellent outcome for the EMEA region during the second quarter.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Gabi Seligsohn, Kornit Digital’s Chief Executive Officer commented, “The printed textile market continues to evolve, demanding faster turnaround times and greater optionality. This trend has continued to drive demand for our industrial systems, while high customer utilization rates expand the usage for our inks and consumables. Our strong first half results with 27% non-GAAP revenue growth reflect the market success of our products that support this ongoing evolution in the supply chain”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Seligsohn added, “We also recognized substantial operating leverage in the second quarter as our global infrastructure investments are now running below the pace of revenue growth. This led to a 500 basis point expansion in our non-GAAP operating margin which combined with our revenue growth, nearly tripled our non-GAAP operating profit compared to the second quarter of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Second Quarter Results of Operations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Second quarter GAAP sales for the period which are net of the fair value of the warrants associated with revenues recognized from Amazon were $28.6 million. On a non-GAAP basis, Kornit reported sales of $30.0 million, an increase of 25.3% compared with the prior-year level of $24.0 million. Higher revenues were attributable to an increase across all revenue sources, most notably services which included an increase in system upgrades.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GAAP second quarter gross profit increased 12.6% to $13.2 million, compared with $11.7 million, in the prior-year. Non-GAAP gross profit in the second quarter was $14.7 million, or 49.1% of sales, compared with $11.9 million, or 49.5% of sales in the prior-year.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GAAP operating expenses in the second quarter were $13.2 million, compared to $11.6 million in the prior year period. Non-GAAP operating expenses in the second quarter increased to $12.0 million, or 40.0% of sales, compared to $10.9 million, or 45.4% of sales in the prior year. The decrease in operating expenses as a percentage of sales was consistent with the Company’s previously communicated plans to continue to invest in its global infrastructure buildout, but at a rate slower than revenue growth.</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Second quarter non-GAAP research and development expenses were $4.4 million, or 14.6% of sales, compared to $4.0 million, or 16.8% of sales in the prior-year. Second quarter GAAP research and development expenses were $4.6 million, compared to the prior-year period of $4.1 million.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Second quarter non-GAAP selling and marketing expenses were $4.8 million, or 16.0% of sales, compared to $4.1 million, or 17.3% of sales in the prior-year.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GAAP selling and marketing expenses were $5.3 million, compared to the prior-year period of $4.3 million.</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Second quarter non-GAAP general and administrative expenses were $2.8 million, or 9.4% of sales, compared to $2.7 million, or 11.4% of sales in the prior-year. Second quarter GAAP general and administrative expenses were $3.3 million, compared to the prior-year period of $3.1 million.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Non-GAAP operating profit in the second quarter increased to $2.7 million, compared to $1.0 million in the prior year. As a percent of sales, adjusted operating margin for the second quarter was 9.2% of sales, compared with 4.0% of sales in the prior year. On a GAAP basis, second quarter operating loss was $0.1 million, compared to the prior year period profit of $0.1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Non-GAAP net income for the second quarter of 2017 was $3.0 million, or $0.09 per diluted share, compared to $0.7 million in the prior year period. On a GAAP basis, the Company reported net income of $0.2 million, or $0.01 per diluted share, compared to a net loss of $0.1 million, in the second quarter of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At June 30, 2017, the Company had cash and marketable securities of $89.3 million, and no long-term debt. Cash flow used in operations for the second quarter of 2017 was $(5.7) million, attributable mostly to the increase in accounts receivable and inventory.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2017 Guidance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discuss the details of its guidance live during its earnings conference call, which will be available for replay via webcast at ir.kornit.com.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Information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Gabi Seligsohn, the Company’s Chief Executive Officer, and Guy Avidan, the Company’s Chief Financial Officer, will host a conference call today at 5:00 p.m. ET, or 0:00 a.m. Israel time, to discuss the results, followed by a question and answer session for the investment community. A live webcast of the call can be accessed at ir.kornit.com. To access the call, participants may dial toll-free at 1-888-576-4398 or +1-719-325-4876. The toll-free Israeli number is 1 80 925 8350. The confirmation code is 9490050.</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listen to a telephonic replay of the conference call, dial toll-free 1-844-512-2921 or +1-412-317-6671 (international) and enter confirmation code 9490050. The telephonic replay will be available beginning at 8:00 p.m. ET on Monday, August 7, 2017, and will last through 11:59 p.m. ET on Monday, August 21, 2017. The call will also be available for replay via the webcast link on Kornit’s Investor Relations website.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our success in developing, introducing and selling new or improved products and product enhancements, our ability to consummate sales to large accounts with multi-system delivery plans, our ability to fill orders for our systems, our ability to continue to increase sales of our systems and ink and consumables, our ability to leverage our global infrastructure build-out, the development of the market for digital textile printing, availability of alternative ink, competition, sales concentration, changes to our relationships with suppliers, our success in marketing, and those factors referred to under "Risk Factors" in the company's Annual Report on Form 20-F filed with the U.S. Securities and Exchange Commission on March 30, 2017.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Discussion Disclosure</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Non-GAAP financial measures consist of GAAP financial measures adjusted to exclude the impact of the fair value of warrants deducted from revenues, acquisition related expenses, share-based compensation expenses, amortization of acquired intangible assets and restructuring expenses. The purpose of such adjustments is to give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Kornit Digital (NASDAQ:KRNT)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Revenues, 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Selling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Restructuring expenses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income (expenses), net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Income (loss) before taxes on income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Taxes on income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Basic net income (loss) per share</w:t>
      </w:r>
    </w:p>
    <w:p>
      <w:pPr>
        <w:spacing w:after="0" w:line="34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Weighted average number of shares used in computing basic net income (loss) per share</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Diluted net income (loss) per share</w:t>
      </w:r>
    </w:p>
    <w:p>
      <w:pPr>
        <w:spacing w:after="0" w:line="36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Weighted average number of shares used in computing diluted net income (loss) per share</w:t>
      </w:r>
    </w:p>
    <w:p>
      <w:pPr>
        <w:spacing w:after="0" w:line="20" w:lineRule="exact"/>
        <w:rPr>
          <w:sz w:val="20"/>
          <w:szCs w:val="20"/>
          <w:color w:val="auto"/>
        </w:rPr>
      </w:pPr>
      <w:r>
        <w:rPr>
          <w:sz w:val="20"/>
          <w:szCs w:val="20"/>
          <w:color w:val="auto"/>
        </w:rPr>
        <w:br w:type="column"/>
      </w:r>
    </w:p>
    <w:p>
      <w:pPr>
        <w:ind w:left="114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7" w:lineRule="exact"/>
        <w:rPr>
          <w:sz w:val="20"/>
          <w:szCs w:val="20"/>
          <w:color w:val="auto"/>
        </w:rPr>
      </w:pPr>
    </w:p>
    <w:tbl>
      <w:tblPr>
        <w:tblLayout w:type="fixed"/>
        <w:tblInd w:w="250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250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0"/>
              </w:rPr>
              <w:t>Six Months Ended</w:t>
            </w:r>
          </w:p>
        </w:tc>
        <w:tc>
          <w:tcPr>
            <w:tcW w:w="240" w:type="dxa"/>
            <w:vAlign w:val="bottom"/>
          </w:tcPr>
          <w:p>
            <w:pPr>
              <w:spacing w:after="0"/>
              <w:rPr>
                <w:sz w:val="19"/>
                <w:szCs w:val="19"/>
                <w:color w:val="auto"/>
              </w:rPr>
            </w:pPr>
          </w:p>
        </w:tc>
        <w:tc>
          <w:tcPr>
            <w:tcW w:w="232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93"/>
              </w:rPr>
              <w:t>(Unaudited)</w:t>
            </w: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55,691</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45,787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28,589</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23,952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30,631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23,625</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15,424</w:t>
            </w:r>
          </w:p>
        </w:tc>
        <w:tc>
          <w:tcPr>
            <w:tcW w:w="3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12,260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22,162</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13,165</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11,692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24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9,342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7,896</w:t>
            </w: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4,562</w:t>
            </w:r>
          </w:p>
        </w:tc>
        <w:tc>
          <w:tcPr>
            <w:tcW w:w="36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4,141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10,829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8,772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5,271</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6,138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5,528</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3,301</w:t>
            </w:r>
          </w:p>
        </w:tc>
        <w:tc>
          <w:tcPr>
            <w:tcW w:w="3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36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26,402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22,196</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13,227</w:t>
            </w: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11,567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389</w:t>
            </w:r>
          </w:p>
        </w:tc>
        <w:tc>
          <w:tcPr>
            <w:tcW w:w="36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36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(1,522</w:t>
            </w:r>
          </w:p>
        </w:tc>
        <w:tc>
          <w:tcPr>
            <w:tcW w:w="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(353</w:t>
            </w:r>
          </w:p>
        </w:tc>
        <w:tc>
          <w:tcPr>
            <w:tcW w:w="2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36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(0.05</w:t>
            </w:r>
            <w:r>
              <w:rPr>
                <w:rFonts w:ascii="Arial" w:cs="Arial" w:eastAsia="Arial" w:hAnsi="Arial"/>
                <w:sz w:val="36"/>
                <w:szCs w:val="36"/>
                <w:color w:val="auto"/>
                <w:vertAlign w:val="superscript"/>
              </w:rPr>
              <w:t>)</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r>
              <w:rPr>
                <w:rFonts w:ascii="Arial" w:cs="Arial" w:eastAsia="Arial" w:hAnsi="Arial"/>
                <w:sz w:val="36"/>
                <w:szCs w:val="36"/>
                <w:color w:val="auto"/>
                <w:vertAlign w:val="superscript"/>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(0.00</w:t>
            </w:r>
            <w:r>
              <w:rPr>
                <w:rFonts w:ascii="Arial" w:cs="Arial" w:eastAsia="Arial" w:hAnsi="Arial"/>
                <w:sz w:val="36"/>
                <w:szCs w:val="36"/>
                <w:color w:val="auto"/>
                <w:vertAlign w:val="superscript"/>
              </w:rPr>
              <w:t>)</w:t>
            </w:r>
          </w:p>
        </w:tc>
        <w:tc>
          <w:tcPr>
            <w:tcW w:w="0" w:type="dxa"/>
            <w:vAlign w:val="bottom"/>
          </w:tcPr>
          <w:p>
            <w:pPr>
              <w:spacing w:after="0"/>
              <w:rPr>
                <w:sz w:val="1"/>
                <w:szCs w:val="1"/>
                <w:color w:val="auto"/>
              </w:rPr>
            </w:pP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-2717800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-2426335</wp:posOffset>
            </wp:positionV>
            <wp:extent cx="72466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-2125980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-1851660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-1577340</wp:posOffset>
            </wp:positionV>
            <wp:extent cx="72466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-1276985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-985520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-702310</wp:posOffset>
            </wp:positionV>
            <wp:extent cx="72466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-368300</wp:posOffset>
            </wp:positionV>
            <wp:extent cx="72466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-25400</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274320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840"/>
        <w:spacing w:after="0"/>
        <w:tabs>
          <w:tab w:leader="none" w:pos="4200" w:val="left"/>
          <w:tab w:leader="none" w:pos="5560" w:val="left"/>
          <w:tab w:leader="none" w:pos="6900" w:val="left"/>
        </w:tabs>
        <w:rPr>
          <w:sz w:val="20"/>
          <w:szCs w:val="20"/>
          <w:color w:val="auto"/>
        </w:rPr>
      </w:pPr>
      <w:r>
        <w:rPr>
          <w:rFonts w:ascii="Arial" w:cs="Arial" w:eastAsia="Arial" w:hAnsi="Arial"/>
          <w:sz w:val="18"/>
          <w:szCs w:val="18"/>
          <w:color w:val="auto"/>
        </w:rPr>
        <w:t>33,151,633</w:t>
      </w:r>
      <w:r>
        <w:rPr>
          <w:sz w:val="20"/>
          <w:szCs w:val="20"/>
          <w:color w:val="auto"/>
        </w:rPr>
        <w:tab/>
      </w:r>
      <w:r>
        <w:rPr>
          <w:rFonts w:ascii="Arial" w:cs="Arial" w:eastAsia="Arial" w:hAnsi="Arial"/>
          <w:sz w:val="18"/>
          <w:szCs w:val="18"/>
          <w:color w:val="auto"/>
        </w:rPr>
        <w:t>30,420,165</w:t>
      </w:r>
      <w:r>
        <w:rPr>
          <w:sz w:val="20"/>
          <w:szCs w:val="20"/>
          <w:color w:val="auto"/>
        </w:rPr>
        <w:tab/>
      </w:r>
      <w:r>
        <w:rPr>
          <w:rFonts w:ascii="Arial" w:cs="Arial" w:eastAsia="Arial" w:hAnsi="Arial"/>
          <w:sz w:val="18"/>
          <w:szCs w:val="18"/>
          <w:color w:val="auto"/>
        </w:rPr>
        <w:t>33,658,867</w:t>
      </w:r>
      <w:r>
        <w:rPr>
          <w:sz w:val="20"/>
          <w:szCs w:val="20"/>
          <w:color w:val="auto"/>
        </w:rPr>
        <w:tab/>
      </w:r>
      <w:r>
        <w:rPr>
          <w:rFonts w:ascii="Arial" w:cs="Arial" w:eastAsia="Arial" w:hAnsi="Arial"/>
          <w:sz w:val="16"/>
          <w:szCs w:val="16"/>
          <w:color w:val="auto"/>
        </w:rPr>
        <w:t>30,474,543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14605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left="2500"/>
        <w:spacing w:after="0"/>
        <w:tabs>
          <w:tab w:leader="none" w:pos="3260" w:val="left"/>
          <w:tab w:leader="none" w:pos="3880" w:val="left"/>
          <w:tab w:leader="none" w:pos="4640" w:val="left"/>
          <w:tab w:leader="none" w:pos="5220" w:val="left"/>
          <w:tab w:leader="none" w:pos="6040" w:val="left"/>
          <w:tab w:leader="none" w:pos="6580" w:val="left"/>
          <w:tab w:leader="none" w:pos="7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(0.05</w:t>
      </w:r>
      <w:r>
        <w:rPr>
          <w:rFonts w:ascii="Arial" w:cs="Arial" w:eastAsia="Arial" w:hAnsi="Arial"/>
          <w:sz w:val="36"/>
          <w:szCs w:val="36"/>
          <w:color w:val="auto"/>
          <w:vertAlign w:val="superscript"/>
        </w:rPr>
        <w:t>)</w:t>
      </w:r>
      <w:r>
        <w:rPr>
          <w:rFonts w:ascii="Arial" w:cs="Arial" w:eastAsia="Arial" w:hAnsi="Arial"/>
          <w:sz w:val="18"/>
          <w:szCs w:val="18"/>
          <w:color w:val="auto"/>
        </w:rPr>
        <w:tab/>
        <w:t>$</w:t>
      </w:r>
      <w:r>
        <w:rPr>
          <w:sz w:val="20"/>
          <w:szCs w:val="20"/>
          <w:color w:val="auto"/>
        </w:rPr>
        <w:tab/>
      </w:r>
      <w:r>
        <w:rPr>
          <w:rFonts w:ascii="Arial" w:cs="Arial" w:eastAsia="Arial" w:hAnsi="Arial"/>
          <w:sz w:val="18"/>
          <w:szCs w:val="18"/>
          <w:color w:val="auto"/>
        </w:rPr>
        <w:t>(0.01</w:t>
      </w:r>
      <w:r>
        <w:rPr>
          <w:rFonts w:ascii="Arial" w:cs="Arial" w:eastAsia="Arial" w:hAnsi="Arial"/>
          <w:sz w:val="36"/>
          <w:szCs w:val="36"/>
          <w:color w:val="auto"/>
          <w:vertAlign w:val="superscript"/>
        </w:rPr>
        <w:t>)</w:t>
      </w:r>
      <w:r>
        <w:rPr>
          <w:rFonts w:ascii="Arial" w:cs="Arial" w:eastAsia="Arial" w:hAnsi="Arial"/>
          <w:sz w:val="18"/>
          <w:szCs w:val="18"/>
          <w:color w:val="auto"/>
        </w:rPr>
        <w:tab/>
        <w:t>$</w:t>
      </w:r>
      <w:r>
        <w:rPr>
          <w:sz w:val="20"/>
          <w:szCs w:val="20"/>
          <w:color w:val="auto"/>
        </w:rPr>
        <w:tab/>
      </w:r>
      <w:r>
        <w:rPr>
          <w:rFonts w:ascii="Arial" w:cs="Arial" w:eastAsia="Arial" w:hAnsi="Arial"/>
          <w:sz w:val="18"/>
          <w:szCs w:val="18"/>
          <w:color w:val="auto"/>
        </w:rPr>
        <w:t>0.01</w:t>
        <w:tab/>
        <w:t>$</w:t>
      </w:r>
      <w:r>
        <w:rPr>
          <w:sz w:val="20"/>
          <w:szCs w:val="20"/>
          <w:color w:val="auto"/>
        </w:rPr>
        <w:tab/>
      </w:r>
      <w:r>
        <w:rPr>
          <w:rFonts w:ascii="Arial" w:cs="Arial" w:eastAsia="Arial" w:hAnsi="Arial"/>
          <w:sz w:val="16"/>
          <w:szCs w:val="16"/>
          <w:color w:val="auto"/>
        </w:rPr>
        <w:t>(0.00</w:t>
      </w:r>
      <w:r>
        <w:rPr>
          <w:rFonts w:ascii="Arial" w:cs="Arial" w:eastAsia="Arial" w:hAnsi="Arial"/>
          <w:sz w:val="31"/>
          <w:szCs w:val="3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89535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363855</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-253365</wp:posOffset>
            </wp:positionV>
            <wp:extent cx="724662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2840"/>
        <w:spacing w:after="0"/>
        <w:tabs>
          <w:tab w:leader="none" w:pos="4200" w:val="left"/>
          <w:tab w:leader="none" w:pos="5560" w:val="left"/>
          <w:tab w:leader="none" w:pos="6900" w:val="left"/>
        </w:tabs>
        <w:rPr>
          <w:sz w:val="20"/>
          <w:szCs w:val="20"/>
          <w:color w:val="auto"/>
        </w:rPr>
      </w:pPr>
      <w:r>
        <w:rPr>
          <w:rFonts w:ascii="Arial" w:cs="Arial" w:eastAsia="Arial" w:hAnsi="Arial"/>
          <w:sz w:val="18"/>
          <w:szCs w:val="18"/>
          <w:color w:val="auto"/>
        </w:rPr>
        <w:t>33,151,633</w:t>
      </w:r>
      <w:r>
        <w:rPr>
          <w:sz w:val="20"/>
          <w:szCs w:val="20"/>
          <w:color w:val="auto"/>
        </w:rPr>
        <w:tab/>
      </w:r>
      <w:r>
        <w:rPr>
          <w:rFonts w:ascii="Arial" w:cs="Arial" w:eastAsia="Arial" w:hAnsi="Arial"/>
          <w:sz w:val="18"/>
          <w:szCs w:val="18"/>
          <w:color w:val="auto"/>
        </w:rPr>
        <w:t>30,420,165</w:t>
      </w:r>
      <w:r>
        <w:rPr>
          <w:sz w:val="20"/>
          <w:szCs w:val="20"/>
          <w:color w:val="auto"/>
        </w:rPr>
        <w:tab/>
      </w:r>
      <w:r>
        <w:rPr>
          <w:rFonts w:ascii="Arial" w:cs="Arial" w:eastAsia="Arial" w:hAnsi="Arial"/>
          <w:sz w:val="18"/>
          <w:szCs w:val="18"/>
          <w:color w:val="auto"/>
        </w:rPr>
        <w:t>34,719,784</w:t>
      </w:r>
      <w:r>
        <w:rPr>
          <w:sz w:val="20"/>
          <w:szCs w:val="20"/>
          <w:color w:val="auto"/>
        </w:rPr>
        <w:tab/>
      </w:r>
      <w:r>
        <w:rPr>
          <w:rFonts w:ascii="Arial" w:cs="Arial" w:eastAsia="Arial" w:hAnsi="Arial"/>
          <w:sz w:val="16"/>
          <w:szCs w:val="16"/>
          <w:color w:val="auto"/>
        </w:rPr>
        <w:t>30,474,543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40640</wp:posOffset>
            </wp:positionV>
            <wp:extent cx="332740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27400" cy="1714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692150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2860" w:space="720"/>
            <w:col w:w="7800"/>
          </w:cols>
          <w:pgMar w:left="240" w:top="796"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RECONCILATION OF GAAP TO NON-GAAP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and per share data)</w:t>
      </w:r>
    </w:p>
    <w:p>
      <w:pPr>
        <w:sectPr>
          <w:pgSz w:w="11900" w:h="16838" w:orient="portrait"/>
          <w:cols w:equalWidth="0" w:num="1">
            <w:col w:w="11420"/>
          </w:cols>
          <w:pgMar w:left="240" w:top="796" w:right="239" w:bottom="1440" w:gutter="0" w:footer="0" w:header="0"/>
        </w:sectPr>
      </w:pPr>
    </w:p>
    <w:p>
      <w:pPr>
        <w:spacing w:after="0" w:line="20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6122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5" w:lineRule="exact"/>
        <w:rPr>
          <w:sz w:val="20"/>
          <w:szCs w:val="20"/>
          <w:color w:val="auto"/>
        </w:rPr>
      </w:pPr>
    </w:p>
    <w:p>
      <w:pPr>
        <w:ind w:left="6480"/>
        <w:spacing w:after="0"/>
        <w:tabs>
          <w:tab w:leader="none" w:pos="784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16122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39"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16122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14605</wp:posOffset>
            </wp:positionV>
            <wp:extent cx="157797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5"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31750</wp:posOffset>
            </wp:positionV>
            <wp:extent cx="157797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17145</wp:posOffset>
            </wp:positionV>
            <wp:extent cx="157797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200"/>
          </w:cols>
          <w:pgMar w:left="240" w:top="796" w:right="239" w:bottom="1440" w:gutter="0" w:footer="0" w:header="0"/>
          <w:type w:val="continuous"/>
        </w:sectPr>
      </w:pP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 as reported</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Non-GAAP adjustments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 deducted from revenues (a)</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Expenses recorded for share-based compensation</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768</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expenses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amortization</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Restructuring expenses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5,120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1,675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net income</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GAAP diluted net income per share</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Weighted average number of shares used in computing diluted net income per</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34,702,588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32,006,613</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35,235,330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31,985,387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40" w:hanging="61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Reflects a non cash expense for warrants granted to Amazon that is being accounted for as deduction from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40" w:type="dxa"/>
            <w:vAlign w:val="bottom"/>
          </w:tcPr>
          <w:p>
            <w:pPr>
              <w:jc w:val="center"/>
              <w:ind w:left="2950"/>
              <w:spacing w:after="0"/>
              <w:rPr>
                <w:sz w:val="20"/>
                <w:szCs w:val="20"/>
                <w:color w:val="auto"/>
              </w:rPr>
            </w:pPr>
            <w:r>
              <w:rPr>
                <w:rFonts w:ascii="Arial" w:cs="Arial" w:eastAsia="Arial" w:hAnsi="Arial"/>
                <w:sz w:val="18"/>
                <w:szCs w:val="18"/>
                <w:b w:val="1"/>
                <w:bCs w:val="1"/>
                <w:color w:val="auto"/>
              </w:rPr>
              <w:t>KORNIT DIGITAL LTD.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jc w:val="center"/>
              <w:ind w:left="2970"/>
              <w:spacing w:after="0"/>
              <w:rPr>
                <w:sz w:val="20"/>
                <w:szCs w:val="20"/>
                <w:color w:val="auto"/>
              </w:rPr>
            </w:pPr>
            <w:r>
              <w:rPr>
                <w:rFonts w:ascii="Arial" w:cs="Arial" w:eastAsia="Arial" w:hAnsi="Arial"/>
                <w:sz w:val="18"/>
                <w:szCs w:val="18"/>
                <w:b w:val="1"/>
                <w:bCs w:val="1"/>
                <w:color w:val="auto"/>
                <w:w w:val="99"/>
              </w:rPr>
              <w:t>AND ITS SUBSIDIARIES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jc w:val="center"/>
              <w:ind w:left="2950"/>
              <w:spacing w:after="0"/>
              <w:rPr>
                <w:sz w:val="20"/>
                <w:szCs w:val="20"/>
                <w:color w:val="auto"/>
              </w:rPr>
            </w:pPr>
            <w:r>
              <w:rPr>
                <w:rFonts w:ascii="Arial" w:cs="Arial" w:eastAsia="Arial" w:hAnsi="Arial"/>
                <w:sz w:val="18"/>
                <w:szCs w:val="18"/>
                <w:b w:val="1"/>
                <w:bCs w:val="1"/>
                <w:color w:val="auto"/>
              </w:rPr>
              <w:t>CONDENSED CONSOLIDATED BALANCE SHEETS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tcPr>
          <w:p>
            <w:pPr>
              <w:jc w:val="center"/>
              <w:ind w:left="2970"/>
              <w:spacing w:after="0"/>
              <w:rPr>
                <w:sz w:val="20"/>
                <w:szCs w:val="20"/>
                <w:color w:val="auto"/>
              </w:rPr>
            </w:pPr>
            <w:r>
              <w:rPr>
                <w:rFonts w:ascii="Arial" w:cs="Arial" w:eastAsia="Arial" w:hAnsi="Arial"/>
                <w:sz w:val="18"/>
                <w:szCs w:val="18"/>
                <w:b w:val="1"/>
                <w:bCs w:val="1"/>
                <w:color w:val="auto"/>
                <w:w w:val="89"/>
              </w:rPr>
              <w:t>(U.S. dollars in thousands)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20"/>
                <w:szCs w:val="20"/>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25,707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marketable securities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Trade receivables,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29,193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receivables and prepaid expenses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Inventory</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32,880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Available for sale marketable securities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60,955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Severance pay fund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11,204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long-term assets</w:t>
            </w:r>
          </w:p>
        </w:tc>
        <w:tc>
          <w:tcPr>
            <w:tcW w:w="4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81,549</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41,262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Total assets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174,977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140,046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Trade payables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14,440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Employees and payroll accruals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Deferred revenues and advances from customers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 payables and accrued expenses</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liabilities</w:t>
            </w:r>
          </w:p>
        </w:tc>
        <w:tc>
          <w:tcPr>
            <w:tcW w:w="4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26,201</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30,133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LONG-TERM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Payment obligation related to acquisition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146,579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174,977</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8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13"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0"/>
              </w:rPr>
              <w:t>Six Months Ended</w:t>
            </w:r>
          </w:p>
        </w:tc>
        <w:tc>
          <w:tcPr>
            <w:tcW w:w="240" w:type="dxa"/>
            <w:vAlign w:val="bottom"/>
          </w:tcPr>
          <w:p>
            <w:pPr>
              <w:spacing w:after="0"/>
              <w:rPr>
                <w:sz w:val="19"/>
                <w:szCs w:val="19"/>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93"/>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w w:val="91"/>
              </w:rPr>
              <w:t>Adjustments to reconcile net income (loss) to net cash used in operating activities: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Fair value of warrants deducted from revenues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2,352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1,414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Amortization of premium on marketable securities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accrued severance pay, net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Decrease (increase) in trade receivables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(3,560)</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(4,332)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 other receivables and prepaid expenses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Increase in inventory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(8,652)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(5,003)</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(2,716)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deferred taxes, net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Decrease (increase) in other long term assets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trade payables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Increase (decrease) in employees and payroll accruals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(1,087)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deferred revenues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Increase (decrease) in other payables and accrued expenses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852</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(755)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other long term liabilities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Loss from sale of property and equipment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Foreign currency translation gain (loss) on inter company balances with foreign</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subsidiaries</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3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Proceeds from bank deposits, net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3,999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sale of marketable securities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38,283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Proceeds from maturity of marketable securities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6,740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(70,648)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(7,131)</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(22,520)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gridSpan w:val="3"/>
          </w:tcPr>
          <w:p>
            <w:pPr>
              <w:spacing w:after="0" w:line="203" w:lineRule="exact"/>
              <w:rPr>
                <w:sz w:val="20"/>
                <w:szCs w:val="20"/>
                <w:color w:val="auto"/>
              </w:rPr>
            </w:pPr>
            <w:r>
              <w:rPr>
                <w:rFonts w:ascii="Arial" w:cs="Arial" w:eastAsia="Arial" w:hAnsi="Arial"/>
                <w:sz w:val="18"/>
                <w:szCs w:val="18"/>
                <w:color w:val="auto"/>
              </w:rPr>
              <w:t>Net cash provided by (used in) investing activities</w:t>
            </w: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(29,056</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(642</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15,227</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secondary offering</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Payment of deferred issuance cost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 of employee stock options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Payment of contingent consideration</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35,018</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adjustments on cash and cash equivalents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(7,161)</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9,852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Cash and cash equivalents at the end of the period</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9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25,707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11,309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25,707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11,309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Non-cash investing and financing activities: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Purchase of property and equipment on credit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863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Inventory transferred to be used as property and equipment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013" w:right="239" w:bottom="45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03"/>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2019-12-08T00:44:14Z</dcterms:created>
  <dcterms:modified xsi:type="dcterms:W3CDTF">2019-12-08T00:44:14Z</dcterms:modified>
</cp:coreProperties>
</file>