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1760" w:right="1739"/>
        <w:spacing w:after="0" w:line="282" w:lineRule="auto"/>
        <w:rPr>
          <w:sz w:val="20"/>
          <w:szCs w:val="20"/>
          <w:color w:val="auto"/>
        </w:rPr>
      </w:pPr>
      <w:r>
        <w:rPr>
          <w:rFonts w:ascii="Arial" w:cs="Arial" w:eastAsia="Arial" w:hAnsi="Arial"/>
          <w:sz w:val="18"/>
          <w:szCs w:val="18"/>
          <w:b w:val="1"/>
          <w:bCs w:val="1"/>
          <w:color w:val="auto"/>
        </w:rPr>
        <w:t>As filed with the Securities and Exchange Commission on June 11, 2019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20320</wp:posOffset>
            </wp:positionV>
            <wp:extent cx="514540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62865</wp:posOffset>
            </wp:positionV>
            <wp:extent cx="51454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2603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3820" w:type="dxa"/>
            <w:vAlign w:val="bottom"/>
            <w:gridSpan w:val="2"/>
          </w:tcPr>
          <w:p>
            <w:pPr>
              <w:ind w:left="1640"/>
              <w:spacing w:after="0"/>
              <w:rPr>
                <w:sz w:val="20"/>
                <w:szCs w:val="20"/>
                <w:color w:val="auto"/>
              </w:rPr>
            </w:pPr>
            <w:r>
              <w:rPr>
                <w:rFonts w:ascii="Arial" w:cs="Arial" w:eastAsia="Arial" w:hAnsi="Arial"/>
                <w:sz w:val="18"/>
                <w:szCs w:val="18"/>
                <w:b w:val="1"/>
                <w:bCs w:val="1"/>
                <w:color w:val="auto"/>
              </w:rPr>
              <w:t>Israel</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8"/>
              </w:rPr>
              <w:t>None</w:t>
            </w:r>
          </w:p>
        </w:tc>
        <w:tc>
          <w:tcPr>
            <w:tcW w:w="0" w:type="dxa"/>
            <w:vAlign w:val="bottom"/>
          </w:tcPr>
          <w:p>
            <w:pPr>
              <w:spacing w:after="0"/>
              <w:rPr>
                <w:sz w:val="1"/>
                <w:szCs w:val="1"/>
                <w:color w:val="auto"/>
              </w:rPr>
            </w:pPr>
          </w:p>
        </w:tc>
      </w:tr>
      <w:tr>
        <w:trPr>
          <w:trHeight w:val="41"/>
        </w:trPr>
        <w:tc>
          <w:tcPr>
            <w:tcW w:w="37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740" w:type="dxa"/>
            <w:vAlign w:val="bottom"/>
          </w:tcPr>
          <w:p>
            <w:pPr>
              <w:ind w:left="800"/>
              <w:spacing w:after="0" w:line="195" w:lineRule="exact"/>
              <w:rPr>
                <w:sz w:val="20"/>
                <w:szCs w:val="20"/>
                <w:color w:val="auto"/>
              </w:rPr>
            </w:pPr>
            <w:r>
              <w:rPr>
                <w:rFonts w:ascii="Arial" w:cs="Arial" w:eastAsia="Arial" w:hAnsi="Arial"/>
                <w:sz w:val="18"/>
                <w:szCs w:val="18"/>
                <w:color w:val="auto"/>
              </w:rPr>
              <w:t>(State or other jurisdiction of</w:t>
            </w:r>
          </w:p>
        </w:tc>
        <w:tc>
          <w:tcPr>
            <w:tcW w:w="80" w:type="dxa"/>
            <w:vAlign w:val="bottom"/>
            <w:vMerge w:val="continue"/>
          </w:tcPr>
          <w:p>
            <w:pPr>
              <w:spacing w:after="0"/>
              <w:rPr>
                <w:sz w:val="16"/>
                <w:szCs w:val="16"/>
                <w:color w:val="auto"/>
              </w:rPr>
            </w:pPr>
          </w:p>
        </w:tc>
        <w:tc>
          <w:tcPr>
            <w:tcW w:w="3020" w:type="dxa"/>
            <w:vAlign w:val="bottom"/>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820" w:type="dxa"/>
            <w:vAlign w:val="bottom"/>
            <w:gridSpan w:val="2"/>
          </w:tcPr>
          <w:p>
            <w:pPr>
              <w:ind w:left="780"/>
              <w:spacing w:after="0"/>
              <w:rPr>
                <w:sz w:val="20"/>
                <w:szCs w:val="20"/>
                <w:color w:val="auto"/>
              </w:rPr>
            </w:pPr>
            <w:r>
              <w:rPr>
                <w:rFonts w:ascii="Arial" w:cs="Arial" w:eastAsia="Arial" w:hAnsi="Arial"/>
                <w:sz w:val="18"/>
                <w:szCs w:val="18"/>
                <w:color w:val="auto"/>
              </w:rPr>
              <w:t>incorporation or organization)</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 Ha’Ayin 4802946,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+972-3-908-5800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North America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480 South Dean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Englewood, NJ 07631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(888) 456-7648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Copies of all communications, including communications sent to agent for service, should be sent to:</w:t>
      </w:r>
    </w:p>
    <w:p>
      <w:pPr>
        <w:spacing w:after="0" w:line="208" w:lineRule="exact"/>
        <w:rPr>
          <w:sz w:val="24"/>
          <w:szCs w:val="24"/>
          <w:color w:val="auto"/>
        </w:rPr>
      </w:pPr>
    </w:p>
    <w:tbl>
      <w:tblPr>
        <w:tblLayout w:type="fixed"/>
        <w:tblInd w:w="1340" w:type="dxa"/>
        <w:tblCellMar>
          <w:top w:w="0" w:type="dxa"/>
          <w:left w:w="0" w:type="dxa"/>
          <w:bottom w:w="0" w:type="dxa"/>
          <w:right w:w="0" w:type="dxa"/>
        </w:tblCellMar>
      </w:tblPr>
      <w:tr>
        <w:trPr>
          <w:trHeight w:val="216"/>
        </w:trPr>
        <w:tc>
          <w:tcPr>
            <w:tcW w:w="23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Colin J. Diamond, Esq.</w:t>
            </w:r>
          </w:p>
        </w:tc>
        <w:tc>
          <w:tcPr>
            <w:tcW w:w="4260" w:type="dxa"/>
            <w:vAlign w:val="bottom"/>
          </w:tcPr>
          <w:p>
            <w:pPr>
              <w:jc w:val="center"/>
              <w:ind w:left="1410"/>
              <w:spacing w:after="0"/>
              <w:rPr>
                <w:sz w:val="20"/>
                <w:szCs w:val="20"/>
                <w:color w:val="auto"/>
              </w:rPr>
            </w:pPr>
            <w:r>
              <w:rPr>
                <w:rFonts w:ascii="Arial" w:cs="Arial" w:eastAsia="Arial" w:hAnsi="Arial"/>
                <w:sz w:val="18"/>
                <w:szCs w:val="18"/>
                <w:b w:val="1"/>
                <w:bCs w:val="1"/>
                <w:color w:val="auto"/>
                <w:w w:val="93"/>
              </w:rPr>
              <w:t>Clifford M. J. Felig, Adv.</w:t>
            </w:r>
          </w:p>
        </w:tc>
      </w:tr>
      <w:tr>
        <w:trPr>
          <w:trHeight w:val="216"/>
        </w:trPr>
        <w:tc>
          <w:tcPr>
            <w:tcW w:w="23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Rupa Briggs, Esq.</w:t>
            </w:r>
          </w:p>
        </w:tc>
        <w:tc>
          <w:tcPr>
            <w:tcW w:w="4260" w:type="dxa"/>
            <w:vAlign w:val="bottom"/>
          </w:tcPr>
          <w:p>
            <w:pPr>
              <w:jc w:val="center"/>
              <w:ind w:left="1410"/>
              <w:spacing w:after="0"/>
              <w:rPr>
                <w:sz w:val="20"/>
                <w:szCs w:val="20"/>
                <w:color w:val="auto"/>
              </w:rPr>
            </w:pPr>
            <w:r>
              <w:rPr>
                <w:rFonts w:ascii="Arial" w:cs="Arial" w:eastAsia="Arial" w:hAnsi="Arial"/>
                <w:sz w:val="18"/>
                <w:szCs w:val="18"/>
                <w:b w:val="1"/>
                <w:bCs w:val="1"/>
                <w:color w:val="auto"/>
                <w:w w:val="90"/>
              </w:rPr>
              <w:t>Aviv Avidan-Shalit, Adv.</w:t>
            </w:r>
          </w:p>
        </w:tc>
      </w:tr>
      <w:tr>
        <w:trPr>
          <w:trHeight w:val="216"/>
        </w:trPr>
        <w:tc>
          <w:tcPr>
            <w:tcW w:w="23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White &amp; Case LLP</w:t>
            </w:r>
          </w:p>
        </w:tc>
        <w:tc>
          <w:tcPr>
            <w:tcW w:w="4260" w:type="dxa"/>
            <w:vAlign w:val="bottom"/>
          </w:tcPr>
          <w:p>
            <w:pPr>
              <w:jc w:val="center"/>
              <w:ind w:left="1410"/>
              <w:spacing w:after="0"/>
              <w:rPr>
                <w:sz w:val="20"/>
                <w:szCs w:val="20"/>
                <w:color w:val="auto"/>
              </w:rPr>
            </w:pPr>
            <w:r>
              <w:rPr>
                <w:rFonts w:ascii="Arial" w:cs="Arial" w:eastAsia="Arial" w:hAnsi="Arial"/>
                <w:sz w:val="18"/>
                <w:szCs w:val="18"/>
                <w:b w:val="1"/>
                <w:bCs w:val="1"/>
                <w:color w:val="auto"/>
                <w:w w:val="92"/>
              </w:rPr>
              <w:t>Jonathan M. Nathan, Adv.</w:t>
            </w:r>
          </w:p>
        </w:tc>
      </w:tr>
      <w:tr>
        <w:trPr>
          <w:trHeight w:val="216"/>
        </w:trPr>
        <w:tc>
          <w:tcPr>
            <w:tcW w:w="23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1155 Avenue of the Americas</w:t>
            </w:r>
          </w:p>
        </w:tc>
        <w:tc>
          <w:tcPr>
            <w:tcW w:w="4260" w:type="dxa"/>
            <w:vAlign w:val="bottom"/>
          </w:tcPr>
          <w:p>
            <w:pPr>
              <w:jc w:val="center"/>
              <w:ind w:left="1410"/>
              <w:spacing w:after="0"/>
              <w:rPr>
                <w:sz w:val="20"/>
                <w:szCs w:val="20"/>
                <w:color w:val="auto"/>
              </w:rPr>
            </w:pPr>
            <w:r>
              <w:rPr>
                <w:rFonts w:ascii="Arial" w:cs="Arial" w:eastAsia="Arial" w:hAnsi="Arial"/>
                <w:sz w:val="18"/>
                <w:szCs w:val="18"/>
                <w:b w:val="1"/>
                <w:bCs w:val="1"/>
                <w:color w:val="auto"/>
                <w:w w:val="94"/>
              </w:rPr>
              <w:t>Meitar Liquornik Geva Leshem Tal</w:t>
            </w:r>
          </w:p>
        </w:tc>
      </w:tr>
      <w:tr>
        <w:trPr>
          <w:trHeight w:val="216"/>
        </w:trPr>
        <w:tc>
          <w:tcPr>
            <w:tcW w:w="23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New York, NY 10036</w:t>
            </w:r>
          </w:p>
        </w:tc>
        <w:tc>
          <w:tcPr>
            <w:tcW w:w="4260" w:type="dxa"/>
            <w:vAlign w:val="bottom"/>
          </w:tcPr>
          <w:p>
            <w:pPr>
              <w:jc w:val="center"/>
              <w:ind w:left="1410"/>
              <w:spacing w:after="0"/>
              <w:rPr>
                <w:sz w:val="20"/>
                <w:szCs w:val="20"/>
                <w:color w:val="auto"/>
              </w:rPr>
            </w:pPr>
            <w:r>
              <w:rPr>
                <w:rFonts w:ascii="Arial" w:cs="Arial" w:eastAsia="Arial" w:hAnsi="Arial"/>
                <w:sz w:val="18"/>
                <w:szCs w:val="18"/>
                <w:b w:val="1"/>
                <w:bCs w:val="1"/>
                <w:color w:val="auto"/>
                <w:w w:val="93"/>
              </w:rPr>
              <w:t>16 Abba Hillel Silver Rd.</w:t>
            </w:r>
          </w:p>
        </w:tc>
      </w:tr>
      <w:tr>
        <w:trPr>
          <w:trHeight w:val="216"/>
        </w:trPr>
        <w:tc>
          <w:tcPr>
            <w:tcW w:w="23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Tel: (212) 819-8200</w:t>
            </w:r>
          </w:p>
        </w:tc>
        <w:tc>
          <w:tcPr>
            <w:tcW w:w="4260" w:type="dxa"/>
            <w:vAlign w:val="bottom"/>
          </w:tcPr>
          <w:p>
            <w:pPr>
              <w:jc w:val="center"/>
              <w:ind w:left="1390"/>
              <w:spacing w:after="0"/>
              <w:rPr>
                <w:sz w:val="20"/>
                <w:szCs w:val="20"/>
                <w:color w:val="auto"/>
              </w:rPr>
            </w:pPr>
            <w:r>
              <w:rPr>
                <w:rFonts w:ascii="Arial" w:cs="Arial" w:eastAsia="Arial" w:hAnsi="Arial"/>
                <w:sz w:val="18"/>
                <w:szCs w:val="18"/>
                <w:b w:val="1"/>
                <w:bCs w:val="1"/>
                <w:color w:val="auto"/>
                <w:w w:val="92"/>
              </w:rPr>
              <w:t>Ramat Gan 5250608, Israel</w:t>
            </w:r>
          </w:p>
        </w:tc>
      </w:tr>
      <w:tr>
        <w:trPr>
          <w:trHeight w:val="216"/>
        </w:trPr>
        <w:tc>
          <w:tcPr>
            <w:tcW w:w="23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Fax: (212) 354-8113</w:t>
            </w:r>
          </w:p>
        </w:tc>
        <w:tc>
          <w:tcPr>
            <w:tcW w:w="4260" w:type="dxa"/>
            <w:vAlign w:val="bottom"/>
          </w:tcPr>
          <w:p>
            <w:pPr>
              <w:jc w:val="center"/>
              <w:ind w:left="1410"/>
              <w:spacing w:after="0"/>
              <w:rPr>
                <w:sz w:val="20"/>
                <w:szCs w:val="20"/>
                <w:color w:val="auto"/>
              </w:rPr>
            </w:pPr>
            <w:r>
              <w:rPr>
                <w:rFonts w:ascii="Arial" w:cs="Arial" w:eastAsia="Arial" w:hAnsi="Arial"/>
                <w:sz w:val="18"/>
                <w:szCs w:val="18"/>
                <w:b w:val="1"/>
                <w:bCs w:val="1"/>
                <w:color w:val="auto"/>
                <w:w w:val="91"/>
              </w:rPr>
              <w:t>Tel: +972-3-610-3100</w:t>
            </w:r>
          </w:p>
        </w:tc>
      </w:tr>
      <w:tr>
        <w:trPr>
          <w:trHeight w:val="234"/>
        </w:trPr>
        <w:tc>
          <w:tcPr>
            <w:tcW w:w="2320" w:type="dxa"/>
            <w:vAlign w:val="bottom"/>
          </w:tcPr>
          <w:p>
            <w:pPr>
              <w:spacing w:after="0"/>
              <w:rPr>
                <w:sz w:val="20"/>
                <w:szCs w:val="20"/>
                <w:color w:val="auto"/>
              </w:rPr>
            </w:pPr>
          </w:p>
        </w:tc>
        <w:tc>
          <w:tcPr>
            <w:tcW w:w="4260" w:type="dxa"/>
            <w:vAlign w:val="bottom"/>
          </w:tcPr>
          <w:p>
            <w:pPr>
              <w:jc w:val="center"/>
              <w:ind w:left="1410"/>
              <w:spacing w:after="0"/>
              <w:rPr>
                <w:sz w:val="20"/>
                <w:szCs w:val="20"/>
                <w:color w:val="auto"/>
              </w:rPr>
            </w:pPr>
            <w:r>
              <w:rPr>
                <w:rFonts w:ascii="Arial" w:cs="Arial" w:eastAsia="Arial" w:hAnsi="Arial"/>
                <w:sz w:val="18"/>
                <w:szCs w:val="18"/>
                <w:b w:val="1"/>
                <w:bCs w:val="1"/>
                <w:color w:val="auto"/>
                <w:w w:val="90"/>
              </w:rPr>
              <w:t>Fax: +972-3-610-3111</w:t>
            </w:r>
          </w:p>
        </w:tc>
      </w:tr>
      <w:tr>
        <w:trPr>
          <w:trHeight w:val="446"/>
        </w:trPr>
        <w:tc>
          <w:tcPr>
            <w:tcW w:w="2320" w:type="dxa"/>
            <w:vAlign w:val="bottom"/>
          </w:tcPr>
          <w:p>
            <w:pPr>
              <w:spacing w:after="0"/>
              <w:rPr>
                <w:sz w:val="24"/>
                <w:szCs w:val="24"/>
                <w:color w:val="auto"/>
              </w:rPr>
            </w:pPr>
          </w:p>
        </w:tc>
        <w:tc>
          <w:tcPr>
            <w:tcW w:w="4260" w:type="dxa"/>
            <w:vAlign w:val="bottom"/>
          </w:tcPr>
          <w:p>
            <w:pPr>
              <w:jc w:val="right"/>
              <w:ind w:right="2550"/>
              <w:spacing w:after="0"/>
              <w:rPr>
                <w:sz w:val="20"/>
                <w:szCs w:val="20"/>
                <w:color w:val="auto"/>
              </w:rPr>
            </w:pPr>
            <w:r>
              <w:rPr>
                <w:rFonts w:ascii="Arial" w:cs="Arial" w:eastAsia="Arial" w:hAnsi="Arial"/>
                <w:sz w:val="18"/>
                <w:szCs w:val="18"/>
                <w:b w:val="1"/>
                <w:bCs w:val="1"/>
                <w:color w:val="auto"/>
                <w:w w:val="94"/>
              </w:rPr>
              <w:t>_________________</w:t>
            </w:r>
          </w:p>
        </w:tc>
      </w:tr>
    </w:tbl>
    <w:p>
      <w:pPr>
        <w:spacing w:after="0" w:line="40" w:lineRule="exact"/>
        <w:rPr>
          <w:sz w:val="24"/>
          <w:szCs w:val="24"/>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Approximate date of commencement of proposed sale to the public: From time to time after the effective date of this registration statement.</w:t>
      </w:r>
    </w:p>
    <w:p>
      <w:pPr>
        <w:spacing w:after="0" w:line="8" w:lineRule="exact"/>
        <w:rPr>
          <w:sz w:val="24"/>
          <w:szCs w:val="24"/>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If the only securities being registered on this Form are being offered pursuant to dividend or interest reinvestment plans, please check the following box. £</w:t>
      </w:r>
    </w:p>
    <w:p>
      <w:pPr>
        <w:spacing w:after="0" w:line="8" w:lineRule="exact"/>
        <w:rPr>
          <w:sz w:val="24"/>
          <w:szCs w:val="24"/>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S</w:t>
      </w:r>
    </w:p>
    <w:p>
      <w:pPr>
        <w:spacing w:after="0" w:line="8" w:lineRule="exact"/>
        <w:rPr>
          <w:sz w:val="24"/>
          <w:szCs w:val="24"/>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19" w:lineRule="exact"/>
        <w:rPr>
          <w:sz w:val="24"/>
          <w:szCs w:val="24"/>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19" w:lineRule="exact"/>
        <w:rPr>
          <w:sz w:val="24"/>
          <w:szCs w:val="24"/>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If this Form is a registration statement pursuant to General Instruction I.C. or a post-effective amendment thereto that shall become effective upon filing with the Commission pursuant to Rule 462(e) under the Securities Act, check the following box. S</w:t>
      </w:r>
    </w:p>
    <w:p>
      <w:pPr>
        <w:spacing w:after="0" w:line="19" w:lineRule="exact"/>
        <w:rPr>
          <w:sz w:val="24"/>
          <w:szCs w:val="24"/>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spacing w:after="0" w:line="19" w:lineRule="exact"/>
        <w:rPr>
          <w:sz w:val="24"/>
          <w:szCs w:val="24"/>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8" w:lineRule="exact"/>
        <w:rPr>
          <w:sz w:val="24"/>
          <w:szCs w:val="24"/>
          <w:color w:val="auto"/>
        </w:rPr>
      </w:pPr>
    </w:p>
    <w:p>
      <w:pPr>
        <w:ind w:left="6440"/>
        <w:spacing w:after="0"/>
        <w:rPr>
          <w:sz w:val="20"/>
          <w:szCs w:val="20"/>
          <w:color w:val="auto"/>
        </w:rPr>
      </w:pPr>
      <w:r>
        <w:rPr>
          <w:rFonts w:ascii="Arial" w:cs="Arial" w:eastAsia="Arial" w:hAnsi="Arial"/>
          <w:sz w:val="16"/>
          <w:szCs w:val="16"/>
          <w:color w:val="auto"/>
        </w:rPr>
        <w:t>Emerging growth company S</w:t>
      </w:r>
    </w:p>
    <w:p>
      <w:pPr>
        <w:spacing w:after="0" w:line="86" w:lineRule="exact"/>
        <w:rPr>
          <w:sz w:val="24"/>
          <w:szCs w:val="24"/>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sectPr>
          <w:pgSz w:w="11900" w:h="16838" w:orient="portrait"/>
          <w:cols w:equalWidth="0" w:num="1">
            <w:col w:w="9019"/>
          </w:cols>
          <w:pgMar w:left="1440" w:top="270" w:right="1440" w:bottom="0" w:gutter="0" w:footer="0" w:header="0"/>
        </w:sectPr>
      </w:pPr>
    </w:p>
    <w:bookmarkStart w:id="1" w:name="page2"/>
    <w:bookmarkEnd w:id="1"/>
    <w:p>
      <w:pPr>
        <w:ind w:left="460" w:right="459" w:firstLine="2"/>
        <w:spacing w:after="0" w:line="277" w:lineRule="auto"/>
        <w:tabs>
          <w:tab w:leader="none" w:pos="679"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228600</wp:posOffset>
            </wp:positionV>
            <wp:extent cx="51454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Proposed</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Proposed</w:t>
            </w:r>
          </w:p>
        </w:tc>
        <w:tc>
          <w:tcPr>
            <w:tcW w:w="1160" w:type="dxa"/>
            <w:vAlign w:val="bottom"/>
          </w:tcPr>
          <w:p>
            <w:pPr>
              <w:spacing w:after="0"/>
              <w:rPr>
                <w:sz w:val="17"/>
                <w:szCs w:val="17"/>
                <w:color w:val="auto"/>
              </w:rPr>
            </w:pPr>
          </w:p>
        </w:tc>
      </w:tr>
      <w:tr>
        <w:trPr>
          <w:trHeight w:val="203"/>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maximum</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maximum</w:t>
            </w:r>
          </w:p>
        </w:tc>
        <w:tc>
          <w:tcPr>
            <w:tcW w:w="1160" w:type="dxa"/>
            <w:vAlign w:val="bottom"/>
          </w:tcPr>
          <w:p>
            <w:pPr>
              <w:spacing w:after="0"/>
              <w:rPr>
                <w:sz w:val="17"/>
                <w:szCs w:val="17"/>
                <w:color w:val="auto"/>
              </w:rPr>
            </w:pPr>
          </w:p>
        </w:tc>
      </w:tr>
      <w:tr>
        <w:trPr>
          <w:trHeight w:val="203"/>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Amount</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offering</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aggregate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Amount of</w:t>
            </w:r>
          </w:p>
        </w:tc>
      </w:tr>
      <w:tr>
        <w:trPr>
          <w:trHeight w:val="203"/>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3"/>
              </w:rPr>
              <w:t>to be</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price</w:t>
            </w: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offering</w:t>
            </w:r>
          </w:p>
        </w:tc>
        <w:tc>
          <w:tcPr>
            <w:tcW w:w="1160" w:type="dxa"/>
            <w:vAlign w:val="bottom"/>
          </w:tcPr>
          <w:p>
            <w:pPr>
              <w:jc w:val="center"/>
              <w:ind w:right="11"/>
              <w:spacing w:after="0"/>
              <w:rPr>
                <w:sz w:val="20"/>
                <w:szCs w:val="20"/>
                <w:color w:val="auto"/>
              </w:rPr>
            </w:pPr>
            <w:r>
              <w:rPr>
                <w:rFonts w:ascii="Arial" w:cs="Arial" w:eastAsia="Arial" w:hAnsi="Arial"/>
                <w:sz w:val="16"/>
                <w:szCs w:val="16"/>
                <w:b w:val="1"/>
                <w:bCs w:val="1"/>
                <w:color w:val="auto"/>
                <w:w w:val="90"/>
              </w:rPr>
              <w:t>registration</w:t>
            </w:r>
          </w:p>
        </w:tc>
      </w:tr>
      <w:tr>
        <w:trPr>
          <w:trHeight w:val="257"/>
        </w:trPr>
        <w:tc>
          <w:tcPr>
            <w:tcW w:w="3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5"/>
              </w:rPr>
              <w:t>Title of each class of securities to be registered</w:t>
            </w:r>
          </w:p>
        </w:tc>
        <w:tc>
          <w:tcPr>
            <w:tcW w:w="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registered</w:t>
            </w:r>
            <w:r>
              <w:rPr>
                <w:rFonts w:ascii="Arial" w:cs="Arial" w:eastAsia="Arial" w:hAnsi="Arial"/>
                <w:sz w:val="18"/>
                <w:szCs w:val="18"/>
                <w:b w:val="1"/>
                <w:bCs w:val="1"/>
                <w:color w:val="auto"/>
                <w:w w:val="86"/>
                <w:vertAlign w:val="superscript"/>
              </w:rPr>
              <w:t>(1)</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per unit</w:t>
            </w:r>
            <w:r>
              <w:rPr>
                <w:rFonts w:ascii="Arial" w:cs="Arial" w:eastAsia="Arial" w:hAnsi="Arial"/>
                <w:sz w:val="18"/>
                <w:szCs w:val="18"/>
                <w:b w:val="1"/>
                <w:bCs w:val="1"/>
                <w:color w:val="auto"/>
                <w:w w:val="89"/>
                <w:vertAlign w:val="superscript"/>
              </w:rPr>
              <w:t>(1)</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price</w:t>
            </w:r>
            <w:r>
              <w:rPr>
                <w:rFonts w:ascii="Arial" w:cs="Arial" w:eastAsia="Arial" w:hAnsi="Arial"/>
                <w:sz w:val="18"/>
                <w:szCs w:val="18"/>
                <w:b w:val="1"/>
                <w:bCs w:val="1"/>
                <w:color w:val="auto"/>
                <w:w w:val="86"/>
                <w:vertAlign w:val="superscript"/>
              </w:rPr>
              <w:t>(1)</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29"/>
                <w:szCs w:val="29"/>
                <w:b w:val="1"/>
                <w:bCs w:val="1"/>
                <w:color w:val="auto"/>
                <w:w w:val="84"/>
                <w:vertAlign w:val="subscript"/>
              </w:rPr>
              <w:t>fee</w:t>
            </w:r>
            <w:r>
              <w:rPr>
                <w:rFonts w:ascii="Arial" w:cs="Arial" w:eastAsia="Arial" w:hAnsi="Arial"/>
                <w:sz w:val="9"/>
                <w:szCs w:val="9"/>
                <w:b w:val="1"/>
                <w:bCs w:val="1"/>
                <w:color w:val="auto"/>
                <w:w w:val="84"/>
              </w:rPr>
              <w:t>(1)(2)</w:t>
            </w:r>
          </w:p>
        </w:tc>
      </w:tr>
      <w:tr>
        <w:trPr>
          <w:trHeight w:val="257"/>
        </w:trPr>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Ordinary Shares, par value NIS 0.01 per share</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1"/>
        </w:trPr>
        <w:tc>
          <w:tcPr>
            <w:tcW w:w="3460" w:type="dxa"/>
            <w:vAlign w:val="bottom"/>
          </w:tcPr>
          <w:p>
            <w:pPr>
              <w:spacing w:after="0"/>
              <w:rPr>
                <w:sz w:val="20"/>
                <w:szCs w:val="20"/>
                <w:color w:val="auto"/>
              </w:rPr>
            </w:pPr>
            <w:r>
              <w:rPr>
                <w:rFonts w:ascii="Arial" w:cs="Arial" w:eastAsia="Arial" w:hAnsi="Arial"/>
                <w:sz w:val="16"/>
                <w:szCs w:val="16"/>
                <w:color w:val="auto"/>
              </w:rPr>
              <w:t>____________</w:t>
            </w: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r>
    </w:tbl>
    <w:p>
      <w:pPr>
        <w:spacing w:after="0" w:line="185" w:lineRule="exact"/>
        <w:rPr>
          <w:sz w:val="20"/>
          <w:szCs w:val="20"/>
          <w:color w:val="auto"/>
        </w:rPr>
      </w:pPr>
    </w:p>
    <w:p>
      <w:pPr>
        <w:ind w:left="900" w:right="459" w:hanging="438"/>
        <w:spacing w:after="0" w:line="266" w:lineRule="auto"/>
        <w:tabs>
          <w:tab w:leader="none" w:pos="928"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indeterminate aggregate initial offering price or number of the securities is being registered as may, from time to time, be issued and sold at indeterminate prices.</w:t>
      </w:r>
    </w:p>
    <w:p>
      <w:pPr>
        <w:spacing w:after="0" w:line="1" w:lineRule="exact"/>
        <w:rPr>
          <w:rFonts w:ascii="Arial" w:cs="Arial" w:eastAsia="Arial" w:hAnsi="Arial"/>
          <w:sz w:val="16"/>
          <w:szCs w:val="16"/>
          <w:color w:val="auto"/>
        </w:rPr>
      </w:pPr>
    </w:p>
    <w:p>
      <w:pPr>
        <w:jc w:val="both"/>
        <w:ind w:left="900" w:right="459" w:hanging="438"/>
        <w:spacing w:after="0" w:line="287" w:lineRule="auto"/>
        <w:tabs>
          <w:tab w:leader="none" w:pos="108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accordance with Rules 456(b) and 457(r) promulgated under the Securities Act of 1933, as amended (the “Securities Act”), the Registrant is deferring payment of all of the registration fee, except for $7,191.59 of unused registration fees in respect of $62,050,000 of unsold securities previously registered pursuant to the Registrant’s Registration Statement on Form F-3 (File No. 333-215404) (the “Prior Registration Statement”) filed with the Securities and Exchange Commission on January 3, 2017, which fees have already been paid. Pursuant to Rule 457(p) under the Securities Act, such unutilized registration fees may be used to offset the registration fees payable pursuant to this Registration Statement and the offering of unsold securities under the Prior Registration Statement will be deemed immediately deregistered upon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27940</wp:posOffset>
            </wp:positionV>
            <wp:extent cx="514540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71120</wp:posOffset>
            </wp:positionV>
            <wp:extent cx="514540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345440</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 w:name="page4"/>
    <w:bookmarkEnd w:id="3"/>
    <w:p>
      <w:pPr>
        <w:ind w:left="3800"/>
        <w:spacing w:after="0"/>
        <w:rPr>
          <w:sz w:val="20"/>
          <w:szCs w:val="20"/>
          <w:color w:val="auto"/>
        </w:rPr>
      </w:pPr>
      <w:r>
        <w:rPr>
          <w:rFonts w:ascii="Arial" w:cs="Arial" w:eastAsia="Arial" w:hAnsi="Arial"/>
          <w:sz w:val="22"/>
          <w:szCs w:val="22"/>
          <w:b w:val="1"/>
          <w:bCs w:val="1"/>
          <w:color w:val="auto"/>
        </w:rPr>
        <w:t>PROSPECTUS</w:t>
      </w:r>
    </w:p>
    <w:p>
      <w:pPr>
        <w:spacing w:after="0" w:line="212"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419100</wp:posOffset>
            </wp:positionV>
            <wp:extent cx="1620520" cy="995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0520"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460" w:right="459" w:firstLine="432"/>
        <w:spacing w:after="0" w:line="260" w:lineRule="auto"/>
        <w:rPr>
          <w:sz w:val="20"/>
          <w:szCs w:val="20"/>
          <w:color w:val="auto"/>
        </w:rPr>
      </w:pPr>
      <w:r>
        <w:rPr>
          <w:rFonts w:ascii="Arial" w:cs="Arial" w:eastAsia="Arial" w:hAnsi="Arial"/>
          <w:sz w:val="20"/>
          <w:szCs w:val="20"/>
          <w:color w:val="auto"/>
        </w:rPr>
        <w:t>We may offer from time to time in one or more issuances ordinary shares. We refer to the ordinary shares as “securities” in this prospectus.</w:t>
      </w:r>
    </w:p>
    <w:p>
      <w:pPr>
        <w:spacing w:after="0" w:line="177" w:lineRule="exact"/>
        <w:rPr>
          <w:sz w:val="20"/>
          <w:szCs w:val="20"/>
          <w:color w:val="auto"/>
        </w:rPr>
      </w:pPr>
    </w:p>
    <w:p>
      <w:pPr>
        <w:jc w:val="both"/>
        <w:ind w:left="460" w:right="459" w:firstLine="432"/>
        <w:spacing w:after="0" w:line="246" w:lineRule="auto"/>
        <w:rPr>
          <w:sz w:val="20"/>
          <w:szCs w:val="20"/>
          <w:color w:val="auto"/>
        </w:rPr>
      </w:pPr>
      <w:r>
        <w:rPr>
          <w:rFonts w:ascii="Arial" w:cs="Arial" w:eastAsia="Arial" w:hAnsi="Arial"/>
          <w:sz w:val="20"/>
          <w:szCs w:val="20"/>
          <w:color w:val="auto"/>
        </w:rPr>
        <w:t>Each time we sell ordinary shares pursuant to this prospectus, we will provide a supplement to this prospectus that contains specific information about the offering and the specific terms of the ordinary shares offered. You should read this prospectus and the applicable prospectus supplement carefully before you invest in our ordinary shares.</w:t>
      </w:r>
    </w:p>
    <w:p>
      <w:pPr>
        <w:spacing w:after="0" w:line="192" w:lineRule="exact"/>
        <w:rPr>
          <w:sz w:val="20"/>
          <w:szCs w:val="20"/>
          <w:color w:val="auto"/>
        </w:rPr>
      </w:pPr>
    </w:p>
    <w:p>
      <w:pPr>
        <w:jc w:val="both"/>
        <w:ind w:left="460" w:right="459" w:firstLine="432"/>
        <w:spacing w:after="0" w:line="250" w:lineRule="auto"/>
        <w:rPr>
          <w:sz w:val="20"/>
          <w:szCs w:val="20"/>
          <w:color w:val="auto"/>
        </w:rPr>
      </w:pPr>
      <w:r>
        <w:rPr>
          <w:rFonts w:ascii="Arial" w:cs="Arial" w:eastAsia="Arial" w:hAnsi="Arial"/>
          <w:sz w:val="20"/>
          <w:szCs w:val="20"/>
          <w:color w:val="auto"/>
        </w:rPr>
        <w:t>Our ordinary shares are traded on the Nasdaq Global Select Market under the symbol “KRNT.” The closing price of our ordinary shares, as reported on the Nasdaq Global Select Market on June 10, 2019 was $28.56.</w:t>
      </w:r>
    </w:p>
    <w:p>
      <w:pPr>
        <w:spacing w:after="0" w:line="18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330" w:lineRule="auto"/>
        <w:rPr>
          <w:sz w:val="20"/>
          <w:szCs w:val="20"/>
          <w:color w:val="auto"/>
        </w:rPr>
      </w:pPr>
      <w:r>
        <w:rPr>
          <w:rFonts w:ascii="Arial" w:cs="Arial" w:eastAsia="Arial" w:hAnsi="Arial"/>
          <w:sz w:val="16"/>
          <w:szCs w:val="16"/>
          <w:b w:val="1"/>
          <w:bCs w:val="1"/>
          <w:color w:val="auto"/>
        </w:rPr>
        <w:t>Investing in our ordinary shares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ordinary shares.</w:t>
      </w:r>
    </w:p>
    <w:p>
      <w:pPr>
        <w:spacing w:after="0" w:line="1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248" w:lineRule="auto"/>
        <w:rPr>
          <w:sz w:val="20"/>
          <w:szCs w:val="20"/>
          <w:color w:val="auto"/>
        </w:rPr>
      </w:pPr>
      <w:r>
        <w:rPr>
          <w:rFonts w:ascii="Arial" w:cs="Arial" w:eastAsia="Arial" w:hAnsi="Arial"/>
          <w:sz w:val="20"/>
          <w:szCs w:val="20"/>
          <w:b w:val="1"/>
          <w:bCs w:val="1"/>
          <w:color w:val="auto"/>
        </w:rPr>
        <w:t>Neither the Securities and Exchange Commission nor any state securities commission has approved or disapproved of the ordinary shares being offered by this prospectus, or determined if this prospectus is truthful or complete. Any representation to the contrary is a criminal offense.</w:t>
      </w:r>
    </w:p>
    <w:p>
      <w:pPr>
        <w:spacing w:after="0" w:line="80"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date of this prospectus is June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267970</wp:posOffset>
            </wp:positionV>
            <wp:extent cx="51454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4" w:name="page5"/>
    <w:bookmarkEnd w:id="4"/>
    <w:tbl>
      <w:tblPr>
        <w:tblLayout w:type="fixed"/>
        <w:tblInd w:w="4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520" w:type="dxa"/>
            <w:vAlign w:val="bottom"/>
            <w:gridSpan w:val="2"/>
          </w:tcPr>
          <w:p>
            <w:pPr>
              <w:ind w:left="24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r>
      <w:tr>
        <w:trPr>
          <w:trHeight w:val="413"/>
        </w:trPr>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40" w:type="dxa"/>
            <w:vAlign w:val="bottom"/>
          </w:tcPr>
          <w:p>
            <w:pPr>
              <w:ind w:left="200"/>
              <w:spacing w:after="0"/>
              <w:rPr>
                <w:sz w:val="20"/>
                <w:szCs w:val="20"/>
                <w:color w:val="auto"/>
              </w:rPr>
            </w:pPr>
            <w:r>
              <w:rPr>
                <w:rFonts w:ascii="Arial" w:cs="Arial" w:eastAsia="Arial" w:hAnsi="Arial"/>
                <w:sz w:val="16"/>
                <w:szCs w:val="16"/>
                <w:b w:val="1"/>
                <w:bCs w:val="1"/>
                <w:color w:val="auto"/>
              </w:rPr>
              <w:t>Page</w:t>
            </w:r>
          </w:p>
        </w:tc>
      </w:tr>
      <w:tr>
        <w:trPr>
          <w:trHeight w:val="47"/>
        </w:trPr>
        <w:tc>
          <w:tcPr>
            <w:tcW w:w="5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7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183"/>
        </w:trPr>
        <w:tc>
          <w:tcPr>
            <w:tcW w:w="7380" w:type="dxa"/>
            <w:vAlign w:val="bottom"/>
            <w:gridSpan w:val="13"/>
            <w:shd w:val="clear" w:color="auto" w:fill="CCEEFF"/>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74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Kornit Digital Ltd.</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1</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Forward-Looking Statements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2</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3</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Ordinary Shares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79"/>
              </w:rPr>
              <w:t>4</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9</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Legal Matters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Experts</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Where You Can Find More Information</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10</w:t>
            </w:r>
          </w:p>
        </w:tc>
      </w:tr>
      <w:tr>
        <w:trPr>
          <w:trHeight w:val="61"/>
        </w:trPr>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03"/>
        </w:trPr>
        <w:tc>
          <w:tcPr>
            <w:tcW w:w="7380" w:type="dxa"/>
            <w:vAlign w:val="bottom"/>
            <w:gridSpan w:val="13"/>
            <w:shd w:val="clear" w:color="auto" w:fill="CCEEFF"/>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Incorporation of Certain Documents By Reference</w:t>
              </w:r>
            </w:hyperlink>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11</w:t>
            </w:r>
          </w:p>
        </w:tc>
      </w:tr>
      <w:tr>
        <w:trPr>
          <w:trHeight w:val="61"/>
        </w:trPr>
        <w:tc>
          <w:tcPr>
            <w:tcW w:w="5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37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13"/>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Enforceability of Civil Liabilities</w:t>
              </w:r>
            </w:hyperlink>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12</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This prospectus is part of a registration statement that we have filed with the Securities and Exchange Commission, or SEC, as a “well-known seasoned issuer” as defined in Rule 405 of the Securities Act, as amended, utilizing a “shelf” registration process. Under this process, we may offer and sell our ordinary shares under this prospectus from time to time, in one or more offerings. This prospectus provides you with a general description of the ordinary shares we may offer. Each time we sell ordinary shares under the shelf registration statement of which this prospectus forms a part,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ordinary shares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9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4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with a major focus on the fashion, apparel and home décor segments of the industry.</w:t>
      </w:r>
    </w:p>
    <w:p>
      <w:pPr>
        <w:spacing w:after="0" w:line="103"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vision is to create a world where everybody can bond, design and express their identities, one impression at a time.</w:t>
      </w:r>
    </w:p>
    <w:p>
      <w:pPr>
        <w:spacing w:after="0" w:line="89"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mission is to revolutionize the fast-changing printed textile industry by facilitating and expediting the transition from analog processes that have not evolved for decades and are not suited to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spacing w:after="0" w:line="121"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focus on the rapidly growing high-throughput, direct-to-garment, or DTG, and direct-to-fabric, or DTF, segments of the printed and decorated textile industry. In the DTG segment, we project the number of annual impressions to grow from approximately 15 billion in 2017 to approximately 25 billion on an annualized run-rate basis by the end of 2023. Brands and private labels comprise the largest portion of the DTG market, with approximately 11.5 billion estimated impressions in 2017, while promotional and customized design represented approximately 2.5 billion and 1 billion impressions, respectively, in the same year. In the DTF segment, based on a World Textile Information Network report, we estimate that the total square meters of fabric printed in 2017 was approximately 38 billion. We project this market to grow to approximately 42 billion by the end of 2023.</w:t>
      </w:r>
    </w:p>
    <w:p>
      <w:pPr>
        <w:spacing w:after="0" w:line="114"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86"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 w:name="page7"/>
    <w:bookmarkEnd w:id="6"/>
    <w:p>
      <w:pPr>
        <w:jc w:val="both"/>
        <w:ind w:left="460" w:right="459"/>
        <w:spacing w:after="0" w:line="277" w:lineRule="auto"/>
        <w:rPr>
          <w:sz w:val="20"/>
          <w:szCs w:val="20"/>
          <w:color w:val="auto"/>
        </w:rPr>
      </w:pPr>
      <w:r>
        <w:rPr>
          <w:rFonts w:ascii="Arial" w:cs="Arial" w:eastAsia="Arial" w:hAnsi="Arial"/>
          <w:sz w:val="18"/>
          <w:szCs w:val="18"/>
          <w:color w:val="auto"/>
        </w:rPr>
        <w:t>efficiently and cost-effectively produce smaller quantities of individually printed designs, thereby mitigating the risk of excess inventory, which is a significant challenge for the industry.</w:t>
      </w:r>
    </w:p>
    <w:p>
      <w:pPr>
        <w:spacing w:after="0" w:line="8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have a worldwide sales, marketing and support infrastructure that is comprised of independent distributors and value added resellers, and our own personnel resulting in a sales, marketing and support presence in over 77 countries and territories, and 46 states in the United States.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9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We are subject to the provisions of the Israeli Companies Law, 5759-1999, or the Israeli Companies Law. Our principal executive offices are located at 12 Ha’Amal Street, Rosh Ha’Ayin 4809246, Israel, and our telephone number is +972-3-908-5800. Our website address is </w:t>
      </w:r>
      <w:r>
        <w:rPr>
          <w:rFonts w:ascii="Arial" w:cs="Arial" w:eastAsia="Arial" w:hAnsi="Arial"/>
          <w:sz w:val="17"/>
          <w:szCs w:val="17"/>
          <w:i w:val="1"/>
          <w:iCs w:val="1"/>
          <w:color w:val="auto"/>
        </w:rPr>
        <w:t>www.kornit.com</w:t>
      </w:r>
      <w:r>
        <w:rPr>
          <w:rFonts w:ascii="Arial" w:cs="Arial" w:eastAsia="Arial" w:hAnsi="Arial"/>
          <w:sz w:val="17"/>
          <w:szCs w:val="17"/>
          <w:color w:val="auto"/>
        </w:rPr>
        <w:t xml:space="preserve"> (the information contained therein or linked thereto shall not be considered incorporated by reference in this prospectus). Our agent for service of process in the United States is Kornit Digital North America Inc., located at 480 South Dean Street, Englewood, New Jersey 07631, and its telephone number is (888) 456-7648.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 investment in our securities involves a high degree of risk. Our business, financial condition or results of operations could be adversely affected by any of these risks. If any of these risks occurs, the value of our ordinary shares and our other securities may decline. You should carefully consider the risk factors discussed under the caption “Risk Factors” in our annual report on Form 20-F for the year ended December 31, 2018 and in any other filings we make with the Securities and Exchange Commission (the “SEC”) subsequent to the date of this prospectus which are incorporated herein by reference, and in any supplement to this prospectus, before making your investment decision.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This prospectus and the documents incorporated in it by reference contain forward-looking statements within the meaning of Section 27A of the Securities Act of 1933, as amended, or the Securities Act, Section 21E of the Securities Exchange Act of 1934, as amended, or the Exchange Act, and the safe harbor provisions of the U.S. Private Securities Litigation Reform Act of 1995, which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0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Unless otherwise indicated in the applicable prospectus supplement, we intend to use the net proceeds from the sale of securities offered by us pursuant to this prospectus for general corporate and working capital purposes.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DESCRIPTION OF ORDINARY SHARES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A description of our ordinary shares can be found under the heading “Item 1. Description of Registrant’s Securities to be Registered” in our registration statement on Form 8-A as filed with the SEC on March 31, 2015, which description is incorporated by reference herein.</w:t>
      </w:r>
    </w:p>
    <w:p>
      <w:pPr>
        <w:spacing w:after="0" w:line="100"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or our articles, and the Israeli Companies Law, are summaries and do not purport to be complete.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Our authorized share capital consists of 200,000,000 ordinary shares, par value NIS 0.01 per share, of which 35,347,050 shares were issued and outstanding as of June 10, 2019. As of June 10, 2019, no preferred shares were authorized under our articles.</w:t>
      </w:r>
    </w:p>
    <w:p>
      <w:pPr>
        <w:spacing w:after="0" w:line="11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8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articles is to engage in any lawful activity.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of Shares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Our fully-paid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Election of Directors</w:t>
      </w:r>
    </w:p>
    <w:p>
      <w:pPr>
        <w:spacing w:after="0" w:line="148"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(to the extent that we are then required to, and/or voluntarily continue to, appoint external directors under the Israeli Companies Law).</w:t>
      </w:r>
    </w:p>
    <w:p>
      <w:pPr>
        <w:spacing w:after="0" w:line="104" w:lineRule="exact"/>
        <w:rPr>
          <w:sz w:val="20"/>
          <w:szCs w:val="20"/>
          <w:color w:val="auto"/>
        </w:rPr>
      </w:pPr>
    </w:p>
    <w:p>
      <w:pPr>
        <w:jc w:val="both"/>
        <w:ind w:left="460" w:right="459" w:firstLine="432"/>
        <w:spacing w:after="0" w:line="285" w:lineRule="auto"/>
        <w:rPr>
          <w:sz w:val="20"/>
          <w:szCs w:val="20"/>
          <w:color w:val="auto"/>
        </w:rPr>
      </w:pPr>
      <w:r>
        <w:rPr>
          <w:rFonts w:ascii="Arial" w:cs="Arial" w:eastAsia="Arial" w:hAnsi="Arial"/>
          <w:sz w:val="16"/>
          <w:szCs w:val="16"/>
          <w:color w:val="auto"/>
        </w:rPr>
        <w:t>Under our articles of association, our board of directors must consist of not less than five but no more than nine directors, including two external directors if/as required by the Israeli Companies Law. Pursuant to our articles,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Israeli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b w:val="1"/>
          <w:bCs w:val="1"/>
          <w:color w:val="auto"/>
        </w:rPr>
        <w:t>Dividend and Liquidation Rights</w:t>
      </w:r>
    </w:p>
    <w:p>
      <w:pPr>
        <w:spacing w:after="0" w:line="162"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91"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1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Exchange Controls</w:t>
      </w:r>
    </w:p>
    <w:p>
      <w:pPr>
        <w:spacing w:after="0" w:line="162"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 at such time.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Shareholder Meetings</w:t>
      </w:r>
    </w:p>
    <w:p>
      <w:pPr>
        <w:spacing w:after="0" w:line="148"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and no later than 15 months after the date of the previous annual general meeting. All meetings other than the annual general meeting of shareholders are referred to in our articles as special general meetings. Our board of directors may call special general meetings whenever it sees fit, at such time and place, within or outside of Israel, as it may determine. In addition, the Israeli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114" w:lineRule="exact"/>
        <w:rPr>
          <w:sz w:val="20"/>
          <w:szCs w:val="20"/>
          <w:color w:val="auto"/>
        </w:rPr>
      </w:pPr>
    </w:p>
    <w:p>
      <w:pPr>
        <w:jc w:val="both"/>
        <w:ind w:left="460" w:right="459" w:firstLine="432"/>
        <w:spacing w:after="0" w:line="276" w:lineRule="auto"/>
        <w:rPr>
          <w:sz w:val="20"/>
          <w:szCs w:val="20"/>
          <w:color w:val="auto"/>
        </w:rPr>
      </w:pPr>
      <w:r>
        <w:rPr>
          <w:rFonts w:ascii="Arial" w:cs="Arial" w:eastAsia="Arial" w:hAnsi="Arial"/>
          <w:sz w:val="17"/>
          <w:szCs w:val="17"/>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among others, must be passed at a general meeting of our shareholders:</w:t>
      </w:r>
    </w:p>
    <w:p>
      <w:pPr>
        <w:spacing w:after="0" w:line="105" w:lineRule="exact"/>
        <w:rPr>
          <w:sz w:val="20"/>
          <w:szCs w:val="20"/>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567" w:val="left"/>
        </w:tabs>
        <w:numPr>
          <w:ilvl w:val="0"/>
          <w:numId w:val="3"/>
        </w:numPr>
        <w:rPr>
          <w:rFonts w:ascii="Arial" w:cs="Arial" w:eastAsia="Arial" w:hAnsi="Arial"/>
          <w:sz w:val="18"/>
          <w:szCs w:val="18"/>
          <w:color w:val="auto"/>
        </w:rPr>
      </w:pPr>
      <w:r>
        <w:rPr>
          <w:rFonts w:ascii="Arial" w:cs="Arial" w:eastAsia="Arial" w:hAnsi="Arial"/>
          <w:sz w:val="18"/>
          <w:szCs w:val="18"/>
          <w:color w:val="auto"/>
        </w:rPr>
        <w:t>election of directors, including external directors (to the extent we are then required, and/or voluntarily continue, to do so);</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57" w:lineRule="exact"/>
        <w:rPr>
          <w:rFonts w:ascii="Arial" w:cs="Arial" w:eastAsia="Arial" w:hAnsi="Arial"/>
          <w:sz w:val="18"/>
          <w:szCs w:val="18"/>
          <w:color w:val="auto"/>
        </w:rPr>
      </w:pPr>
    </w:p>
    <w:p>
      <w:pPr>
        <w:jc w:val="both"/>
        <w:ind w:left="1320" w:right="459" w:hanging="425"/>
        <w:spacing w:after="0" w:line="264" w:lineRule="auto"/>
        <w:tabs>
          <w:tab w:leader="none" w:pos="1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 w:name="page11"/>
    <w:bookmarkEnd w:id="10"/>
    <w:p>
      <w:pPr>
        <w:jc w:val="both"/>
        <w:ind w:left="460" w:right="459" w:firstLine="432"/>
        <w:spacing w:after="0" w:line="293" w:lineRule="auto"/>
        <w:rPr>
          <w:sz w:val="20"/>
          <w:szCs w:val="20"/>
          <w:color w:val="auto"/>
        </w:rPr>
      </w:pPr>
      <w:r>
        <w:rPr>
          <w:rFonts w:ascii="Arial" w:cs="Arial" w:eastAsia="Arial" w:hAnsi="Arial"/>
          <w:sz w:val="16"/>
          <w:szCs w:val="16"/>
          <w:color w:val="auto"/>
        </w:rPr>
        <w:t>The Israeli Companies Law and our articles require that notice of any annual general meeting or special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chief executive officer (referred to under the Israeli Companies Law as the general manager) to serve as the chairman of its board of directors, or an approval of a merger, notice must be provided at least 35 days prior to the meeting.</w:t>
      </w:r>
    </w:p>
    <w:p>
      <w:pPr>
        <w:spacing w:after="0" w:line="84"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The Israeli Companies Law allows one or more of our shareholders holding at least 1% of the voting power of our company to request the inclusion of an additional agenda item for an upcoming shareholders meeting, assuming that it is appropriate for debate and action at a shareholders meeting. Under the Israeli Companies Law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(or greater) shareholders are given a 14-day period in which to submit proposed agenda items, after which we must publish notice of the meeting that includes any accepted shareholder proposals.</w:t>
      </w:r>
    </w:p>
    <w:p>
      <w:pPr>
        <w:spacing w:after="0" w:line="11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Under the Israeli Companies Law and under our articles, shareholders are not permitted to take action by way of written consent in lieu of a meeting.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58"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Pursuant to our articles, holders of our ordinary shares have one vote for each ordinary share held on all matters submitted to a vote before the shareholders at a general meeting. As a foreign private issuer, we rely upon the Israeli Companies Law allowance, which is reflected in our articles, that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44"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color w:val="auto"/>
        </w:rPr>
        <w:t>Our articles provide that all resolutions of our shareholders require a simple majority vote, unless otherwise required by the Israeli Companies Law or by our articles. Under the Israeli Companies Law, each of</w:t>
      </w:r>
    </w:p>
    <w:p>
      <w:pPr>
        <w:jc w:val="both"/>
        <w:ind w:left="460" w:right="459" w:firstLine="2"/>
        <w:spacing w:after="0" w:line="268" w:lineRule="auto"/>
        <w:tabs>
          <w:tab w:leader="none" w:pos="68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approval of an extraordinary transaction with a controlling shareholder, (ii) the terms of employment or other engagement of the controlling shareholder of the company or such controlling shareholder’s relative (even if such terms are not extraordinary) and (iii) approval of the compensation of office holders — if not consistent with our compensation policy — or for the chief executive officer, generally requires approval by special majorities of shareholders. Under our articles, the alteration of the rights, privileges, preferences or obligations of any class of our shares does not require a separate majority of the class so affected and may be approved by an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or by proxy and voting on the resolution.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b w:val="1"/>
          <w:bCs w:val="1"/>
          <w:color w:val="auto"/>
        </w:rPr>
        <w:t>Access to Corporate Records</w:t>
      </w:r>
    </w:p>
    <w:p>
      <w:pPr>
        <w:spacing w:after="0" w:line="162"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Registrar of Companies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Modification of Class Rights</w:t>
      </w:r>
    </w:p>
    <w:p>
      <w:pPr>
        <w:spacing w:after="0" w:line="148"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Under the Israeli Companies Law, because our articles specifically provide so, the rights attached to any class of shares, such as voting, liquidation and dividend rights, may be amended by adoption of a resolution by the holders of a majority of all shares then outstanding, without the separate approval of the shares of that class, unless provided otherwise in the rights attached to such class of shares, as set forth in our articles.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Full Tender Offer</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conflict of interest (referred to under the Israeli Companies Law as a personal interest) in the offer accept the offer, all of the shares that the acquirer offered to purchase will be transferred to the acquirer by operation of law. However, a full tender offer will also be deemed accepted if the shareholders who do not accept the offer hold less than 2% of the issued and outstanding share capital of the company or of the applicable class of shares.</w:t>
      </w:r>
    </w:p>
    <w:p>
      <w:pPr>
        <w:spacing w:after="0" w:line="120"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Upon the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9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Tender Offer</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25"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 w:name="page13"/>
    <w:bookmarkEnd w:id="12"/>
    <w:p>
      <w:pPr>
        <w:jc w:val="both"/>
        <w:ind w:left="460" w:right="459"/>
        <w:spacing w:after="0" w:line="269" w:lineRule="auto"/>
        <w:rPr>
          <w:sz w:val="20"/>
          <w:szCs w:val="20"/>
          <w:color w:val="auto"/>
        </w:rPr>
      </w:pPr>
      <w:r>
        <w:rPr>
          <w:rFonts w:ascii="Arial" w:cs="Arial" w:eastAsia="Arial" w:hAnsi="Arial"/>
          <w:sz w:val="17"/>
          <w:szCs w:val="17"/>
          <w:color w:val="auto"/>
        </w:rPr>
        <w:t>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or any other person acting on his or her behalf,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Merger</w:t>
      </w:r>
    </w:p>
    <w:p>
      <w:pPr>
        <w:spacing w:after="0" w:line="144"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19"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For purposes of the shareholder vote, unless a court rules otherwise, a merger requires approval by a majority of the votes of shares represented at the meeting of shareholders, excluding shares that are held by the other party to the merger, or by any person (or group of persons acting in concert) who holds (or hold, as the case may be) 25% or more of the voting rights or the right to appoint 25% or more of the directors of the other party.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under “Description of Ordinary Shares — Voting Rights — Vote Requirements”).</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1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19"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There may be limitations on our ability to authorize and issue a new class of preferred shares under the Nasdaq Listing Rules that apply to us.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b w:val="1"/>
          <w:bCs w:val="1"/>
          <w:color w:val="auto"/>
        </w:rPr>
        <w:t>Borrowing Powers</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Pursuant to the Israeli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transfer agent and registrar for our ordinary shares is American Stock Transfer &amp; Trust Company, New York, New York.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Our ordinary shares are listed on the Nasdaq Global Select Market under the symbol “KRNT.”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We may sell the securities included in this prospectus from time to time through one or more underwriters, dealers or agents and/or directly to one or more purchasers. We will describe the details of any such offering and the plan of distribution for any securities offering in a supplement to this prospectus.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Certain legal matters with respect to Israeli law and with respect to the validity of the offered securities under Israeli law will be passed upon for us by Meitar Liquornik Geva Leshem Tal, Ramat Gan, Israel.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consolidated financial statements of Kornit Digital Ltd. incorporated by reference in this prospectus by reference to Kornit Digital Ltd.’s annual report on Form 20-F for the year ended December 31, 2018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10"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0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14"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www.kornit.com.</w:t>
      </w:r>
      <w:r>
        <w:rPr>
          <w:rFonts w:ascii="Arial" w:cs="Arial" w:eastAsia="Arial" w:hAnsi="Arial"/>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The SEC allows us to “incorporate by reference” into this prospectus the information in documents we file with, or furnish to, it. This means that we can disclose important information to you by referring you to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or furnished later.</w:t>
      </w:r>
    </w:p>
    <w:p>
      <w:pPr>
        <w:spacing w:after="0" w:line="88"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87" w:lineRule="exact"/>
        <w:rPr>
          <w:sz w:val="20"/>
          <w:szCs w:val="20"/>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December 31, 2018; and</w:t>
      </w:r>
    </w:p>
    <w:p>
      <w:pPr>
        <w:spacing w:after="0" w:line="157" w:lineRule="exact"/>
        <w:rPr>
          <w:rFonts w:ascii="Arial" w:cs="Arial" w:eastAsia="Arial" w:hAnsi="Arial"/>
          <w:sz w:val="18"/>
          <w:szCs w:val="18"/>
          <w:color w:val="auto"/>
        </w:rPr>
      </w:pPr>
    </w:p>
    <w:p>
      <w:pPr>
        <w:ind w:left="1320" w:hanging="425"/>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report of foreign private issuer on Form 6-K furnished to the SEC on: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April 1, 2019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April 1, 2019 (solely with respect to the portions specified therein);</w:t>
      </w:r>
    </w:p>
    <w:p>
      <w:pPr>
        <w:spacing w:after="0" w:line="157" w:lineRule="exact"/>
        <w:rPr>
          <w:rFonts w:ascii="Arial" w:cs="Arial" w:eastAsia="Arial" w:hAnsi="Arial"/>
          <w:sz w:val="18"/>
          <w:szCs w:val="18"/>
          <w:color w:val="auto"/>
        </w:rPr>
      </w:pPr>
    </w:p>
    <w:p>
      <w:pPr>
        <w:ind w:left="1740" w:hanging="413"/>
        <w:spacing w:after="0"/>
        <w:tabs>
          <w:tab w:leader="none" w:pos="1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April 18, 2019 (solely with respect to the portions specified therein);</w:t>
      </w:r>
    </w:p>
    <w:p>
      <w:pPr>
        <w:spacing w:after="0" w:line="144" w:lineRule="exact"/>
        <w:rPr>
          <w:rFonts w:ascii="Arial" w:cs="Arial" w:eastAsia="Arial" w:hAnsi="Arial"/>
          <w:sz w:val="18"/>
          <w:szCs w:val="18"/>
          <w:color w:val="auto"/>
        </w:rPr>
      </w:pPr>
    </w:p>
    <w:p>
      <w:pPr>
        <w:ind w:left="1740" w:hanging="413"/>
        <w:spacing w:after="0"/>
        <w:tabs>
          <w:tab w:leader="none" w:pos="174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May 13, 2019 (solely with respect to the portions specified therein); and</w:t>
      </w:r>
    </w:p>
    <w:p>
      <w:pPr>
        <w:spacing w:after="0" w:line="157" w:lineRule="exact"/>
        <w:rPr>
          <w:rFonts w:ascii="Arial" w:cs="Arial" w:eastAsia="Arial" w:hAnsi="Arial"/>
          <w:sz w:val="18"/>
          <w:szCs w:val="18"/>
          <w:color w:val="auto"/>
        </w:rPr>
      </w:pPr>
    </w:p>
    <w:p>
      <w:pPr>
        <w:jc w:val="both"/>
        <w:ind w:left="1320" w:right="459" w:hanging="425"/>
        <w:spacing w:after="0" w:line="259" w:lineRule="auto"/>
        <w:tabs>
          <w:tab w:leader="none" w:pos="159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ordinary shares contained under the heading “Item 1. Description of Registrant’s Securities to be Registered” in our registration statement on Form 8-A, as filed with the SEC on March 31, 2015, including any subsequent amendment or any report filed for the purpose of updating such description.</w:t>
      </w:r>
    </w:p>
    <w:p>
      <w:pPr>
        <w:spacing w:after="0" w:line="119"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12" w:lineRule="exact"/>
        <w:rPr>
          <w:sz w:val="20"/>
          <w:szCs w:val="20"/>
          <w:color w:val="auto"/>
        </w:rPr>
      </w:pPr>
    </w:p>
    <w:p>
      <w:pPr>
        <w:jc w:val="both"/>
        <w:ind w:left="460" w:right="459" w:firstLine="432"/>
        <w:spacing w:after="0" w:line="297" w:lineRule="auto"/>
        <w:rPr>
          <w:sz w:val="20"/>
          <w:szCs w:val="20"/>
          <w:color w:val="auto"/>
        </w:rPr>
      </w:pPr>
      <w:r>
        <w:rPr>
          <w:rFonts w:ascii="Arial" w:cs="Arial" w:eastAsia="Arial" w:hAnsi="Arial"/>
          <w:sz w:val="16"/>
          <w:szCs w:val="16"/>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+972-3-908-5800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officers and any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12"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10"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the offerings under this prospectus or any purchase or sale of securities in connection with any such offering(s).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10" w:lineRule="exact"/>
        <w:rPr>
          <w:sz w:val="20"/>
          <w:szCs w:val="20"/>
          <w:color w:val="auto"/>
        </w:rPr>
      </w:pPr>
    </w:p>
    <w:p>
      <w:pPr>
        <w:jc w:val="both"/>
        <w:ind w:left="1320" w:right="459" w:hanging="425"/>
        <w:spacing w:after="0" w:line="264" w:lineRule="auto"/>
        <w:tabs>
          <w:tab w:leader="none" w:pos="1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100" w:lineRule="exact"/>
        <w:rPr>
          <w:rFonts w:ascii="Arial" w:cs="Arial" w:eastAsia="Arial" w:hAnsi="Arial"/>
          <w:sz w:val="18"/>
          <w:szCs w:val="18"/>
          <w:color w:val="auto"/>
        </w:rPr>
      </w:pPr>
    </w:p>
    <w:p>
      <w:pPr>
        <w:ind w:left="1320" w:hanging="42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w:t>
      </w:r>
    </w:p>
    <w:p>
      <w:pPr>
        <w:spacing w:after="0" w:line="102" w:lineRule="exact"/>
        <w:rPr>
          <w:rFonts w:ascii="Arial" w:cs="Arial" w:eastAsia="Arial" w:hAnsi="Arial"/>
          <w:sz w:val="18"/>
          <w:szCs w:val="18"/>
          <w:color w:val="auto"/>
        </w:rPr>
      </w:pPr>
    </w:p>
    <w:p>
      <w:pPr>
        <w:ind w:left="1320" w:right="459" w:hanging="425"/>
        <w:spacing w:after="0" w:line="277" w:lineRule="auto"/>
        <w:tabs>
          <w:tab w:leader="none" w:pos="140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at which the lawsuit was instituted in the foreign court; and</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10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1212215</wp:posOffset>
            </wp:positionH>
            <wp:positionV relativeFrom="page">
              <wp:posOffset>132080</wp:posOffset>
            </wp:positionV>
            <wp:extent cx="514540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174625</wp:posOffset>
            </wp:positionV>
            <wp:extent cx="514540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page">
              <wp:posOffset>2970530</wp:posOffset>
            </wp:positionH>
            <wp:positionV relativeFrom="page">
              <wp:posOffset>337820</wp:posOffset>
            </wp:positionV>
            <wp:extent cx="1620520" cy="1003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62052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Kornit Digital Ltd.</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_________________</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1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1435735</wp:posOffset>
            </wp:positionV>
            <wp:extent cx="514540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1478280</wp:posOffset>
            </wp:positionV>
            <wp:extent cx="514540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1753235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8. Indemnification of Directors and Officers.</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97"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19" w:lineRule="exact"/>
        <w:rPr>
          <w:sz w:val="20"/>
          <w:szCs w:val="20"/>
          <w:color w:val="auto"/>
        </w:rPr>
      </w:pPr>
    </w:p>
    <w:p>
      <w:pPr>
        <w:jc w:val="both"/>
        <w:ind w:left="1320" w:right="459" w:hanging="425"/>
        <w:spacing w:after="0" w:line="254" w:lineRule="auto"/>
        <w:tabs>
          <w:tab w:leader="none" w:pos="1378"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24" w:lineRule="exact"/>
        <w:rPr>
          <w:rFonts w:ascii="Arial" w:cs="Arial" w:eastAsia="Arial" w:hAnsi="Arial"/>
          <w:sz w:val="18"/>
          <w:szCs w:val="18"/>
          <w:color w:val="auto"/>
        </w:rPr>
      </w:pPr>
    </w:p>
    <w:p>
      <w:pPr>
        <w:jc w:val="both"/>
        <w:ind w:left="1320" w:right="459" w:hanging="425"/>
        <w:spacing w:after="0" w:line="291" w:lineRule="auto"/>
        <w:tabs>
          <w:tab w:leader="none" w:pos="1324" w:val="left"/>
        </w:tabs>
        <w:numPr>
          <w:ilvl w:val="0"/>
          <w:numId w:val="7"/>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86" w:lineRule="exact"/>
        <w:rPr>
          <w:rFonts w:ascii="Arial" w:cs="Arial" w:eastAsia="Arial" w:hAnsi="Arial"/>
          <w:sz w:val="16"/>
          <w:szCs w:val="16"/>
          <w:color w:val="auto"/>
        </w:rPr>
      </w:pPr>
    </w:p>
    <w:p>
      <w:pPr>
        <w:jc w:val="both"/>
        <w:ind w:left="1320" w:right="459" w:hanging="425"/>
        <w:spacing w:after="0" w:line="302" w:lineRule="auto"/>
        <w:tabs>
          <w:tab w:leader="none" w:pos="1392" w:val="left"/>
        </w:tabs>
        <w:numPr>
          <w:ilvl w:val="0"/>
          <w:numId w:val="7"/>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87"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14" w:lineRule="exact"/>
        <w:rPr>
          <w:sz w:val="20"/>
          <w:szCs w:val="20"/>
          <w:color w:val="auto"/>
        </w:rPr>
      </w:pPr>
    </w:p>
    <w:p>
      <w:pPr>
        <w:ind w:left="1320" w:right="459" w:hanging="425"/>
        <w:spacing w:after="0" w:line="277" w:lineRule="auto"/>
        <w:tabs>
          <w:tab w:leader="none" w:pos="139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89" w:lineRule="exact"/>
        <w:rPr>
          <w:rFonts w:ascii="Arial" w:cs="Arial" w:eastAsia="Arial" w:hAnsi="Arial"/>
          <w:sz w:val="18"/>
          <w:szCs w:val="18"/>
          <w:color w:val="auto"/>
        </w:rPr>
      </w:pPr>
    </w:p>
    <w:p>
      <w:pPr>
        <w:ind w:left="1320" w:right="459" w:hanging="425"/>
        <w:spacing w:after="0" w:line="277" w:lineRule="auto"/>
        <w:tabs>
          <w:tab w:leader="none" w:pos="135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02" w:lineRule="exact"/>
        <w:rPr>
          <w:rFonts w:ascii="Arial" w:cs="Arial" w:eastAsia="Arial" w:hAnsi="Arial"/>
          <w:sz w:val="18"/>
          <w:szCs w:val="18"/>
          <w:color w:val="auto"/>
        </w:rPr>
      </w:pPr>
    </w:p>
    <w:p>
      <w:pPr>
        <w:ind w:left="1320" w:hanging="425"/>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158" w:lineRule="exact"/>
        <w:rPr>
          <w:sz w:val="20"/>
          <w:szCs w:val="20"/>
          <w:color w:val="auto"/>
        </w:rPr>
      </w:pPr>
    </w:p>
    <w:p>
      <w:pPr>
        <w:ind w:left="460" w:right="459" w:firstLine="432"/>
        <w:spacing w:after="0" w:line="277" w:lineRule="auto"/>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89" w:lineRule="exact"/>
        <w:rPr>
          <w:sz w:val="20"/>
          <w:szCs w:val="20"/>
          <w:color w:val="auto"/>
        </w:rPr>
      </w:pPr>
    </w:p>
    <w:p>
      <w:pPr>
        <w:jc w:val="both"/>
        <w:ind w:left="1320" w:right="459" w:hanging="425"/>
        <w:spacing w:after="0" w:line="264" w:lineRule="auto"/>
        <w:tabs>
          <w:tab w:leader="none" w:pos="1338"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13" w:lineRule="exact"/>
        <w:rPr>
          <w:rFonts w:ascii="Arial" w:cs="Arial" w:eastAsia="Arial" w:hAnsi="Arial"/>
          <w:sz w:val="18"/>
          <w:szCs w:val="18"/>
          <w:color w:val="auto"/>
        </w:rPr>
      </w:pPr>
    </w:p>
    <w:p>
      <w:pPr>
        <w:ind w:left="1320" w:right="459" w:hanging="425"/>
        <w:spacing w:after="0" w:line="277" w:lineRule="auto"/>
        <w:tabs>
          <w:tab w:leader="none" w:pos="1338"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breach of duty of care committed intentionally or recklessly, excluding a breach arising solely out of the negligent conduct of the office holder;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9" w:name="page20"/>
    <w:bookmarkEnd w:id="19"/>
    <w:p>
      <w:pPr>
        <w:ind w:left="1320" w:hanging="425"/>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144" w:lineRule="exact"/>
        <w:rPr>
          <w:rFonts w:ascii="Arial" w:cs="Arial" w:eastAsia="Arial" w:hAnsi="Arial"/>
          <w:sz w:val="18"/>
          <w:szCs w:val="18"/>
          <w:color w:val="auto"/>
        </w:rPr>
      </w:pPr>
    </w:p>
    <w:p>
      <w:pPr>
        <w:ind w:left="1320" w:hanging="425"/>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fine, civil fine, monetary sanction or forfeit levied against the office holder.</w:t>
      </w:r>
    </w:p>
    <w:p>
      <w:pPr>
        <w:spacing w:after="0" w:line="158"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w:t>
      </w:r>
    </w:p>
    <w:p>
      <w:pPr>
        <w:spacing w:after="0" w:line="114"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color w:val="auto"/>
        </w:rPr>
        <w:t>Our articles permit us to exculpate, indemnify and insure our office holders to the fullest extent permitted or to be permitted by the Israeli Companies Law. 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articles and Israeli law, including with respect to liabilities resulting from a public offering of our shares, to the extent that these liabilities are not covered by insurance.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9.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680"/>
        <w:spacing w:after="0"/>
        <w:tabs>
          <w:tab w:leader="none" w:pos="454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Document</w:t>
      </w:r>
    </w:p>
    <w:p>
      <w:pPr>
        <w:spacing w:after="0" w:line="64"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-130175</wp:posOffset>
            </wp:positionV>
            <wp:extent cx="5145405"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180340"/>
                    </a:xfrm>
                    <a:prstGeom prst="rect">
                      <a:avLst/>
                    </a:prstGeom>
                    <a:noFill/>
                  </pic:spPr>
                </pic:pic>
              </a:graphicData>
            </a:graphic>
          </wp:anchor>
        </w:drawing>
      </w:r>
    </w:p>
    <w:p>
      <w:pPr>
        <w:spacing w:after="0" w:line="51" w:lineRule="exact"/>
        <w:rPr>
          <w:sz w:val="20"/>
          <w:szCs w:val="20"/>
          <w:color w:val="auto"/>
        </w:rPr>
      </w:pPr>
    </w:p>
    <w:p>
      <w:pPr>
        <w:jc w:val="both"/>
        <w:ind w:left="1280" w:right="459" w:hanging="564"/>
        <w:spacing w:after="0" w:line="259" w:lineRule="auto"/>
        <w:tabs>
          <w:tab w:leader="none" w:pos="12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37">
        <w:r>
          <w:rPr>
            <w:rFonts w:ascii="Arial" w:cs="Arial" w:eastAsia="Arial" w:hAnsi="Arial"/>
            <w:sz w:val="18"/>
            <w:szCs w:val="18"/>
            <w:u w:val="single" w:color="auto"/>
            <w:color w:val="0000EE"/>
          </w:rPr>
          <w:t>Amended and Restated Articles of Association of the Registrant (incorporated by reference to</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Exhibit 3.2 of the Registration Statement on Form F-1 of the Registrant (File No. 333-202291) filed</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with the SEC on March 18, 2015).</w:t>
        </w:r>
      </w:hyperlink>
    </w:p>
    <w:p>
      <w:pPr>
        <w:spacing w:after="0" w:line="10" w:lineRule="exact"/>
        <w:rPr>
          <w:rFonts w:ascii="Arial" w:cs="Arial" w:eastAsia="Arial" w:hAnsi="Arial"/>
          <w:sz w:val="18"/>
          <w:szCs w:val="18"/>
          <w:u w:val="single" w:color="auto"/>
          <w:color w:val="0000EE"/>
        </w:rPr>
      </w:pPr>
    </w:p>
    <w:p>
      <w:pPr>
        <w:ind w:left="700"/>
        <w:spacing w:after="0"/>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38">
        <w:r>
          <w:rPr>
            <w:rFonts w:ascii="Arial" w:cs="Arial" w:eastAsia="Arial" w:hAnsi="Arial"/>
            <w:sz w:val="16"/>
            <w:szCs w:val="16"/>
            <w:u w:val="single" w:color="auto"/>
            <w:color w:val="0000EE"/>
          </w:rPr>
          <w:t>Specimen Share Certificate (incorporated by reference to Exhibit 4.1 of the Registration Statement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297815</wp:posOffset>
            </wp:positionH>
            <wp:positionV relativeFrom="paragraph">
              <wp:posOffset>-121920</wp:posOffset>
            </wp:positionV>
            <wp:extent cx="5145405"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145405" cy="300355"/>
                    </a:xfrm>
                    <a:prstGeom prst="rect">
                      <a:avLst/>
                    </a:prstGeom>
                    <a:noFill/>
                  </pic:spPr>
                </pic:pic>
              </a:graphicData>
            </a:graphic>
          </wp:anchor>
        </w:drawing>
      </w:r>
    </w:p>
    <w:p>
      <w:pPr>
        <w:spacing w:after="0" w:line="3" w:lineRule="exact"/>
        <w:rPr>
          <w:rFonts w:ascii="Arial" w:cs="Arial" w:eastAsia="Arial" w:hAnsi="Arial"/>
          <w:sz w:val="18"/>
          <w:szCs w:val="18"/>
          <w:u w:val="single" w:color="auto"/>
          <w:color w:val="0000EE"/>
        </w:rPr>
      </w:pPr>
    </w:p>
    <w:p>
      <w:pPr>
        <w:jc w:val="center"/>
        <w:ind w:right="-240"/>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on Form F-1 of the Registrant (File No. 333-202291) filed with the SEC on March 10, 2015).</w:t>
        </w:r>
      </w:hyperlink>
    </w:p>
    <w:p>
      <w:pPr>
        <w:spacing w:after="0" w:line="35" w:lineRule="exact"/>
        <w:rPr>
          <w:rFonts w:ascii="Arial" w:cs="Arial" w:eastAsia="Arial" w:hAnsi="Arial"/>
          <w:sz w:val="18"/>
          <w:szCs w:val="18"/>
          <w:u w:val="single" w:color="auto"/>
          <w:color w:val="0000EE"/>
        </w:rPr>
      </w:pPr>
    </w:p>
    <w:p>
      <w:pPr>
        <w:jc w:val="both"/>
        <w:ind w:left="1280" w:right="459" w:hanging="564"/>
        <w:spacing w:after="0" w:line="274" w:lineRule="auto"/>
        <w:tabs>
          <w:tab w:leader="none" w:pos="12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0000EE"/>
        </w:rPr>
        <w:t>Opinion of Meitar Liquornik Geva Leshem Tal, Israeli counsel to the Registrant, as to the validity of the ordinary shares offered hereunder (including consent).</w:t>
      </w:r>
    </w:p>
    <w:p>
      <w:pPr>
        <w:ind w:left="660"/>
        <w:spacing w:after="0"/>
        <w:tabs>
          <w:tab w:leader="none" w:pos="12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Kost Forer Gabbay &amp; Kasierer, a member of Ernst &amp; Young Global Limited.</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297815</wp:posOffset>
            </wp:positionH>
            <wp:positionV relativeFrom="paragraph">
              <wp:posOffset>-121920</wp:posOffset>
            </wp:positionV>
            <wp:extent cx="5145405"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145405" cy="180340"/>
                    </a:xfrm>
                    <a:prstGeom prst="rect">
                      <a:avLst/>
                    </a:prstGeom>
                    <a:noFill/>
                  </pic:spPr>
                </pic:pic>
              </a:graphicData>
            </a:graphic>
          </wp:anchor>
        </w:drawing>
      </w:r>
    </w:p>
    <w:p>
      <w:pPr>
        <w:spacing w:after="0" w:line="57" w:lineRule="exact"/>
        <w:rPr>
          <w:rFonts w:ascii="Arial" w:cs="Arial" w:eastAsia="Arial" w:hAnsi="Arial"/>
          <w:sz w:val="18"/>
          <w:szCs w:val="18"/>
          <w:u w:val="single" w:color="auto"/>
          <w:color w:val="0000EE"/>
        </w:rPr>
      </w:pPr>
    </w:p>
    <w:p>
      <w:pPr>
        <w:ind w:left="660"/>
        <w:spacing w:after="0"/>
        <w:tabs>
          <w:tab w:leader="none" w:pos="12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Meitar Liquornik Geva Leshem Tal (included in Exhibit 5.1).</w:t>
      </w:r>
    </w:p>
    <w:p>
      <w:pPr>
        <w:spacing w:after="0" w:line="77" w:lineRule="exact"/>
        <w:rPr>
          <w:rFonts w:ascii="Arial" w:cs="Arial" w:eastAsia="Arial" w:hAnsi="Arial"/>
          <w:sz w:val="18"/>
          <w:szCs w:val="18"/>
          <w:u w:val="single" w:color="auto"/>
          <w:color w:val="0000EE"/>
        </w:rPr>
      </w:pPr>
    </w:p>
    <w:p>
      <w:pPr>
        <w:ind w:left="660"/>
        <w:spacing w:after="0"/>
        <w:tabs>
          <w:tab w:leader="none" w:pos="126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23">
        <w:r>
          <w:rPr>
            <w:rFonts w:ascii="Arial" w:cs="Arial" w:eastAsia="Arial" w:hAnsi="Arial"/>
            <w:sz w:val="16"/>
            <w:szCs w:val="16"/>
            <w:u w:val="single" w:color="auto"/>
            <w:color w:val="0000EE"/>
          </w:rPr>
          <w:t>Powers of Attorney (included in signature page to Registration Statement).</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297815</wp:posOffset>
            </wp:positionH>
            <wp:positionV relativeFrom="paragraph">
              <wp:posOffset>-121920</wp:posOffset>
            </wp:positionV>
            <wp:extent cx="514540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145405" cy="180340"/>
                    </a:xfrm>
                    <a:prstGeom prst="rect">
                      <a:avLst/>
                    </a:prstGeom>
                    <a:noFill/>
                  </pic:spPr>
                </pic:pic>
              </a:graphicData>
            </a:graphic>
          </wp:anchor>
        </w:drawing>
      </w:r>
    </w:p>
    <w:p>
      <w:pPr>
        <w:spacing w:after="0" w:line="115" w:lineRule="exact"/>
        <w:rPr>
          <w:rFonts w:ascii="Arial" w:cs="Arial" w:eastAsia="Arial" w:hAnsi="Arial"/>
          <w:sz w:val="18"/>
          <w:szCs w:val="18"/>
          <w:u w:val="single" w:color="auto"/>
          <w:color w:val="0000EE"/>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rFonts w:ascii="Arial" w:cs="Arial" w:eastAsia="Arial" w:hAnsi="Arial"/>
          <w:sz w:val="18"/>
          <w:szCs w:val="18"/>
          <w:u w:val="single" w:color="auto"/>
          <w:color w:val="0000EE"/>
        </w:rPr>
      </w:pPr>
    </w:p>
    <w:p>
      <w:pPr>
        <w:ind w:left="900" w:right="459" w:hanging="438"/>
        <w:spacing w:after="0" w:line="293" w:lineRule="auto"/>
        <w:tabs>
          <w:tab w:leader="none" w:pos="9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be filed as an exhibit to a post-effective amendment to this registration statement or as an exhibit to a report on Form 6-K and incorporated herein by reference.</w:t>
      </w:r>
    </w:p>
    <w:p>
      <w:pPr>
        <w:spacing w:after="0" w:line="164" w:lineRule="exact"/>
        <w:rPr>
          <w:rFonts w:ascii="Arial" w:cs="Arial" w:eastAsia="Arial" w:hAnsi="Arial"/>
          <w:sz w:val="18"/>
          <w:szCs w:val="18"/>
          <w:u w:val="single" w:color="auto"/>
          <w:color w:val="0000EE"/>
        </w:rPr>
      </w:pPr>
    </w:p>
    <w:p>
      <w:pPr>
        <w:ind w:left="460"/>
        <w:spacing w:after="0"/>
        <w:rPr>
          <w:sz w:val="20"/>
          <w:szCs w:val="20"/>
          <w:color w:val="auto"/>
        </w:rPr>
      </w:pPr>
      <w:r>
        <w:rPr>
          <w:rFonts w:ascii="Arial" w:cs="Arial" w:eastAsia="Arial" w:hAnsi="Arial"/>
          <w:sz w:val="18"/>
          <w:szCs w:val="18"/>
          <w:b w:val="1"/>
          <w:bCs w:val="1"/>
          <w:color w:val="auto"/>
        </w:rPr>
        <w:t>Item 10. Undertakings.</w:t>
      </w:r>
    </w:p>
    <w:p>
      <w:pPr>
        <w:spacing w:after="0" w:line="162" w:lineRule="exact"/>
        <w:rPr>
          <w:rFonts w:ascii="Arial" w:cs="Arial" w:eastAsia="Arial" w:hAnsi="Arial"/>
          <w:sz w:val="18"/>
          <w:szCs w:val="18"/>
          <w:u w:val="single" w:color="auto"/>
          <w:color w:val="0000EE"/>
        </w:rPr>
      </w:pPr>
    </w:p>
    <w:p>
      <w:pPr>
        <w:ind w:left="840" w:hanging="378"/>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320" w:right="459" w:hanging="425"/>
        <w:spacing w:after="0" w:line="277" w:lineRule="auto"/>
        <w:tabs>
          <w:tab w:leader="none" w:pos="131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9" w:lineRule="exact"/>
        <w:rPr>
          <w:rFonts w:ascii="Arial" w:cs="Arial" w:eastAsia="Arial" w:hAnsi="Arial"/>
          <w:sz w:val="18"/>
          <w:szCs w:val="18"/>
          <w:color w:val="auto"/>
        </w:rPr>
      </w:pPr>
    </w:p>
    <w:p>
      <w:pPr>
        <w:ind w:left="1760" w:right="459" w:hanging="433"/>
        <w:spacing w:after="0" w:line="277" w:lineRule="auto"/>
        <w:tabs>
          <w:tab w:leader="none" w:pos="1854"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02" w:lineRule="exact"/>
        <w:rPr>
          <w:rFonts w:ascii="Arial" w:cs="Arial" w:eastAsia="Arial" w:hAnsi="Arial"/>
          <w:sz w:val="18"/>
          <w:szCs w:val="18"/>
          <w:color w:val="auto"/>
        </w:rPr>
      </w:pPr>
    </w:p>
    <w:p>
      <w:pPr>
        <w:jc w:val="both"/>
        <w:ind w:left="1760" w:right="459" w:hanging="433"/>
        <w:spacing w:after="0" w:line="288" w:lineRule="auto"/>
        <w:tabs>
          <w:tab w:leader="none" w:pos="1730" w:val="left"/>
        </w:tabs>
        <w:numPr>
          <w:ilvl w:val="2"/>
          <w:numId w:val="1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0" w:name="page21"/>
    <w:bookmarkEnd w:id="20"/>
    <w:p>
      <w:pPr>
        <w:jc w:val="both"/>
        <w:ind w:left="1760" w:right="459" w:hanging="433"/>
        <w:spacing w:after="0" w:line="264" w:lineRule="auto"/>
        <w:tabs>
          <w:tab w:leader="none" w:pos="180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00" w:lineRule="exact"/>
        <w:rPr>
          <w:sz w:val="20"/>
          <w:szCs w:val="20"/>
          <w:color w:val="auto"/>
        </w:rPr>
      </w:pPr>
    </w:p>
    <w:p>
      <w:pPr>
        <w:jc w:val="both"/>
        <w:ind w:left="1320" w:right="459"/>
        <w:spacing w:after="0" w:line="25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(i), (ii) and (iii) above do not apply if the information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included in a post-effective amendment by those paragraphs is contained in periodic reports filed with or furnished to the Commission by the registrant pursuant to section 13 or section 15(d) of the Securities Exchange Act of 1934 (the “Exchange Act”) that are incorporated by reference in this registration statement or is contained in a form of prospectus filed pursuant to Rule 424(b) that is part of this registration statement.</w:t>
      </w:r>
    </w:p>
    <w:p>
      <w:pPr>
        <w:spacing w:after="0" w:line="126" w:lineRule="exact"/>
        <w:rPr>
          <w:sz w:val="20"/>
          <w:szCs w:val="20"/>
          <w:color w:val="auto"/>
        </w:rPr>
      </w:pPr>
    </w:p>
    <w:p>
      <w:pPr>
        <w:jc w:val="both"/>
        <w:ind w:left="1320" w:right="459" w:hanging="425"/>
        <w:spacing w:after="0" w:line="259" w:lineRule="auto"/>
        <w:tabs>
          <w:tab w:leader="none" w:pos="13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19" w:lineRule="exact"/>
        <w:rPr>
          <w:rFonts w:ascii="Arial" w:cs="Arial" w:eastAsia="Arial" w:hAnsi="Arial"/>
          <w:sz w:val="18"/>
          <w:szCs w:val="18"/>
          <w:color w:val="auto"/>
        </w:rPr>
      </w:pPr>
    </w:p>
    <w:p>
      <w:pPr>
        <w:ind w:left="1320" w:right="459" w:hanging="425"/>
        <w:spacing w:after="0" w:line="277" w:lineRule="auto"/>
        <w:tabs>
          <w:tab w:leader="none" w:pos="14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9" w:lineRule="exact"/>
        <w:rPr>
          <w:rFonts w:ascii="Arial" w:cs="Arial" w:eastAsia="Arial" w:hAnsi="Arial"/>
          <w:sz w:val="18"/>
          <w:szCs w:val="18"/>
          <w:color w:val="auto"/>
        </w:rPr>
      </w:pPr>
    </w:p>
    <w:p>
      <w:pPr>
        <w:jc w:val="both"/>
        <w:ind w:left="1320" w:right="459" w:hanging="425"/>
        <w:spacing w:after="0" w:line="287" w:lineRule="auto"/>
        <w:tabs>
          <w:tab w:leader="none" w:pos="13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or Rule 3-19 of Regulation S-X if such financial statements and information are contained in periodic reports filed with or furnished to the Commission by the registrant pursuant to section 13 or section 15(d) of the Exchange Act that are incorporated by reference in this Form F-3.</w:t>
      </w:r>
    </w:p>
    <w:p>
      <w:pPr>
        <w:spacing w:after="0" w:line="101" w:lineRule="exact"/>
        <w:rPr>
          <w:rFonts w:ascii="Arial" w:cs="Arial" w:eastAsia="Arial" w:hAnsi="Arial"/>
          <w:sz w:val="16"/>
          <w:szCs w:val="16"/>
          <w:color w:val="auto"/>
        </w:rPr>
      </w:pPr>
    </w:p>
    <w:p>
      <w:pPr>
        <w:ind w:left="1320" w:hanging="425"/>
        <w:spacing w:after="0"/>
        <w:tabs>
          <w:tab w:leader="none" w:pos="1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57" w:lineRule="exact"/>
        <w:rPr>
          <w:rFonts w:ascii="Arial" w:cs="Arial" w:eastAsia="Arial" w:hAnsi="Arial"/>
          <w:sz w:val="18"/>
          <w:szCs w:val="18"/>
          <w:color w:val="auto"/>
        </w:rPr>
      </w:pPr>
    </w:p>
    <w:p>
      <w:pPr>
        <w:jc w:val="both"/>
        <w:ind w:left="1760" w:right="459" w:hanging="433"/>
        <w:spacing w:after="0" w:line="264" w:lineRule="auto"/>
        <w:tabs>
          <w:tab w:leader="none" w:pos="17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0" w:lineRule="exact"/>
        <w:rPr>
          <w:rFonts w:ascii="Arial" w:cs="Arial" w:eastAsia="Arial" w:hAnsi="Arial"/>
          <w:sz w:val="18"/>
          <w:szCs w:val="18"/>
          <w:color w:val="auto"/>
        </w:rPr>
      </w:pPr>
    </w:p>
    <w:p>
      <w:pPr>
        <w:jc w:val="both"/>
        <w:ind w:left="1760" w:right="459" w:hanging="433"/>
        <w:spacing w:after="0" w:line="285" w:lineRule="auto"/>
        <w:tabs>
          <w:tab w:leader="none" w:pos="178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1" w:name="page22"/>
    <w:bookmarkEnd w:id="21"/>
    <w:p>
      <w:pPr>
        <w:jc w:val="both"/>
        <w:ind w:left="1320" w:right="459" w:hanging="425"/>
        <w:spacing w:after="0" w:line="255" w:lineRule="auto"/>
        <w:tabs>
          <w:tab w:leader="none" w:pos="14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8" w:lineRule="exact"/>
        <w:rPr>
          <w:rFonts w:ascii="Arial" w:cs="Arial" w:eastAsia="Arial" w:hAnsi="Arial"/>
          <w:sz w:val="18"/>
          <w:szCs w:val="18"/>
          <w:color w:val="auto"/>
        </w:rPr>
      </w:pPr>
    </w:p>
    <w:p>
      <w:pPr>
        <w:ind w:left="1760" w:right="459" w:hanging="433"/>
        <w:spacing w:after="0" w:line="277" w:lineRule="auto"/>
        <w:tabs>
          <w:tab w:leader="none" w:pos="175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02" w:lineRule="exact"/>
        <w:rPr>
          <w:rFonts w:ascii="Arial" w:cs="Arial" w:eastAsia="Arial" w:hAnsi="Arial"/>
          <w:sz w:val="18"/>
          <w:szCs w:val="18"/>
          <w:color w:val="auto"/>
        </w:rPr>
      </w:pPr>
    </w:p>
    <w:p>
      <w:pPr>
        <w:ind w:left="1760" w:right="459" w:hanging="433"/>
        <w:spacing w:after="0" w:line="277" w:lineRule="auto"/>
        <w:tabs>
          <w:tab w:leader="none" w:pos="1728"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2" w:lineRule="exact"/>
        <w:rPr>
          <w:rFonts w:ascii="Arial" w:cs="Arial" w:eastAsia="Arial" w:hAnsi="Arial"/>
          <w:sz w:val="18"/>
          <w:szCs w:val="18"/>
          <w:color w:val="auto"/>
        </w:rPr>
      </w:pPr>
    </w:p>
    <w:p>
      <w:pPr>
        <w:jc w:val="both"/>
        <w:ind w:left="1760" w:right="459" w:hanging="433"/>
        <w:spacing w:after="0" w:line="264" w:lineRule="auto"/>
        <w:tabs>
          <w:tab w:leader="none" w:pos="1793"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0" w:lineRule="exact"/>
        <w:rPr>
          <w:rFonts w:ascii="Arial" w:cs="Arial" w:eastAsia="Arial" w:hAnsi="Arial"/>
          <w:sz w:val="18"/>
          <w:szCs w:val="18"/>
          <w:color w:val="auto"/>
        </w:rPr>
      </w:pPr>
    </w:p>
    <w:p>
      <w:pPr>
        <w:ind w:left="1760" w:right="459" w:hanging="433"/>
        <w:spacing w:after="0" w:line="277" w:lineRule="auto"/>
        <w:tabs>
          <w:tab w:leader="none" w:pos="1736"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jc w:val="both"/>
        <w:ind w:left="900" w:right="459" w:hanging="438"/>
        <w:spacing w:after="0" w:line="293" w:lineRule="auto"/>
        <w:tabs>
          <w:tab w:leader="none" w:pos="94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97" w:lineRule="exact"/>
        <w:rPr>
          <w:rFonts w:ascii="Arial" w:cs="Arial" w:eastAsia="Arial" w:hAnsi="Arial"/>
          <w:sz w:val="16"/>
          <w:szCs w:val="16"/>
          <w:color w:val="auto"/>
        </w:rPr>
      </w:pPr>
    </w:p>
    <w:p>
      <w:pPr>
        <w:jc w:val="both"/>
        <w:ind w:left="900" w:right="459" w:hanging="438"/>
        <w:spacing w:after="0" w:line="269" w:lineRule="auto"/>
        <w:tabs>
          <w:tab w:leader="none" w:pos="93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1" w:lineRule="exact"/>
        <w:rPr>
          <w:rFonts w:ascii="Arial" w:cs="Arial" w:eastAsia="Arial" w:hAnsi="Arial"/>
          <w:sz w:val="17"/>
          <w:szCs w:val="17"/>
          <w:color w:val="auto"/>
        </w:rPr>
      </w:pPr>
    </w:p>
    <w:p>
      <w:pPr>
        <w:jc w:val="both"/>
        <w:ind w:left="900" w:right="459" w:hanging="438"/>
        <w:spacing w:after="0" w:line="257" w:lineRule="auto"/>
        <w:tabs>
          <w:tab w:leader="none" w:pos="9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0" w:lineRule="exact"/>
        <w:rPr>
          <w:rFonts w:ascii="Arial" w:cs="Arial" w:eastAsia="Arial" w:hAnsi="Arial"/>
          <w:sz w:val="18"/>
          <w:szCs w:val="18"/>
          <w:color w:val="auto"/>
        </w:rPr>
      </w:pPr>
    </w:p>
    <w:p>
      <w:pPr>
        <w:jc w:val="both"/>
        <w:ind w:left="900" w:right="459" w:hanging="438"/>
        <w:spacing w:after="0" w:line="279" w:lineRule="auto"/>
        <w:tabs>
          <w:tab w:leader="none" w:pos="8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Rosh Ha’Ayin, Israel on this 11</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June, 2019.</w:t>
      </w:r>
    </w:p>
    <w:p>
      <w:pPr>
        <w:spacing w:after="0" w:line="12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KORNIT DIGITAL LTD.</w:t>
      </w:r>
    </w:p>
    <w:p>
      <w:pPr>
        <w:spacing w:after="0" w:line="189"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48895</wp:posOffset>
            </wp:positionV>
            <wp:extent cx="17665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Ronen Samuel</w:t>
      </w:r>
    </w:p>
    <w:p>
      <w:pPr>
        <w:spacing w:after="0" w:line="77" w:lineRule="exact"/>
        <w:rPr>
          <w:sz w:val="20"/>
          <w:szCs w:val="20"/>
          <w:color w:val="auto"/>
        </w:rPr>
      </w:pPr>
    </w:p>
    <w:p>
      <w:pPr>
        <w:ind w:left="5200"/>
        <w:spacing w:after="0"/>
        <w:tabs>
          <w:tab w:leader="none" w:pos="5760" w:val="left"/>
        </w:tabs>
        <w:rPr>
          <w:sz w:val="20"/>
          <w:szCs w:val="20"/>
          <w:color w:val="auto"/>
        </w:rPr>
      </w:pPr>
      <w:r>
        <w:rPr>
          <w:rFonts w:ascii="Arial" w:cs="Arial" w:eastAsia="Arial" w:hAnsi="Arial"/>
          <w:sz w:val="18"/>
          <w:szCs w:val="18"/>
          <w:color w:val="auto"/>
        </w:rPr>
        <w:t>Title:</w:t>
        <w:tab/>
        <w:t>Chief Executive Officer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94"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Ronen Samuel and Guy Avidan, and each of them severally, acting alone and without the other,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48" w:lineRule="exact"/>
        <w:rPr>
          <w:sz w:val="20"/>
          <w:szCs w:val="20"/>
          <w:color w:val="auto"/>
        </w:rPr>
      </w:pPr>
    </w:p>
    <w:p>
      <w:pPr>
        <w:jc w:val="both"/>
        <w:ind w:left="460" w:right="459" w:firstLine="432"/>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and entity on June 11, 2019 in the capacities indicated:</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 w:type="dxa"/>
            <w:vAlign w:val="bottom"/>
          </w:tcPr>
          <w:p>
            <w:pPr>
              <w:spacing w:after="0"/>
              <w:rPr>
                <w:sz w:val="18"/>
                <w:szCs w:val="18"/>
                <w:color w:val="auto"/>
              </w:rPr>
            </w:pPr>
          </w:p>
        </w:tc>
        <w:tc>
          <w:tcPr>
            <w:tcW w:w="3020" w:type="dxa"/>
            <w:vAlign w:val="bottom"/>
            <w:gridSpan w:val="2"/>
          </w:tcPr>
          <w:p>
            <w:pPr>
              <w:ind w:left="840"/>
              <w:spacing w:after="0"/>
              <w:rPr>
                <w:sz w:val="20"/>
                <w:szCs w:val="20"/>
                <w:color w:val="auto"/>
              </w:rPr>
            </w:pPr>
            <w:r>
              <w:rPr>
                <w:rFonts w:ascii="Arial" w:cs="Arial" w:eastAsia="Arial" w:hAnsi="Arial"/>
                <w:sz w:val="16"/>
                <w:szCs w:val="16"/>
                <w:b w:val="1"/>
                <w:bCs w:val="1"/>
                <w:color w:val="auto"/>
              </w:rPr>
              <w:t>Signatures</w:t>
            </w:r>
          </w:p>
        </w:tc>
        <w:tc>
          <w:tcPr>
            <w:tcW w:w="40" w:type="dxa"/>
            <w:vAlign w:val="bottom"/>
          </w:tcPr>
          <w:p>
            <w:pPr>
              <w:spacing w:after="0"/>
              <w:rPr>
                <w:sz w:val="18"/>
                <w:szCs w:val="18"/>
                <w:color w:val="auto"/>
              </w:rPr>
            </w:pPr>
          </w:p>
        </w:tc>
        <w:tc>
          <w:tcPr>
            <w:tcW w:w="450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0" w:type="dxa"/>
            <w:vAlign w:val="bottom"/>
          </w:tcPr>
          <w:p>
            <w:pPr>
              <w:spacing w:after="0"/>
              <w:rPr>
                <w:sz w:val="1"/>
                <w:szCs w:val="1"/>
                <w:color w:val="auto"/>
              </w:rPr>
            </w:pPr>
          </w:p>
        </w:tc>
      </w:tr>
      <w:tr>
        <w:trPr>
          <w:trHeight w:val="87"/>
        </w:trPr>
        <w:tc>
          <w:tcPr>
            <w:tcW w:w="56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/s/ Ronen Samuel</w:t>
            </w:r>
          </w:p>
        </w:tc>
        <w:tc>
          <w:tcPr>
            <w:tcW w:w="40" w:type="dxa"/>
            <w:vAlign w:val="bottom"/>
          </w:tcPr>
          <w:p>
            <w:pPr>
              <w:spacing w:after="0"/>
              <w:rPr>
                <w:sz w:val="19"/>
                <w:szCs w:val="19"/>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94"/>
        </w:trPr>
        <w:tc>
          <w:tcPr>
            <w:tcW w:w="5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Ronen Samuel</w:t>
            </w:r>
          </w:p>
        </w:tc>
        <w:tc>
          <w:tcPr>
            <w:tcW w:w="40" w:type="dxa"/>
            <w:vAlign w:val="bottom"/>
            <w:vMerge w:val="continue"/>
          </w:tcPr>
          <w:p>
            <w:pPr>
              <w:spacing w:after="0"/>
              <w:rPr>
                <w:sz w:val="19"/>
                <w:szCs w:val="19"/>
                <w:color w:val="auto"/>
              </w:rPr>
            </w:pPr>
          </w:p>
        </w:tc>
        <w:tc>
          <w:tcPr>
            <w:tcW w:w="4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/s/ Guy Avidan</w:t>
            </w:r>
          </w:p>
        </w:tc>
        <w:tc>
          <w:tcPr>
            <w:tcW w:w="40" w:type="dxa"/>
            <w:vAlign w:val="bottom"/>
          </w:tcPr>
          <w:p>
            <w:pPr>
              <w:spacing w:after="0"/>
              <w:rPr>
                <w:sz w:val="22"/>
                <w:szCs w:val="22"/>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(Principal Financial Officer and Principal Accounting Officer)</w:t>
            </w: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Guy Avidan</w:t>
            </w:r>
          </w:p>
        </w:tc>
        <w:tc>
          <w:tcPr>
            <w:tcW w:w="4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/s/ Yuval Cohen</w:t>
            </w:r>
          </w:p>
        </w:tc>
        <w:tc>
          <w:tcPr>
            <w:tcW w:w="40" w:type="dxa"/>
            <w:vAlign w:val="bottom"/>
          </w:tcPr>
          <w:p>
            <w:pPr>
              <w:spacing w:after="0"/>
              <w:rPr>
                <w:sz w:val="22"/>
                <w:szCs w:val="22"/>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Yuval Cohen</w:t>
            </w: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/s/ Gabi Seligsohn</w:t>
            </w:r>
          </w:p>
        </w:tc>
        <w:tc>
          <w:tcPr>
            <w:tcW w:w="40" w:type="dxa"/>
            <w:vAlign w:val="bottom"/>
          </w:tcPr>
          <w:p>
            <w:pPr>
              <w:spacing w:after="0"/>
              <w:rPr>
                <w:sz w:val="22"/>
                <w:szCs w:val="22"/>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Gabi Seligsohn</w:t>
            </w: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/s/ Ofer Ben-Zur</w:t>
            </w:r>
          </w:p>
        </w:tc>
        <w:tc>
          <w:tcPr>
            <w:tcW w:w="40" w:type="dxa"/>
            <w:vAlign w:val="bottom"/>
          </w:tcPr>
          <w:p>
            <w:pPr>
              <w:spacing w:after="0"/>
              <w:rPr>
                <w:sz w:val="22"/>
                <w:szCs w:val="22"/>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Ofer Ben-Zur</w:t>
            </w: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/s/ Eli Blatt</w:t>
            </w:r>
          </w:p>
        </w:tc>
        <w:tc>
          <w:tcPr>
            <w:tcW w:w="40" w:type="dxa"/>
            <w:vAlign w:val="bottom"/>
          </w:tcPr>
          <w:p>
            <w:pPr>
              <w:spacing w:after="0"/>
              <w:rPr>
                <w:sz w:val="22"/>
                <w:szCs w:val="22"/>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98"/>
              </w:rPr>
              <w:t>Eli Blatt</w:t>
            </w: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/s/ Lauri Hanover</w:t>
            </w:r>
          </w:p>
        </w:tc>
        <w:tc>
          <w:tcPr>
            <w:tcW w:w="40" w:type="dxa"/>
            <w:vAlign w:val="bottom"/>
          </w:tcPr>
          <w:p>
            <w:pPr>
              <w:spacing w:after="0"/>
              <w:rPr>
                <w:sz w:val="22"/>
                <w:szCs w:val="22"/>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Lauri Hanover</w:t>
            </w: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/s/ Marc Lesnick</w:t>
            </w:r>
          </w:p>
        </w:tc>
        <w:tc>
          <w:tcPr>
            <w:tcW w:w="40" w:type="dxa"/>
            <w:vAlign w:val="bottom"/>
          </w:tcPr>
          <w:p>
            <w:pPr>
              <w:spacing w:after="0"/>
              <w:rPr>
                <w:sz w:val="22"/>
                <w:szCs w:val="22"/>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Marc Lesnick</w:t>
            </w: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93"/>
              </w:rPr>
              <w:t>/s/ Alon Lumbroso</w:t>
            </w:r>
          </w:p>
        </w:tc>
        <w:tc>
          <w:tcPr>
            <w:tcW w:w="40" w:type="dxa"/>
            <w:vAlign w:val="bottom"/>
          </w:tcPr>
          <w:p>
            <w:pPr>
              <w:spacing w:after="0"/>
              <w:rPr>
                <w:sz w:val="22"/>
                <w:szCs w:val="22"/>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Alon Lumbroso</w:t>
            </w: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/s/ Yehoshua Nir</w:t>
            </w:r>
          </w:p>
        </w:tc>
        <w:tc>
          <w:tcPr>
            <w:tcW w:w="40" w:type="dxa"/>
            <w:vAlign w:val="bottom"/>
          </w:tcPr>
          <w:p>
            <w:pPr>
              <w:spacing w:after="0"/>
              <w:rPr>
                <w:sz w:val="22"/>
                <w:szCs w:val="22"/>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Yehoshua Nir</w:t>
            </w: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0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/s/ Dov Ofer</w:t>
            </w:r>
          </w:p>
        </w:tc>
        <w:tc>
          <w:tcPr>
            <w:tcW w:w="40" w:type="dxa"/>
            <w:vAlign w:val="bottom"/>
          </w:tcPr>
          <w:p>
            <w:pPr>
              <w:spacing w:after="0"/>
              <w:rPr>
                <w:sz w:val="22"/>
                <w:szCs w:val="22"/>
                <w:color w:val="auto"/>
              </w:rPr>
            </w:pPr>
          </w:p>
        </w:tc>
        <w:tc>
          <w:tcPr>
            <w:tcW w:w="450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5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30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Dov Ofer</w:t>
            </w: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580" w:type="dxa"/>
            <w:vAlign w:val="bottom"/>
            <w:gridSpan w:val="3"/>
          </w:tcPr>
          <w:p>
            <w:pPr>
              <w:spacing w:after="0"/>
              <w:rPr>
                <w:sz w:val="20"/>
                <w:szCs w:val="20"/>
                <w:color w:val="auto"/>
              </w:rPr>
            </w:pPr>
            <w:r>
              <w:rPr>
                <w:rFonts w:ascii="Arial" w:cs="Arial" w:eastAsia="Arial" w:hAnsi="Arial"/>
                <w:sz w:val="18"/>
                <w:szCs w:val="18"/>
                <w:b w:val="1"/>
                <w:bCs w:val="1"/>
                <w:color w:val="auto"/>
              </w:rPr>
              <w:t>KORNIT DIGITAL NORTH AMERICA INC.</w:t>
            </w:r>
          </w:p>
        </w:tc>
        <w:tc>
          <w:tcPr>
            <w:tcW w:w="4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0"/>
              </w:rPr>
              <w:t>Authorized Representative in the United States</w:t>
            </w:r>
          </w:p>
        </w:tc>
        <w:tc>
          <w:tcPr>
            <w:tcW w:w="0" w:type="dxa"/>
            <w:vAlign w:val="bottom"/>
          </w:tcPr>
          <w:p>
            <w:pPr>
              <w:spacing w:after="0"/>
              <w:rPr>
                <w:sz w:val="1"/>
                <w:szCs w:val="1"/>
                <w:color w:val="auto"/>
              </w:rPr>
            </w:pPr>
          </w:p>
        </w:tc>
      </w:tr>
      <w:tr>
        <w:trPr>
          <w:trHeight w:val="44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020" w:type="dxa"/>
            <w:vAlign w:val="bottom"/>
            <w:gridSpan w:val="2"/>
          </w:tcPr>
          <w:p>
            <w:pPr>
              <w:spacing w:after="0"/>
              <w:rPr>
                <w:sz w:val="20"/>
                <w:szCs w:val="20"/>
                <w:color w:val="auto"/>
              </w:rPr>
            </w:pPr>
            <w:r>
              <w:rPr>
                <w:rFonts w:ascii="Arial" w:cs="Arial" w:eastAsia="Arial" w:hAnsi="Arial"/>
                <w:sz w:val="18"/>
                <w:szCs w:val="18"/>
                <w:color w:val="auto"/>
              </w:rPr>
              <w:t>/s/ Shai Terem</w:t>
            </w:r>
          </w:p>
        </w:tc>
        <w:tc>
          <w:tcPr>
            <w:tcW w:w="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980" w:type="dxa"/>
            <w:vAlign w:val="bottom"/>
            <w:tcBorders>
              <w:bottom w:val="single" w:sz="8" w:color="auto"/>
            </w:tcBorders>
          </w:tcPr>
          <w:p>
            <w:pPr>
              <w:spacing w:after="0"/>
              <w:rPr>
                <w:sz w:val="5"/>
                <w:szCs w:val="5"/>
                <w:color w:val="auto"/>
              </w:rPr>
            </w:pPr>
          </w:p>
        </w:tc>
        <w:tc>
          <w:tcPr>
            <w:tcW w:w="104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4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60" w:type="dxa"/>
            <w:vAlign w:val="bottom"/>
            <w:vMerge w:val="continue"/>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Shai Terem</w:t>
            </w:r>
          </w:p>
        </w:tc>
        <w:tc>
          <w:tcPr>
            <w:tcW w:w="10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02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4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545"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154940</wp:posOffset>
            </wp:positionV>
            <wp:extent cx="4648200" cy="857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4648200" cy="85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Ha’Amal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Rosh Ha’Ayin 4809246, Israel</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F-3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have acted as Israeli counsel to Kornit Digital Ltd., a company organized under the laws of the State of Israel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its registration statement on Form F-3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which registers the offer, issuance and sale by the Company, from time to time, of ordinary shares of the Company, par value New Israeli Shekel 0.01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opinion letter is furnished to you at your request to enable you to fulfill the requirements of Item 601(b)(5) of Regulation S-K under the Securities Act, in connection with the filing of the Registration Statement.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herewith, we have examined the originals, or photocopies or copies, certified or otherwise identified to our satisfaction, of: (i) the form of the Registration Statement, to which this opinion letter is attached as an exhibit; (ii) a copy of the articles of association of the Company, as currently in effect (the “</w:t>
      </w:r>
      <w:r>
        <w:rPr>
          <w:rFonts w:ascii="Arial" w:cs="Arial" w:eastAsia="Arial" w:hAnsi="Arial"/>
          <w:sz w:val="18"/>
          <w:szCs w:val="18"/>
          <w:b w:val="1"/>
          <w:bCs w:val="1"/>
          <w:color w:val="auto"/>
        </w:rPr>
        <w:t>Articles</w:t>
      </w:r>
      <w:r>
        <w:rPr>
          <w:rFonts w:ascii="Arial" w:cs="Arial" w:eastAsia="Arial" w:hAnsi="Arial"/>
          <w:sz w:val="18"/>
          <w:szCs w:val="18"/>
          <w:color w:val="auto"/>
        </w:rPr>
        <w:t>”); (iii) minutes of a meeting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at which the filing of the Registration Statement and the actions to be taken in connection therewith were approved; and (iv) such other corporate records, agreements, documents and other instruments, and such certificates or comparable documents of public officials and of officers and representatives of the Company as we have deemed necessary or appropriate as a basis for the opinion hereinafter set forth.</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We have also assumed the truth of all facts communicated to us by the Company and that all minutes of meetings of the Board and the shareholders of the Company that have been provided to us are true and accurate and have been properly prepared in accordance with the Articles and all applicable laws. We have assumed, in addition, that at the time of the execution and delivery of any definitive purchase, underwriting or similar agreement between the Company and any third party pursuant to which any of the Shares may be issued (a “</w:t>
      </w:r>
      <w:r>
        <w:rPr>
          <w:rFonts w:ascii="Arial" w:cs="Arial" w:eastAsia="Arial" w:hAnsi="Arial"/>
          <w:sz w:val="16"/>
          <w:szCs w:val="16"/>
          <w:b w:val="1"/>
          <w:bCs w:val="1"/>
          <w:color w:val="auto"/>
        </w:rPr>
        <w:t>Securities Agreement</w:t>
      </w:r>
      <w:r>
        <w:rPr>
          <w:rFonts w:ascii="Arial" w:cs="Arial" w:eastAsia="Arial" w:hAnsi="Arial"/>
          <w:sz w:val="16"/>
          <w:szCs w:val="16"/>
          <w:color w:val="auto"/>
        </w:rPr>
        <w:t>”), the Securities Agreement will be the valid and legally binding obligation of such third party, enforceable against such third party in accordance with its terms. We have further assumed that at the time of the issuance and sale of any of the Shares, such issuance and sale will have been established so as not to violate any applicable law or result in a default under or breach of any agreement or instrument binding upon the Company and so as to comply with any requirement or restriction imposed by any court or governmental body having jurisdiction over the Company.</w:t>
      </w:r>
    </w:p>
    <w:p>
      <w:pPr>
        <w:spacing w:after="0" w:line="16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both"/>
        <w:ind w:firstLine="648"/>
        <w:spacing w:after="0" w:line="270" w:lineRule="auto"/>
        <w:rPr>
          <w:sz w:val="20"/>
          <w:szCs w:val="20"/>
          <w:color w:val="auto"/>
        </w:rPr>
      </w:pPr>
      <w:r>
        <w:rPr>
          <w:rFonts w:ascii="Arial" w:cs="Arial" w:eastAsia="Arial" w:hAnsi="Arial"/>
          <w:sz w:val="17"/>
          <w:szCs w:val="17"/>
          <w:color w:val="auto"/>
        </w:rPr>
        <w:t>Based upon and subject to the foregoing, we are of the opinion that assuming (a) the taking of all necessary corporate action to authorize and approve the issuance of any Shares, the terms of the offering thereof and related matters (for purposes hereof, the “</w:t>
      </w:r>
      <w:r>
        <w:rPr>
          <w:rFonts w:ascii="Arial" w:cs="Arial" w:eastAsia="Arial" w:hAnsi="Arial"/>
          <w:sz w:val="17"/>
          <w:szCs w:val="17"/>
          <w:b w:val="1"/>
          <w:bCs w:val="1"/>
          <w:color w:val="auto"/>
        </w:rPr>
        <w:t>Authorizing Resolutions</w:t>
      </w:r>
      <w:r>
        <w:rPr>
          <w:rFonts w:ascii="Arial" w:cs="Arial" w:eastAsia="Arial" w:hAnsi="Arial"/>
          <w:sz w:val="17"/>
          <w:szCs w:val="17"/>
          <w:color w:val="auto"/>
        </w:rPr>
        <w:t>”), (b) the effectiveness of the Registration Statement, and any amendments thereto (including any post-effective amendments), and that such effectiveness shall not have been terminated or rescinded, (c) the delivery and filing of an appropriate prospectus supplement with respect to the offering of Shares in compliance with the Securities Act and the applicable rules and regulations thereunder, (d) approval by the Board of, and entry by the Company into, and performance by the Company under, any applicable Securities Agreement, in the form filed as an exhibit to the Registration Statement, any post-effective amendment thereto or to a Report of Foreign Private Issuer on Form 6-K, pursuant to which Shares may be issued and sold, and (e) receipt by the Company of the consideration for such Shares as provided for in the Authorizing Resolutions and in accordance with the provisions of any such Securities Agreement, such Shares will be validly issued, fully paid and non-assessable.</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have informed us that you intend to issue the Shares from time to time on a delayed or continuous basis, and this opinion is limited to the laws, including the rules and regulations, as in effect on the date hereof. We understand that prior to issuing any Shares you will afford us an opportunity to review the corporate approval documents and operative documents pursuant to which such Shares are to be issued (including an appropriate prospectus supplement), and we will file such supplement or amendment to this opinion (if any) as we may reasonably consider necessary or appropriate by reason of the terms of such issuance of Shares.</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Members of our firm are admitted to the Bar in the State of Israel, and we do not express any opinion as to the laws of any other jurisdiction. This opinion is limited to the matters stated herein and no opinion is implied or may be inferred beyond the matters expressly stated.</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consent to the filing of this opinion as an exhibit to the Registration Statement and to the reference to our firm appearing under the captions “Legal Matters” and “Enforceability of Civil Liabilities” in the prospectus forming part of the Registration Statement. In giving this consent, we do not thereby admit that we are within the category of persons whose consent is required under Section 7 of the Securities Act, the rules and regulations of the Securities and Exchange Commission promulgated thereunder, or Item 509 of Regulation S-K under the Securities Act.</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This opinion letter is rendered as of the date hereof and we disclaim any obligation to advise you of facts, circumstances, events or developments that may be brought to our attention after the effective date of the Registration Statement that may alter, affect or modify the opinions expressed herein.</w:t>
      </w:r>
    </w:p>
    <w:p>
      <w:pPr>
        <w:spacing w:after="0" w:line="12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Meitar Liquornik Geva Leshem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Meitar Liquornik Geva Leshem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F-3) and the related Prospectus of Kornit Digital Ltd. for the registration of Ordinary Shares and to the incorporation by reference therein of our report dated March 26, 2019, with respect to the consolidated financial statements of Kornit Digital Ltd. included in its Annual Report (Form 20-F) for the year ended December 31, 2018, filed with the Securities and Exchange Commission.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860" w:type="dxa"/>
            <w:vAlign w:val="bottom"/>
          </w:tcPr>
          <w:p>
            <w:pPr>
              <w:spacing w:after="0"/>
              <w:rPr>
                <w:sz w:val="21"/>
                <w:szCs w:val="21"/>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KOST, FORER, GABBAY &amp; KASIERER</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rPr>
              <w:t>Tel Aviv, Israel</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KOST, FORER, GABBAY &amp; KASIERER</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June 11, 2019</w:t>
            </w:r>
          </w:p>
        </w:tc>
        <w:tc>
          <w:tcPr>
            <w:tcW w:w="4560" w:type="dxa"/>
            <w:vAlign w:val="bottom"/>
          </w:tcPr>
          <w:p>
            <w:pPr>
              <w:spacing w:after="0"/>
              <w:rPr>
                <w:sz w:val="20"/>
                <w:szCs w:val="20"/>
                <w:color w:val="auto"/>
              </w:rPr>
            </w:pPr>
            <w:r>
              <w:rPr>
                <w:rFonts w:ascii="Arial" w:cs="Arial" w:eastAsia="Arial" w:hAnsi="Arial"/>
                <w:sz w:val="18"/>
                <w:szCs w:val="18"/>
                <w:color w:val="auto"/>
              </w:rPr>
              <w:t>A Member of EY Global</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
      <w:numFmt w:val="bullet"/>
      <w:start w:val="1"/>
    </w:lvl>
    <w:lvl w:ilvl="1">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
    <w:nsid w:val="7FDCC233"/>
    <w:multiLevelType w:val="hybridMultilevel"/>
    <w:lvl w:ilvl="0">
      <w:lvlJc w:val="left"/>
      <w:lvlText w:val="(%1)"/>
      <w:numFmt w:val="lowerRoman"/>
      <w:start w:val="3"/>
    </w:lvl>
  </w:abstractNum>
  <w:abstractNum w:abstractNumId="13">
    <w:nsid w:val="1BEFD79F"/>
    <w:multiLevelType w:val="hybridMultilevel"/>
    <w:lvl w:ilvl="0">
      <w:lvlJc w:val="left"/>
      <w:lvlText w:val="(%1)"/>
      <w:numFmt w:val="lowerLetter"/>
      <w:start w:val="2"/>
    </w:lvl>
    <w:lvl w:ilvl="1">
      <w:lvlJc w:val="left"/>
      <w:lvlText w:val="(%2)"/>
      <w:numFmt w:val="lowerRoman"/>
      <w:start w:val="1"/>
    </w:lvl>
  </w:abstractNum>
  <w:abstractNum w:abstractNumId="14">
    <w:nsid w:val="41A7C4C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5">
    <w:nsid w:val="6B68079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jpe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37" Type="http://schemas.openxmlformats.org/officeDocument/2006/relationships/hyperlink" Target="http://www.sec.gov/Archives/edgar/data/1625791/000161577415000505/s100871_ex3-2.htm" TargetMode="External"/><Relationship Id="rId38" Type="http://schemas.openxmlformats.org/officeDocument/2006/relationships/hyperlink" Target="http://www.sec.gov/Archives/edgar/data/1625791/000161577415000434/s10082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2019-12-01T18:24:52Z</dcterms:created>
  <dcterms:modified xsi:type="dcterms:W3CDTF">2019-12-01T18:24:52Z</dcterms:modified>
</cp:coreProperties>
</file>