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333-248784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Proposed</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Proposed</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Offering</w:t>
            </w:r>
          </w:p>
        </w:tc>
        <w:tc>
          <w:tcPr>
            <w:tcW w:w="14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Aggregate</w:t>
            </w:r>
          </w:p>
        </w:tc>
        <w:tc>
          <w:tcPr>
            <w:tcW w:w="140" w:type="dxa"/>
            <w:vAlign w:val="bottom"/>
          </w:tcPr>
          <w:p>
            <w:pPr>
              <w:spacing w:after="0"/>
              <w:rPr>
                <w:sz w:val="17"/>
                <w:szCs w:val="17"/>
                <w:color w:val="auto"/>
              </w:rPr>
            </w:pPr>
          </w:p>
        </w:tc>
        <w:tc>
          <w:tcPr>
            <w:tcW w:w="1160" w:type="dxa"/>
            <w:vAlign w:val="bottom"/>
          </w:tcPr>
          <w:p>
            <w:pPr>
              <w:jc w:val="center"/>
              <w:ind w:right="97"/>
              <w:spacing w:after="0"/>
              <w:rPr>
                <w:sz w:val="20"/>
                <w:szCs w:val="20"/>
                <w:color w:val="auto"/>
              </w:rPr>
            </w:pPr>
            <w:r>
              <w:rPr>
                <w:rFonts w:ascii="Arial" w:cs="Arial" w:eastAsia="Arial" w:hAnsi="Arial"/>
                <w:sz w:val="16"/>
                <w:szCs w:val="16"/>
                <w:b w:val="1"/>
                <w:bCs w:val="1"/>
                <w:color w:val="auto"/>
                <w:w w:val="94"/>
              </w:rPr>
              <w:t>Amount Of</w:t>
            </w: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To Be</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Price</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Offering</w:t>
            </w:r>
          </w:p>
        </w:tc>
        <w:tc>
          <w:tcPr>
            <w:tcW w:w="140" w:type="dxa"/>
            <w:vAlign w:val="bottom"/>
          </w:tcPr>
          <w:p>
            <w:pPr>
              <w:spacing w:after="0"/>
              <w:rPr>
                <w:sz w:val="17"/>
                <w:szCs w:val="17"/>
                <w:color w:val="auto"/>
              </w:rPr>
            </w:pPr>
          </w:p>
        </w:tc>
        <w:tc>
          <w:tcPr>
            <w:tcW w:w="1160" w:type="dxa"/>
            <w:vAlign w:val="bottom"/>
          </w:tcPr>
          <w:p>
            <w:pPr>
              <w:jc w:val="center"/>
              <w:ind w:right="97"/>
              <w:spacing w:after="0"/>
              <w:rPr>
                <w:sz w:val="20"/>
                <w:szCs w:val="20"/>
                <w:color w:val="auto"/>
              </w:rPr>
            </w:pPr>
            <w:r>
              <w:rPr>
                <w:rFonts w:ascii="Arial" w:cs="Arial" w:eastAsia="Arial" w:hAnsi="Arial"/>
                <w:sz w:val="16"/>
                <w:szCs w:val="16"/>
                <w:b w:val="1"/>
                <w:bCs w:val="1"/>
                <w:color w:val="auto"/>
                <w:w w:val="92"/>
              </w:rPr>
              <w:t>Registration</w:t>
            </w: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w w:val="93"/>
              </w:rPr>
              <w:t>Title Of Each Class Of Securities To Be Registered</w:t>
            </w: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Registered</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Per Unit</w:t>
            </w: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140" w:type="dxa"/>
            <w:vAlign w:val="bottom"/>
          </w:tcPr>
          <w:p>
            <w:pPr>
              <w:spacing w:after="0"/>
              <w:rPr>
                <w:sz w:val="18"/>
                <w:szCs w:val="18"/>
                <w:color w:val="auto"/>
              </w:rPr>
            </w:pPr>
          </w:p>
        </w:tc>
        <w:tc>
          <w:tcPr>
            <w:tcW w:w="1160" w:type="dxa"/>
            <w:vAlign w:val="bottom"/>
          </w:tcPr>
          <w:p>
            <w:pPr>
              <w:jc w:val="center"/>
              <w:ind w:right="77"/>
              <w:spacing w:after="0"/>
              <w:rPr>
                <w:sz w:val="20"/>
                <w:szCs w:val="20"/>
                <w:color w:val="auto"/>
              </w:rPr>
            </w:pPr>
            <w:r>
              <w:rPr>
                <w:rFonts w:ascii="Arial" w:cs="Arial" w:eastAsia="Arial" w:hAnsi="Arial"/>
                <w:sz w:val="16"/>
                <w:szCs w:val="16"/>
                <w:b w:val="1"/>
                <w:bCs w:val="1"/>
                <w:color w:val="auto"/>
                <w:w w:val="86"/>
              </w:rPr>
              <w:t>Fee</w:t>
            </w:r>
          </w:p>
        </w:tc>
      </w:tr>
      <w:tr>
        <w:trPr>
          <w:trHeight w:val="47"/>
        </w:trPr>
        <w:tc>
          <w:tcPr>
            <w:tcW w:w="3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4"/>
              </w:rPr>
              <w:t>Ordinary Shares, par value NIS 0.01 per share</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3,042,845</w:t>
            </w:r>
            <w:r>
              <w:rPr>
                <w:rFonts w:ascii="Arial" w:cs="Arial" w:eastAsia="Arial" w:hAnsi="Arial"/>
                <w:sz w:val="20"/>
                <w:szCs w:val="20"/>
                <w:color w:val="auto"/>
                <w:w w:val="87"/>
                <w:vertAlign w:val="superscript"/>
              </w:rPr>
              <w:t>(1)</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151.00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459,469,595.00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37,926.66</w:t>
            </w:r>
            <w:r>
              <w:rPr>
                <w:rFonts w:ascii="Arial" w:cs="Arial" w:eastAsia="Arial" w:hAnsi="Arial"/>
                <w:sz w:val="20"/>
                <w:szCs w:val="20"/>
                <w:color w:val="auto"/>
                <w:w w:val="99"/>
                <w:vertAlign w:val="superscript"/>
              </w:rPr>
              <w:t>(2)(3)</w:t>
            </w:r>
          </w:p>
        </w:tc>
      </w:tr>
      <w:tr>
        <w:trPr>
          <w:trHeight w:val="251"/>
        </w:trPr>
        <w:tc>
          <w:tcPr>
            <w:tcW w:w="354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91" w:lineRule="exact"/>
        <w:rPr>
          <w:sz w:val="24"/>
          <w:szCs w:val="24"/>
          <w:color w:val="auto"/>
        </w:rPr>
      </w:pPr>
    </w:p>
    <w:p>
      <w:pPr>
        <w:ind w:left="880" w:right="479" w:hanging="426"/>
        <w:spacing w:after="0" w:line="266" w:lineRule="auto"/>
        <w:tabs>
          <w:tab w:leader="none" w:pos="996"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396,892 shares that may be purchased by the underwriters upon exercise of the underwriters’ option to purchase additional shares.</w:t>
      </w:r>
    </w:p>
    <w:p>
      <w:pPr>
        <w:spacing w:after="0" w:line="1" w:lineRule="exact"/>
        <w:rPr>
          <w:rFonts w:ascii="Arial" w:cs="Arial" w:eastAsia="Arial" w:hAnsi="Arial"/>
          <w:sz w:val="16"/>
          <w:szCs w:val="16"/>
          <w:color w:val="auto"/>
        </w:rPr>
      </w:pPr>
    </w:p>
    <w:p>
      <w:pPr>
        <w:jc w:val="both"/>
        <w:ind w:left="880" w:right="45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is calculated and being paid pursuant to Rule 457(r) under the Securities Act of 1933, as amended (the “Securities Act”), and relates to the Registration Statement on Form F-3 (File No. 333-248784) filed by the Registrant on September 14, 2020 (“the Shelf Registration Statement”). This “Calculation of Registration Fee” table shall be deemed to update the “Calculation of Registration Fee” table in the Shelf Registration Statement in accordance with Rules 456(b) and 457(r) under the Securities Act.</w:t>
      </w:r>
    </w:p>
    <w:p>
      <w:pPr>
        <w:jc w:val="both"/>
        <w:ind w:left="880" w:right="459" w:hanging="426"/>
        <w:spacing w:after="0" w:line="276" w:lineRule="auto"/>
        <w:tabs>
          <w:tab w:leader="none" w:pos="89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paid a registration fee of $5,410.00 with respect to the registration of 705,953 of the offered shares. Accordingly, a filing fee of $32,516.67 is being paid at this time with respect to $352,870,692.00 of the maximum aggregate offering price for 2,336,892 of the offered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 prospectus dated September 14,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2,645,953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Ordinary Shares</w:t>
      </w:r>
    </w:p>
    <w:p>
      <w:pPr>
        <w:spacing w:after="0" w:line="9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159" w:lineRule="exact"/>
        <w:rPr>
          <w:sz w:val="20"/>
          <w:szCs w:val="20"/>
          <w:color w:val="auto"/>
        </w:rPr>
      </w:pPr>
    </w:p>
    <w:p>
      <w:pPr>
        <w:jc w:val="both"/>
        <w:ind w:left="460" w:right="459" w:firstLine="432"/>
        <w:spacing w:after="0" w:line="246" w:lineRule="auto"/>
        <w:rPr>
          <w:sz w:val="20"/>
          <w:szCs w:val="20"/>
          <w:color w:val="auto"/>
        </w:rPr>
      </w:pPr>
      <w:r>
        <w:rPr>
          <w:rFonts w:ascii="Arial" w:cs="Arial" w:eastAsia="Arial" w:hAnsi="Arial"/>
          <w:sz w:val="20"/>
          <w:szCs w:val="20"/>
          <w:color w:val="auto"/>
        </w:rPr>
        <w:t>We are offering for sale 1,940,000 ordinary shares, par value NIS 0.01 per share. The selling shareholder identified in this prospectus supplement is offering an additional 705,953 ordinary shares. We will not receive any of the proceeds from the sale of shares being offered by the selling shareholder.</w:t>
      </w:r>
    </w:p>
    <w:p>
      <w:pPr>
        <w:spacing w:after="0" w:line="232" w:lineRule="exact"/>
        <w:rPr>
          <w:sz w:val="20"/>
          <w:szCs w:val="20"/>
          <w:color w:val="auto"/>
        </w:rPr>
      </w:pPr>
    </w:p>
    <w:p>
      <w:pPr>
        <w:jc w:val="both"/>
        <w:ind w:left="460" w:right="479" w:firstLine="432"/>
        <w:spacing w:after="0" w:line="316" w:lineRule="auto"/>
        <w:rPr>
          <w:sz w:val="20"/>
          <w:szCs w:val="20"/>
          <w:color w:val="auto"/>
        </w:rPr>
      </w:pPr>
      <w:r>
        <w:rPr>
          <w:rFonts w:ascii="Arial" w:cs="Arial" w:eastAsia="Arial" w:hAnsi="Arial"/>
          <w:sz w:val="18"/>
          <w:szCs w:val="18"/>
          <w:color w:val="auto"/>
        </w:rPr>
        <w:t>Our ordinary shares are listed on the Nasdaq Global Select Market under the symbol “KRNT.” On November 18, 2021, the last reported sales price of our ordinary shares was $155.01 per share.</w:t>
      </w:r>
    </w:p>
    <w:p>
      <w:pPr>
        <w:spacing w:after="0" w:line="29"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____________________</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 Share</w:t>
            </w:r>
          </w:p>
        </w:tc>
        <w:tc>
          <w:tcPr>
            <w:tcW w:w="28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46"/>
        </w:trPr>
        <w:tc>
          <w:tcPr>
            <w:tcW w:w="46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399,538,903</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13,983,862</w:t>
            </w:r>
          </w:p>
        </w:tc>
      </w:tr>
      <w:tr>
        <w:trPr>
          <w:trHeight w:val="41"/>
        </w:trPr>
        <w:tc>
          <w:tcPr>
            <w:tcW w:w="4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282,687,100</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Proceeds, before expenses, to the selling shareholder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102,867,941</w:t>
            </w:r>
          </w:p>
        </w:tc>
      </w:tr>
    </w:tbl>
    <w:p>
      <w:pPr>
        <w:spacing w:after="0" w:line="280"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20"/>
          <w:szCs w:val="20"/>
          <w:color w:val="auto"/>
        </w:rPr>
        <w:t>The underwriters may also exercise their option to purchase up to an additional 396,892 ordinary shares from us at the public offering price, less underwriting discounts and commissions, for 30 days after the date of this prospectus supplement.</w:t>
      </w:r>
    </w:p>
    <w:p>
      <w:pPr>
        <w:spacing w:after="0" w:line="22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20"/>
          <w:szCs w:val="20"/>
          <w:b w:val="1"/>
          <w:bCs w:val="1"/>
          <w:color w:val="auto"/>
        </w:rPr>
        <w:t>Investing in our ordinary shares involves risks that are described in the “Risk Factors” section beginning on page S-4 of this prospectus supplement and in the documents incorporated by reference.</w:t>
      </w:r>
    </w:p>
    <w:p>
      <w:pPr>
        <w:spacing w:after="0" w:line="204" w:lineRule="exact"/>
        <w:rPr>
          <w:sz w:val="20"/>
          <w:szCs w:val="20"/>
          <w:color w:val="auto"/>
        </w:rPr>
      </w:pPr>
    </w:p>
    <w:p>
      <w:pPr>
        <w:jc w:val="both"/>
        <w:ind w:left="460" w:right="479" w:firstLine="432"/>
        <w:spacing w:after="0" w:line="28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89" w:lineRule="exact"/>
        <w:rPr>
          <w:sz w:val="20"/>
          <w:szCs w:val="20"/>
          <w:color w:val="auto"/>
        </w:rPr>
      </w:pPr>
    </w:p>
    <w:p>
      <w:pPr>
        <w:jc w:val="both"/>
        <w:ind w:left="460" w:right="479" w:firstLine="432"/>
        <w:spacing w:after="0" w:line="260" w:lineRule="auto"/>
        <w:rPr>
          <w:sz w:val="20"/>
          <w:szCs w:val="20"/>
          <w:color w:val="auto"/>
        </w:rPr>
      </w:pPr>
      <w:r>
        <w:rPr>
          <w:rFonts w:ascii="Arial" w:cs="Arial" w:eastAsia="Arial" w:hAnsi="Arial"/>
          <w:sz w:val="20"/>
          <w:szCs w:val="20"/>
          <w:color w:val="auto"/>
        </w:rPr>
        <w:t>The underwriters expect to deliver the ordinary shares to purchasers on or about November 23, 2021.</w:t>
      </w:r>
    </w:p>
    <w:p>
      <w:pPr>
        <w:spacing w:after="0" w:line="76"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____________________</w:t>
      </w:r>
    </w:p>
    <w:p>
      <w:pPr>
        <w:spacing w:after="0" w:line="188" w:lineRule="exact"/>
        <w:rPr>
          <w:sz w:val="20"/>
          <w:szCs w:val="20"/>
          <w:color w:val="auto"/>
        </w:rPr>
      </w:pPr>
    </w:p>
    <w:p>
      <w:pPr>
        <w:jc w:val="center"/>
        <w:ind w:left="460" w:right="499"/>
        <w:spacing w:after="0" w:line="440" w:lineRule="auto"/>
        <w:rPr>
          <w:sz w:val="20"/>
          <w:szCs w:val="20"/>
          <w:color w:val="auto"/>
        </w:rPr>
      </w:pPr>
      <w:r>
        <w:rPr>
          <w:rFonts w:ascii="Arial" w:cs="Arial" w:eastAsia="Arial" w:hAnsi="Arial"/>
          <w:sz w:val="25"/>
          <w:szCs w:val="25"/>
          <w:b w:val="1"/>
          <w:bCs w:val="1"/>
          <w:color w:val="auto"/>
        </w:rPr>
        <w:t>Citigroup   Barclays  Goldman Sachs &amp; Co. LLC   Morgan Stanley William Blair          Needham &amp; Company        Stifel Berenberg         CJS Securities        Craig-Hallum</w:t>
      </w:r>
    </w:p>
    <w:p>
      <w:pPr>
        <w:spacing w:after="0" w:line="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____________________</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date of this Prospectus Supplement is November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267335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0" w:type="dxa"/>
            <w:vAlign w:val="bottom"/>
            <w:gridSpan w:val="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r>
      <w:tr>
        <w:trPr>
          <w:trHeight w:val="413"/>
        </w:trPr>
        <w:tc>
          <w:tcPr>
            <w:tcW w:w="7260" w:type="dxa"/>
            <w:vAlign w:val="bottom"/>
            <w:gridSpan w:val="17"/>
          </w:tcPr>
          <w:p>
            <w:pPr>
              <w:spacing w:after="0"/>
              <w:rPr>
                <w:sz w:val="20"/>
                <w:szCs w:val="20"/>
                <w:color w:val="auto"/>
              </w:rPr>
            </w:pPr>
            <w:r>
              <w:rPr>
                <w:rFonts w:ascii="Arial" w:cs="Arial" w:eastAsia="Arial" w:hAnsi="Arial"/>
                <w:sz w:val="16"/>
                <w:szCs w:val="16"/>
                <w:b w:val="1"/>
                <w:bCs w:val="1"/>
                <w:color w:val="auto"/>
              </w:rPr>
              <w:t>Prospectus supplement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5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83"/>
        </w:trPr>
        <w:tc>
          <w:tcPr>
            <w:tcW w:w="7140" w:type="dxa"/>
            <w:vAlign w:val="bottom"/>
            <w:gridSpan w:val="16"/>
            <w:shd w:val="clear" w:color="auto" w:fill="CCEEFF"/>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S-ii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rPr>
              <w:t>S-iii</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S-4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5"/>
              </w:rPr>
              <w:t>S-6</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Capitalization</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S-7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Selling Shareholder</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5"/>
              </w:rPr>
              <w:t>S-8</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U.S. and Israeli Tax Considerations For Our Shareholders</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S-9</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Underwriting</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9"/>
              </w:rPr>
              <w:t>S-17</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9"/>
              </w:rPr>
              <w:t>S-24</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Enforceability of Civil Liabilities</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9"/>
              </w:rPr>
              <w:t>S-26</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Incorporation of Certain Documents By Reference</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413"/>
        </w:trPr>
        <w:tc>
          <w:tcPr>
            <w:tcW w:w="7260" w:type="dxa"/>
            <w:vAlign w:val="bottom"/>
            <w:gridSpan w:val="17"/>
          </w:tcPr>
          <w:p>
            <w:pPr>
              <w:spacing w:after="0"/>
              <w:rPr>
                <w:sz w:val="20"/>
                <w:szCs w:val="20"/>
                <w:color w:val="auto"/>
              </w:rPr>
            </w:pPr>
            <w:r>
              <w:rPr>
                <w:rFonts w:ascii="Arial" w:cs="Arial" w:eastAsia="Arial" w:hAnsi="Arial"/>
                <w:sz w:val="16"/>
                <w:szCs w:val="16"/>
                <w:b w:val="1"/>
                <w:bCs w:val="1"/>
                <w:color w:val="auto"/>
              </w:rPr>
              <w:t>Prospectus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100" w:type="dxa"/>
            <w:vAlign w:val="bottom"/>
            <w:gridSpan w:val="2"/>
          </w:tcPr>
          <w:p>
            <w:pPr>
              <w:spacing w:after="0"/>
              <w:rPr>
                <w:sz w:val="4"/>
                <w:szCs w:val="4"/>
                <w:color w:val="auto"/>
              </w:rPr>
            </w:pPr>
          </w:p>
        </w:tc>
        <w:tc>
          <w:tcPr>
            <w:tcW w:w="840" w:type="dxa"/>
            <w:vAlign w:val="bottom"/>
          </w:tcPr>
          <w:p>
            <w:pPr>
              <w:spacing w:after="0"/>
              <w:rPr>
                <w:sz w:val="4"/>
                <w:szCs w:val="4"/>
                <w:color w:val="auto"/>
              </w:rPr>
            </w:pPr>
          </w:p>
        </w:tc>
      </w:tr>
      <w:tr>
        <w:trPr>
          <w:trHeight w:val="183"/>
        </w:trPr>
        <w:tc>
          <w:tcPr>
            <w:tcW w:w="7140" w:type="dxa"/>
            <w:vAlign w:val="bottom"/>
            <w:tcBorders>
              <w:top w:val="single" w:sz="8" w:color="auto"/>
            </w:tcBorders>
            <w:gridSpan w:val="16"/>
            <w:shd w:val="clear" w:color="auto" w:fill="CCEEFF"/>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Kornit Digital Ltd.</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Ordinary Shares</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7260" w:type="dxa"/>
            <w:vAlign w:val="bottom"/>
            <w:gridSpan w:val="17"/>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3"/>
        </w:trPr>
        <w:tc>
          <w:tcPr>
            <w:tcW w:w="7260" w:type="dxa"/>
            <w:vAlign w:val="bottom"/>
            <w:gridSpan w:val="17"/>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Incorporation of Certain Documents By Reference</w:t>
              </w:r>
            </w:hyperlink>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03"/>
        </w:trPr>
        <w:tc>
          <w:tcPr>
            <w:tcW w:w="2400" w:type="dxa"/>
            <w:vAlign w:val="bottom"/>
            <w:tcBorders>
              <w:bottom w:val="single" w:sz="8" w:color="0000EE"/>
            </w:tcBorders>
            <w:gridSpan w:val="11"/>
          </w:tcPr>
          <w:p>
            <w:pPr>
              <w:spacing w:after="0" w:line="202"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Enforceability of Civil Liabilities</w:t>
              </w:r>
            </w:hyperlink>
          </w:p>
        </w:tc>
        <w:tc>
          <w:tcPr>
            <w:tcW w:w="4860" w:type="dxa"/>
            <w:vAlign w:val="bottom"/>
            <w:gridSpan w:val="6"/>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we or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and the accompanying prospectus, or contained in any free writing prospectus prepared by us or on our behalf. We have not, and the underwriters have not, authorized anyone to provide you with different information. The distribution of this prospectus supplement and sale of these securities in certain jurisdictions may be restricted by law. We and the selling shareholder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5728-1968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1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(the “Securities Act”), and Section 21E of the Securities Exchange Act of 1934, as amended (the “Exchange Act”),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including, without limitation, the impact of COVID-19 on our business. Forward-looking statements include all statements that are not historical facts and in some cases can be identified by terminology such as “believe,” “may,” “estimate,” “continue,” “anticipate,” “intend,” “should,” “plan,” “expect,” “predict,” “project,” “potential,” “will,” or the negative of these terms or other similar expressions that convey uncertainty of future events or outcomes.</w:t>
      </w:r>
    </w:p>
    <w:p>
      <w:pPr>
        <w:spacing w:after="0" w:line="10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ability to predict the results of our operations or the effects of various events, including the COVID-19 pandemic,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19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i w:val="1"/>
          <w:iCs w:val="1"/>
          <w:color w:val="auto"/>
        </w:rPr>
        <w:t>This summary highlights selected information concerning our company and the offering, including information contained elsewhere in this prospectus supplement, the accompanying prospectus or in documents incorporated by reference herein or therein.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We develop, design and market innovative, sustainable, on-demand, digital fashion and textile production technologies, with a focus on digital printing and cloud-based software workflow solutions for the global printed textile industry. We focus mainly in the fashion, apparel and home décor segments of the industry.</w:t>
      </w:r>
    </w:p>
    <w:p>
      <w:pPr>
        <w:spacing w:after="0" w:line="106"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Our vision is to create a better world where everybody can bond, design and express their identities, one impression at a time.</w:t>
      </w:r>
    </w:p>
    <w:p>
      <w:pPr>
        <w:spacing w:after="0" w:line="103"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Our mission is to write the operating system for on-demand sustainable fashion with end-to-end solutions including digital printing systems, inks, consumables, and cloud-based software workflow solutions.</w:t>
      </w:r>
    </w:p>
    <w:p>
      <w:pPr>
        <w:spacing w:after="0" w:line="116"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We aim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07"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We focus on the rapidly growing high-throughput,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 friendly manner compared to traditional printing.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14" w:lineRule="exact"/>
        <w:rPr>
          <w:sz w:val="20"/>
          <w:szCs w:val="20"/>
          <w:color w:val="auto"/>
        </w:rPr>
      </w:pPr>
    </w:p>
    <w:p>
      <w:pPr>
        <w:jc w:val="both"/>
        <w:ind w:left="540" w:right="559" w:firstLine="432"/>
        <w:spacing w:after="0" w:line="293" w:lineRule="auto"/>
        <w:rPr>
          <w:sz w:val="20"/>
          <w:szCs w:val="20"/>
          <w:color w:val="auto"/>
        </w:rPr>
      </w:pPr>
      <w:r>
        <w:rPr>
          <w:rFonts w:ascii="Arial" w:cs="Arial" w:eastAsia="Arial" w:hAnsi="Arial"/>
          <w:sz w:val="16"/>
          <w:szCs w:val="16"/>
          <w:color w:val="auto"/>
        </w:rPr>
        <w:t>Our printing solutions are differentiated from other digital methods of production because they eliminate the need to pre-treat fabrics prior to printing, thereby offering our customers the ability to digitally print high quality images and designs on a variety of fabrics in a streamlined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97" w:lineRule="exact"/>
        <w:rPr>
          <w:sz w:val="20"/>
          <w:szCs w:val="20"/>
          <w:color w:val="auto"/>
        </w:rPr>
      </w:pPr>
    </w:p>
    <w:p>
      <w:pPr>
        <w:jc w:val="both"/>
        <w:ind w:left="540" w:right="559" w:firstLine="432"/>
        <w:spacing w:after="0" w:line="241" w:lineRule="auto"/>
        <w:rPr>
          <w:sz w:val="20"/>
          <w:szCs w:val="20"/>
          <w:color w:val="auto"/>
        </w:rPr>
      </w:pPr>
      <w:r>
        <w:rPr>
          <w:rFonts w:ascii="Arial" w:cs="Arial" w:eastAsia="Arial" w:hAnsi="Arial"/>
          <w:sz w:val="18"/>
          <w:szCs w:val="18"/>
          <w:color w:val="auto"/>
        </w:rPr>
        <w:t>Our cloud software workflow solution, branded Kornit</w:t>
      </w:r>
      <w:r>
        <w:rPr>
          <w:rFonts w:ascii="Arial" w:cs="Arial" w:eastAsia="Arial" w:hAnsi="Arial"/>
          <w:sz w:val="20"/>
          <w:szCs w:val="20"/>
          <w:color w:val="auto"/>
          <w:vertAlign w:val="superscript"/>
        </w:rPr>
        <w:t>X</w:t>
      </w:r>
      <w:r>
        <w:rPr>
          <w:rFonts w:ascii="Arial" w:cs="Arial" w:eastAsia="Arial" w:hAnsi="Arial"/>
          <w:sz w:val="18"/>
          <w:szCs w:val="18"/>
          <w:color w:val="auto"/>
        </w:rPr>
        <w:t>, connects the digital front-end with the physical production environment. Our platform enables creators, designers, brands, marketplaces and other content creators to produce on-demand from design, to order, to product fulfilment. Kornit</w:t>
      </w:r>
      <w:r>
        <w:rPr>
          <w:rFonts w:ascii="Arial" w:cs="Arial" w:eastAsia="Arial" w:hAnsi="Arial"/>
          <w:sz w:val="20"/>
          <w:szCs w:val="20"/>
          <w:color w:val="auto"/>
          <w:vertAlign w:val="superscript"/>
        </w:rPr>
        <w:t>X</w:t>
      </w:r>
      <w:r>
        <w:rPr>
          <w:rFonts w:ascii="Arial" w:cs="Arial" w:eastAsia="Arial" w:hAnsi="Arial"/>
          <w:sz w:val="18"/>
          <w:szCs w:val="18"/>
          <w:color w:val="auto"/>
        </w:rPr>
        <w:t xml:space="preserve"> manages and routes orders through Kornit’s global fulfilment network.</w:t>
      </w:r>
    </w:p>
    <w:p>
      <w:pPr>
        <w:spacing w:after="0" w:line="121"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options with minimal to no inventory risk. We believe we are well positioned to continue taking advantage of this trend. We believe our current market opportunity is 21 billion impressions, based on an estimated annual industry-wide run rate of impressions for the year ended December 31, 2020, with the potential to reach an estimated 31 billion impressions by the end of 2026, and 39 billion square meters of printed fabric output industry-wide, based on estimated total volume for the year ended December 31, 2020, with the potential to reach an estimated 42 billion by the end of 2026.</w:t>
      </w:r>
    </w:p>
    <w:p>
      <w:pPr>
        <w:sectPr>
          <w:pgSz w:w="11900" w:h="16838" w:orient="portrait"/>
          <w:cols w:equalWidth="0" w:num="1">
            <w:col w:w="9019"/>
          </w:cols>
          <w:pgMar w:left="1440" w:top="274"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418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418719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In August 2021, we announced the acquisition of all associated assets of Somerville, Massachusetts-based Voxel8. Voxel8’s advanced additive manufacturing technology for textiles allows for digital fabrication of functional features with zonal control of material properties, in addition to utilizing high-performance elastomers adhering to inkjet technology.</w:t>
      </w:r>
    </w:p>
    <w:p>
      <w:pPr>
        <w:spacing w:after="0" w:line="119"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In September 2021, we released our 2020 Impact Report on Environmental, Social and Corporate Governance: Progress, Action and Future Goals (the “2020 Impact Report”) in which we set forth the sustainability goals which we are targeting for 2026 of reducing overproduction by 1.1 billion apparel items, reducing greenhouse gas emissions by 17.2 billion kilograms and saving 4.3 trillion liters of water.</w:t>
      </w:r>
    </w:p>
    <w:p>
      <w:pPr>
        <w:spacing w:after="0" w:line="90"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We were founded in 2002 in Israel and shipped our first system in 2005. As of September 30, 2021, had approximately 1,200 active customers globally and we had over 849 employees located primarily across four regions: Israel, America, Europe and Asia Pacific. In the year ended December 31, 2020, we generated revenues of $193.3 million, representing an increase of 7.5% over the prior fiscal year. In the nine months ended September 30, 2021, we generated revenues of $234.5 million, representing an increase of 93.7% over the nine months ended September 30, 2020. In the year ended December 31, 2020, we generated 68.7% of our revenues from the Americas region, 23.9% from the Europe, Middle East and Asia (“EMEA”) region, and 7.4% from the Asia Pacific region. In the nine months ended September 30, 2021, we generated 70.1% of our revenues from the Americas region, 22.6% from the EMEA region, and 7.3% from the Asia Pacific region.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93" w:lineRule="auto"/>
        <w:rPr>
          <w:sz w:val="20"/>
          <w:szCs w:val="20"/>
          <w:color w:val="auto"/>
        </w:rPr>
      </w:pPr>
      <w:r>
        <w:rPr>
          <w:rFonts w:ascii="Arial" w:cs="Arial" w:eastAsia="Arial" w:hAnsi="Arial"/>
          <w:sz w:val="16"/>
          <w:szCs w:val="16"/>
          <w:color w:val="auto"/>
        </w:rPr>
        <w:t xml:space="preserve">We are incorporated under the laws of the State of Israel and our principal executive offices are located at 12 Ha’Amal Street, Rosh Ha’Ayin 4809246, Israel, and our telephone number is +972-3-908-5800. Our website address is </w:t>
      </w:r>
      <w:r>
        <w:rPr>
          <w:rFonts w:ascii="Arial" w:cs="Arial" w:eastAsia="Arial" w:hAnsi="Arial"/>
          <w:sz w:val="16"/>
          <w:szCs w:val="16"/>
          <w:i w:val="1"/>
          <w:iCs w:val="1"/>
          <w:color w:val="auto"/>
        </w:rPr>
        <w:t>www.kornit.com</w:t>
      </w:r>
      <w:r>
        <w:rPr>
          <w:rFonts w:ascii="Arial" w:cs="Arial" w:eastAsia="Arial" w:hAnsi="Arial"/>
          <w:sz w:val="16"/>
          <w:szCs w:val="16"/>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(888) 456-7648.</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65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46518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Ordinary shares being offered by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right="340" w:hanging="179"/>
        <w:spacing w:after="0" w:line="277" w:lineRule="auto"/>
        <w:rPr>
          <w:sz w:val="20"/>
          <w:szCs w:val="20"/>
          <w:color w:val="auto"/>
        </w:rPr>
      </w:pPr>
      <w:r>
        <w:rPr>
          <w:rFonts w:ascii="Arial" w:cs="Arial" w:eastAsia="Arial" w:hAnsi="Arial"/>
          <w:sz w:val="18"/>
          <w:szCs w:val="18"/>
          <w:color w:val="auto"/>
        </w:rPr>
        <w:t>Ordinary shares being offered by the selling shareholder</w:t>
      </w:r>
    </w:p>
    <w:p>
      <w:pPr>
        <w:spacing w:after="0" w:line="143"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Ordinary shares outstanding immediately prior to this offering</w:t>
      </w:r>
    </w:p>
    <w:p>
      <w:pPr>
        <w:spacing w:after="0" w:line="143" w:lineRule="exact"/>
        <w:rPr>
          <w:sz w:val="20"/>
          <w:szCs w:val="20"/>
          <w:color w:val="auto"/>
        </w:rPr>
      </w:pPr>
    </w:p>
    <w:p>
      <w:pPr>
        <w:ind w:left="720" w:right="540" w:hanging="179"/>
        <w:spacing w:after="0" w:line="342" w:lineRule="auto"/>
        <w:rPr>
          <w:sz w:val="20"/>
          <w:szCs w:val="20"/>
          <w:color w:val="auto"/>
        </w:rPr>
      </w:pPr>
      <w:r>
        <w:rPr>
          <w:rFonts w:ascii="Arial" w:cs="Arial" w:eastAsia="Arial" w:hAnsi="Arial"/>
          <w:sz w:val="16"/>
          <w:szCs w:val="16"/>
          <w:color w:val="auto"/>
        </w:rPr>
        <w:t>Ordinary shares outstanding upon completion of this offering</w:t>
      </w: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Nasdaq Global Select Market symbol</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jc w:val="both"/>
        <w:ind w:right="579"/>
        <w:spacing w:after="0" w:line="263" w:lineRule="auto"/>
        <w:rPr>
          <w:sz w:val="20"/>
          <w:szCs w:val="20"/>
          <w:color w:val="auto"/>
        </w:rPr>
      </w:pPr>
      <w:r>
        <w:rPr>
          <w:rFonts w:ascii="Arial" w:cs="Arial" w:eastAsia="Arial" w:hAnsi="Arial"/>
          <w:sz w:val="18"/>
          <w:szCs w:val="18"/>
          <w:color w:val="auto"/>
        </w:rPr>
        <w:t>1,940,000 ordinary shares (or 2,336,892 ordinary shares if the underwriters exercise in full their option to purchase additional ordinary shares).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705,953 ordinary shares.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46,536,716 ordinary shares.</w:t>
      </w:r>
    </w:p>
    <w:p>
      <w:pPr>
        <w:spacing w:after="0" w:line="200" w:lineRule="exact"/>
        <w:rPr>
          <w:sz w:val="20"/>
          <w:szCs w:val="20"/>
          <w:color w:val="auto"/>
        </w:rPr>
      </w:pPr>
    </w:p>
    <w:p>
      <w:pPr>
        <w:spacing w:after="0" w:line="214" w:lineRule="exact"/>
        <w:rPr>
          <w:sz w:val="20"/>
          <w:szCs w:val="20"/>
          <w:color w:val="auto"/>
        </w:rPr>
      </w:pPr>
    </w:p>
    <w:p>
      <w:pPr>
        <w:jc w:val="both"/>
        <w:ind w:right="579"/>
        <w:spacing w:after="0" w:line="263" w:lineRule="auto"/>
        <w:rPr>
          <w:sz w:val="20"/>
          <w:szCs w:val="20"/>
          <w:color w:val="auto"/>
        </w:rPr>
      </w:pPr>
      <w:r>
        <w:rPr>
          <w:rFonts w:ascii="Arial" w:cs="Arial" w:eastAsia="Arial" w:hAnsi="Arial"/>
          <w:sz w:val="18"/>
          <w:szCs w:val="18"/>
          <w:color w:val="auto"/>
        </w:rPr>
        <w:t>49,182,669 ordinary shares (or 49,579,561 ordinary shares if the underwriters exercise in full their option to purchase additional ordinary shares).</w:t>
      </w:r>
    </w:p>
    <w:p>
      <w:pPr>
        <w:spacing w:after="0" w:line="143" w:lineRule="exact"/>
        <w:rPr>
          <w:sz w:val="20"/>
          <w:szCs w:val="20"/>
          <w:color w:val="auto"/>
        </w:rPr>
      </w:pPr>
    </w:p>
    <w:p>
      <w:pPr>
        <w:jc w:val="both"/>
        <w:ind w:right="559"/>
        <w:spacing w:after="0" w:line="269" w:lineRule="auto"/>
        <w:rPr>
          <w:sz w:val="20"/>
          <w:szCs w:val="20"/>
          <w:color w:val="auto"/>
        </w:rPr>
      </w:pPr>
      <w:r>
        <w:rPr>
          <w:rFonts w:ascii="Arial" w:cs="Arial" w:eastAsia="Arial" w:hAnsi="Arial"/>
          <w:sz w:val="17"/>
          <w:szCs w:val="17"/>
          <w:color w:val="auto"/>
        </w:rPr>
        <w:t>We expect to receive net proceeds from this offering of approximately $282.0 million, or approximately $339.8 million if the underwriters exercise in full their option to purchase additional ordinary shares, after deducting underwriting discounts and commissions and estimated offering expenses payable by us. We intend to use the net proceeds from this offering for future potential acquisitions, including complementary businesses, technologies or assets, and for general corporate purposes, including working capital and capital expenditures. See “Use of Proceeds.”</w:t>
      </w:r>
    </w:p>
    <w:p>
      <w:pPr>
        <w:spacing w:after="0" w:line="158"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We will not receive any of the proceeds from the sale of shares by the selling shareholder.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“KRNT”</w:t>
      </w:r>
    </w:p>
    <w:p>
      <w:pPr>
        <w:spacing w:after="0" w:line="198"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See “Risk Factors” and other information included and incorporated by reference in this prospectus supplement and the accompanying prospectus for a discussion of factors you should carefully consider before deciding to invest in our ordinary shares.</w:t>
      </w:r>
    </w:p>
    <w:p>
      <w:pPr>
        <w:spacing w:after="0" w:line="200" w:lineRule="exact"/>
        <w:rPr>
          <w:sz w:val="20"/>
          <w:szCs w:val="20"/>
          <w:color w:val="auto"/>
        </w:rPr>
      </w:pPr>
    </w:p>
    <w:p>
      <w:pPr>
        <w:sectPr>
          <w:pgSz w:w="11900" w:h="16838" w:orient="portrait"/>
          <w:cols w:equalWidth="0" w:num="2">
            <w:col w:w="3520" w:space="260"/>
            <w:col w:w="5239"/>
          </w:cols>
          <w:pgMar w:left="1440" w:top="274" w:right="1440" w:bottom="1440" w:gutter="0" w:footer="0" w:header="0"/>
          <w:type w:val="continuous"/>
        </w:sectPr>
      </w:pPr>
    </w:p>
    <w:p>
      <w:pPr>
        <w:spacing w:after="0" w:line="1" w:lineRule="exact"/>
        <w:rPr>
          <w:sz w:val="20"/>
          <w:szCs w:val="20"/>
          <w:color w:val="auto"/>
        </w:rPr>
      </w:pPr>
    </w:p>
    <w:p>
      <w:pPr>
        <w:jc w:val="both"/>
        <w:ind w:left="540" w:right="559" w:firstLine="432"/>
        <w:spacing w:after="0" w:line="291" w:lineRule="auto"/>
        <w:rPr>
          <w:sz w:val="20"/>
          <w:szCs w:val="20"/>
          <w:color w:val="auto"/>
        </w:rPr>
      </w:pPr>
      <w:r>
        <w:rPr>
          <w:rFonts w:ascii="Arial" w:cs="Arial" w:eastAsia="Arial" w:hAnsi="Arial"/>
          <w:sz w:val="16"/>
          <w:szCs w:val="16"/>
          <w:color w:val="auto"/>
        </w:rPr>
        <w:t>Unless otherwise indicated, the number of ordinary shares outstanding before and after this offering is based on the number of ordinary shares outstanding as of September 30, 2021 and excludes as of that date:</w:t>
      </w:r>
    </w:p>
    <w:p>
      <w:pPr>
        <w:jc w:val="both"/>
        <w:ind w:left="540" w:right="559" w:firstLine="4"/>
        <w:spacing w:after="0" w:line="281" w:lineRule="auto"/>
        <w:tabs>
          <w:tab w:leader="none" w:pos="807" w:val="left"/>
        </w:tabs>
        <w:numPr>
          <w:ilvl w:val="0"/>
          <w:numId w:val="2"/>
        </w:numPr>
        <w:rPr>
          <w:rFonts w:ascii="Arial" w:cs="Arial" w:eastAsia="Arial" w:hAnsi="Arial"/>
          <w:sz w:val="16"/>
          <w:szCs w:val="16"/>
          <w:color w:val="auto"/>
        </w:rPr>
      </w:pPr>
      <w:r>
        <w:rPr>
          <w:rFonts w:ascii="Arial" w:cs="Arial" w:eastAsia="Arial" w:hAnsi="Arial"/>
          <w:sz w:val="16"/>
          <w:szCs w:val="16"/>
          <w:color w:val="auto"/>
        </w:rPr>
        <w:t>4,111,196 ordinary shares available for future awards under our equity incentive plans, (2) an additional 451,979 ordinary shares underlying outstanding options under our equity incentive plans, at a weighted average exercise price of $19.60 per share, and (3) 733,958 ordinary shares issuable pursuant to restricted share units and performance share units outstanding under our equity incentive plans. It also excludes</w:t>
      </w:r>
    </w:p>
    <w:p>
      <w:pPr>
        <w:spacing w:after="0" w:line="2" w:lineRule="exact"/>
        <w:rPr>
          <w:rFonts w:ascii="Arial" w:cs="Arial" w:eastAsia="Arial" w:hAnsi="Arial"/>
          <w:sz w:val="16"/>
          <w:szCs w:val="16"/>
          <w:color w:val="auto"/>
        </w:rPr>
      </w:pPr>
    </w:p>
    <w:p>
      <w:pPr>
        <w:jc w:val="both"/>
        <w:ind w:left="540" w:right="559" w:firstLine="4"/>
        <w:spacing w:after="0" w:line="269" w:lineRule="auto"/>
        <w:tabs>
          <w:tab w:leader="none" w:pos="826" w:val="left"/>
        </w:tabs>
        <w:numPr>
          <w:ilvl w:val="0"/>
          <w:numId w:val="3"/>
        </w:numPr>
        <w:rPr>
          <w:rFonts w:ascii="Arial" w:cs="Arial" w:eastAsia="Arial" w:hAnsi="Arial"/>
          <w:sz w:val="17"/>
          <w:szCs w:val="17"/>
          <w:color w:val="auto"/>
        </w:rPr>
      </w:pPr>
      <w:r>
        <w:rPr>
          <w:rFonts w:ascii="Arial" w:cs="Arial" w:eastAsia="Arial" w:hAnsi="Arial"/>
          <w:sz w:val="17"/>
          <w:szCs w:val="17"/>
          <w:color w:val="auto"/>
        </w:rPr>
        <w:t>769,713 ordinary shares issuable pursuant to warrants we issued to an affiliate of Amazon.com, Inc. (“Amazon”), all of which were vested and exercisable as of November 12, 2021 at an exercise price of $13.04 per share (the “Original Warrant”) and (2) ordinary shares issuable pursuant to warrants we issued to Amazon to acquire up to 3,401,028 of our ordinary shares at a purchase price of $59.26 per share (the “New Warrant”), 544,145 of which were vested and exercisable as of November 12, 2021. The selling shareholder exercised the Original Warrant on a cashless (net) exercise basis in connection with this offering resulting in the issuance to it of 705,953 ordinary shares.</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otherwise indicated, all information contained in this prospectus:</w:t>
      </w:r>
    </w:p>
    <w:p>
      <w:pPr>
        <w:spacing w:after="0" w:line="144" w:lineRule="exact"/>
        <w:rPr>
          <w:sz w:val="20"/>
          <w:szCs w:val="20"/>
          <w:color w:val="auto"/>
        </w:rPr>
      </w:pPr>
    </w:p>
    <w:p>
      <w:pPr>
        <w:ind w:left="1400" w:right="559" w:hanging="424"/>
        <w:spacing w:after="0" w:line="277" w:lineRule="auto"/>
        <w:tabs>
          <w:tab w:leader="none" w:pos="1431"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no exercise of the option granted to the underwriters to purchase from us up to 396,892 additional ordinary shares; and</w:t>
      </w:r>
    </w:p>
    <w:p>
      <w:pPr>
        <w:spacing w:after="0" w:line="102" w:lineRule="exact"/>
        <w:rPr>
          <w:rFonts w:ascii="Arial" w:cs="Arial" w:eastAsia="Arial" w:hAnsi="Arial"/>
          <w:sz w:val="18"/>
          <w:szCs w:val="18"/>
          <w:color w:val="auto"/>
        </w:rPr>
      </w:pPr>
    </w:p>
    <w:p>
      <w:pPr>
        <w:jc w:val="both"/>
        <w:ind w:left="1400" w:right="559" w:hanging="424"/>
        <w:spacing w:after="0" w:line="263" w:lineRule="auto"/>
        <w:tabs>
          <w:tab w:leader="none" w:pos="1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gives effect to the exercise of the Original Warrant held by the selling shareholder on a cashless (net) basis using the 30-day trailing VWAP as of November 18, 2021, resulting in the issuance to it of 705,953 ordinary shares.</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and therein, before deciding to purchase our ordinary shares. In addition, you should carefully consider, among other things, the section entitled “Risk Factors” beginning on page 2 of our Annual Report on Form 20-F for the year ended December 31, 2020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Our Ordinary Shares and the Offering</w:t>
      </w:r>
    </w:p>
    <w:p>
      <w:pPr>
        <w:spacing w:after="0" w:line="229"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Achieving our published goals with respect to the environmental impact of our operations and products could result in us incurring additional costs, and our failure to achieve these goals could adversely impact our reputation, employee retention, and willingness of customers to do business with us.</w:t>
      </w:r>
    </w:p>
    <w:p>
      <w:pPr>
        <w:spacing w:after="0" w:line="8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Investor advocacy groups, certain institutional investors, investment funds, lenders and other market participants, shareholders, and customers have focused increasingly on the environmental, social, and governance (ESG) or “sustainability” practices of companies. These parties have placed increased importance on the implications of the social cost of their investments. Our 2020 Impact Report set out long-term targets with respect to the environmental impact of our operations and products. These targets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If we do not achieve these targets, or if our ESG practices generally do not meet investor, lender, or other industry stakeholder expectations and standards, which continue to evolve, our reputation and access to capital may be negatively impacted and we could be the subject of government enforcement and private litigation. As a result, our share price and financial results may be adversely affected if we fail to achieve targets that we have set.</w:t>
      </w:r>
    </w:p>
    <w:p>
      <w:pPr>
        <w:spacing w:after="0" w:line="10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2020 Impact Report discussed our policies and practices on a variety of environmental, social and ethical matters, including corporate governance, climate change risks, environmental compliance, employee health and safety practices, human capital management, and workforce inclusion and diversity. It is possible that stakeholders may be dissatisfied with our ESG practices or the speed of their adoption. We could also incur additional costs and require additional resources to monitor, report, and comply with various ESG practices. This area is rapidly developing, and a failure or perceived failure by us to set appropriate goals and prioritize ESG practices could negatively impact our reputation, employee retention, and the willingness of our customers to do business with us.</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Increasing temperatures as a result of climate change may adversely affect our business and impact our results of operations.</w:t>
      </w:r>
    </w:p>
    <w:p>
      <w:pPr>
        <w:spacing w:after="0" w:line="89"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operations rely upon cooling processes, which utilize significant energy and electricity resources. Increasing temperatures as a result of climate change could potentially lead to significant increases in our usage of energy and electricity in our operations worldwide, which would cause our expenses to increase. We believe that this risk could materially adversely affect our business and impact our results of operations.</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the selling shareholder and our directors and officers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8" w:lineRule="auto"/>
        <w:rPr>
          <w:sz w:val="20"/>
          <w:szCs w:val="20"/>
          <w:color w:val="auto"/>
        </w:rPr>
      </w:pPr>
      <w:r>
        <w:rPr>
          <w:rFonts w:ascii="Arial" w:cs="Arial" w:eastAsia="Arial" w:hAnsi="Arial"/>
          <w:sz w:val="16"/>
          <w:szCs w:val="16"/>
          <w:color w:val="auto"/>
        </w:rPr>
        <w:t>shares or any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upon exercise of currently outstanding options, warrants or rights, and with respect to our directors and executive officers, ordinary shares sold pursuant to pre-existing plans established pursuant to Rule 10b5-1 under the Exchange Act),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Citigroup Global Markets Inc., Barclays Capital Inc., Goldman Sachs &amp; Co. LLC and Morgan Stanley &amp; Co. LLC, who may, in their sole discretion and at any time without notice, release all or any portion of the shares subject to those lock-up agreements. See “Underwriting.”</w:t>
      </w:r>
    </w:p>
    <w:p>
      <w:pPr>
        <w:spacing w:after="0" w:line="10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Amazon is entitled to certain registration rights with respect to shares underlying the Original Warrant and the New Warrant, once vested. All shares sold pursuant to an offering covered by a registration statement will be freely transferable except if purchased by an affiliate.</w:t>
      </w:r>
    </w:p>
    <w:p>
      <w:pPr>
        <w:spacing w:after="0" w:line="11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In addition, as of September 30, 2021, 4,111,196 ordinary shares were available for future awards under our equity incentive plans, and an additional 451,979 ordinary shares were issuable pursuant to outstanding options granted under our equity incentive plans and 733,958 were issuable pursuant to restricted share units and performance share units under our equity incentive plans. We have filed registration statements on Form S-8 under the Securities Act registering ordinary shares that we may issue under our equity incentive plans. Shares included in such registration statements may be freely sold in the public market upon issuance, except for shares held by affiliates who have certain restrictions on their ability to sell.</w:t>
      </w:r>
    </w:p>
    <w:p>
      <w:pPr>
        <w:spacing w:after="0" w:line="166"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We have broad discretion to determine how to use the funds that we receive from this offering, and we may use them in ways that may not enhance our results of operations or the price of our ordinary shares.</w:t>
      </w:r>
    </w:p>
    <w:p>
      <w:pPr>
        <w:spacing w:after="0" w:line="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currently intend to use the net proceeds that we receive from this offering for future acquisitions, including complementary businesses, technologies or assets, and for general corporate purposes, including working capital and capital expenditures.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ordinary shares could decline.</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not receive any of the proceeds from the sale of shares by the selling shareholder.</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We expect to receive net proceeds from this offering of approximately $282.0 million, or approximately $339.8 million if the underwriters exercise in full their option to purchase additional ordinary shares from us, after deducting underwriting discounts and commissions and estimated offering expenses payable by us.</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intend to use the net proceeds from this offering for future potential acquisitions, including complementary businesses, technologies or assets, and for general corporate purposes, including working capital and capital expenditures.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not receive any of the proceeds from the sale of shares by the selling shareholder.</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our cash and cash equivalents, available for sale marketable securities and total capitalization as of September 30, 2021:</w:t>
      </w:r>
    </w:p>
    <w:p>
      <w:pPr>
        <w:spacing w:after="0" w:line="103" w:lineRule="exact"/>
        <w:rPr>
          <w:sz w:val="20"/>
          <w:szCs w:val="20"/>
          <w:color w:val="auto"/>
        </w:rPr>
      </w:pPr>
    </w:p>
    <w:p>
      <w:pPr>
        <w:ind w:left="1300" w:hanging="41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57" w:lineRule="exact"/>
        <w:rPr>
          <w:rFonts w:ascii="Arial" w:cs="Arial" w:eastAsia="Arial" w:hAnsi="Arial"/>
          <w:sz w:val="18"/>
          <w:szCs w:val="18"/>
          <w:color w:val="auto"/>
        </w:rPr>
      </w:pPr>
    </w:p>
    <w:p>
      <w:pPr>
        <w:jc w:val="both"/>
        <w:ind w:left="1320" w:right="459" w:hanging="434"/>
        <w:spacing w:after="0" w:line="286" w:lineRule="auto"/>
        <w:tabs>
          <w:tab w:leader="none" w:pos="1351"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an as adjusted basis to give effect to the issuance and sale of 1,940,000 ordinary shares by us in this offering at the public offering price of $151.00 per ordinary share, after deducting underwriting discounts and commissions and estimated offering expenses payable by us.</w:t>
      </w:r>
    </w:p>
    <w:p>
      <w:pPr>
        <w:spacing w:after="0" w:line="8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There has been no material change in our capitalization from debt or equity issuances, re-capitalizations or special dividends between September 30, 2021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2020 and the financial information for the nine months ended September 30, 2021 incorporated by reference from our Report of Foreign Private Issuer on Form 6-K furnished to the SEC on November 16, 2021. See “Where You Can Find More Information.”</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291"/>
              <w:spacing w:after="0"/>
              <w:rPr>
                <w:sz w:val="20"/>
                <w:szCs w:val="20"/>
                <w:color w:val="auto"/>
              </w:rPr>
            </w:pPr>
            <w:r>
              <w:rPr>
                <w:rFonts w:ascii="Arial" w:cs="Arial" w:eastAsia="Arial" w:hAnsi="Arial"/>
                <w:sz w:val="16"/>
                <w:szCs w:val="16"/>
                <w:b w:val="1"/>
                <w:bCs w:val="1"/>
                <w:color w:val="auto"/>
              </w:rPr>
              <w:t>As of September 30, 2021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Actual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91"/>
              <w:spacing w:after="0"/>
              <w:rPr>
                <w:sz w:val="20"/>
                <w:szCs w:val="20"/>
                <w:color w:val="auto"/>
              </w:rPr>
            </w:pPr>
            <w:r>
              <w:rPr>
                <w:rFonts w:ascii="Arial" w:cs="Arial" w:eastAsia="Arial" w:hAnsi="Arial"/>
                <w:sz w:val="16"/>
                <w:szCs w:val="16"/>
                <w:color w:val="auto"/>
                <w:w w:val="90"/>
              </w:rPr>
              <w:t>(in thousands, except share data)</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and cash equivalents, deposits and short and long-term marketable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457,507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739,494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Ordinary shares, NIS 0.01 par value: 200,000,000 shares authorized, actual;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1"/>
              </w:rPr>
              <w:t>46,477,324 shares issued and outstanding, actual, and 49,123,277 shares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issued and outstanding, as adjusted</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520,884</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802,863</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42,528</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42,528</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565,135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847,123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565,135</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847,123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foregoing table excludes as of September 30, 2021: (1) 4,111,196 ordinary shares available for future awards under our equity incentive plans, (2) an additional 451,979 ordinary shares underlying outstanding options under our equity incentive plans, at a weighted average exercise price of $19.60 per share, and</w:t>
      </w:r>
    </w:p>
    <w:p>
      <w:pPr>
        <w:spacing w:after="0" w:line="2" w:lineRule="exact"/>
        <w:rPr>
          <w:sz w:val="20"/>
          <w:szCs w:val="20"/>
          <w:color w:val="auto"/>
        </w:rPr>
      </w:pPr>
    </w:p>
    <w:p>
      <w:pPr>
        <w:jc w:val="both"/>
        <w:ind w:left="460" w:right="459" w:hanging="6"/>
        <w:spacing w:after="0" w:line="287" w:lineRule="auto"/>
        <w:tabs>
          <w:tab w:leader="none" w:pos="724" w:val="left"/>
        </w:tabs>
        <w:numPr>
          <w:ilvl w:val="0"/>
          <w:numId w:val="6"/>
        </w:numPr>
        <w:rPr>
          <w:rFonts w:ascii="Arial" w:cs="Arial" w:eastAsia="Arial" w:hAnsi="Arial"/>
          <w:sz w:val="16"/>
          <w:szCs w:val="16"/>
          <w:color w:val="auto"/>
        </w:rPr>
      </w:pPr>
      <w:r>
        <w:rPr>
          <w:rFonts w:ascii="Arial" w:cs="Arial" w:eastAsia="Arial" w:hAnsi="Arial"/>
          <w:sz w:val="16"/>
          <w:szCs w:val="16"/>
          <w:color w:val="auto"/>
        </w:rPr>
        <w:t>733,958 ordinary shares issuable pursuant to restricted share units and performance share units outstanding under our equity incentive plans. Between September 30, 2021 and November 18, 2021, we issued an additional 59,392 ordinary shares in connection with the exercise of options and restricted share units issued pursuant to our equity incentive plans. It also excludes (1) 769,713 ordinary shares issuable pursuant to the Original Warrant, all of which were vested and exercisable as of November 12, 2021 and (2) 3,401,028 ordinary shares issuable pursuant to the New Warrant, 544,145 of which were vested and exercisable as of November 12, 2021 at an exercise price of $59.26 per share. The selling shareholder exercised the Original Warrant on a cashless (net) exercise basis in connection with this offering resulting in the issuance to it of 705,953 ordinary 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information with respect to the beneficial ownership of the selling shareholder of our ordinary shares as of November 18, 2021. On November 18, 2021, we had a total of 46,536,716 our ordinary shares outstanding.</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Except as otherwise indicated, to our knowledge, the selling shareholder has sole voting and investment power with respect to all ordinary shares shown as beneficially owned by it.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more information regarding our relationships with the selling shareholder and its affiliates, see “Major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and Related Party Transactions” in our Annual Report on Form 20-F for the year ended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2020 filed with the SEC on March 25,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Shares Beneficially</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Shares Beneficially</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left="637"/>
              <w:spacing w:after="0"/>
              <w:rPr>
                <w:sz w:val="20"/>
                <w:szCs w:val="20"/>
                <w:color w:val="auto"/>
              </w:rPr>
            </w:pPr>
            <w:r>
              <w:rPr>
                <w:rFonts w:ascii="Arial" w:cs="Arial" w:eastAsia="Arial" w:hAnsi="Arial"/>
                <w:sz w:val="16"/>
                <w:szCs w:val="16"/>
                <w:b w:val="1"/>
                <w:bCs w:val="1"/>
                <w:color w:val="auto"/>
                <w:w w:val="93"/>
              </w:rPr>
              <w:t>Owned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Owned</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95"/>
              </w:rPr>
              <w:t>Prior to Offering</w:t>
            </w:r>
          </w:p>
        </w:tc>
        <w:tc>
          <w:tcPr>
            <w:tcW w:w="10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1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6"/>
              </w:rPr>
              <w:t>After Offering</w:t>
            </w:r>
          </w:p>
        </w:tc>
        <w:tc>
          <w:tcPr>
            <w:tcW w:w="0" w:type="dxa"/>
            <w:vAlign w:val="bottom"/>
          </w:tcPr>
          <w:p>
            <w:pPr>
              <w:spacing w:after="0"/>
              <w:rPr>
                <w:sz w:val="1"/>
                <w:szCs w:val="1"/>
                <w:color w:val="auto"/>
              </w:rPr>
            </w:pPr>
          </w:p>
        </w:tc>
      </w:tr>
      <w:tr>
        <w:trPr>
          <w:trHeight w:val="11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86"/>
              </w:rPr>
              <w:t>Shares</w:t>
            </w: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3"/>
          </w:tcPr>
          <w:p>
            <w:pPr>
              <w:ind w:left="200"/>
              <w:spacing w:after="0"/>
              <w:rPr>
                <w:sz w:val="20"/>
                <w:szCs w:val="20"/>
                <w:color w:val="auto"/>
              </w:rPr>
            </w:pPr>
            <w:r>
              <w:rPr>
                <w:rFonts w:ascii="Arial" w:cs="Arial" w:eastAsia="Arial" w:hAnsi="Arial"/>
                <w:sz w:val="16"/>
                <w:szCs w:val="16"/>
                <w:b w:val="1"/>
                <w:bCs w:val="1"/>
                <w:color w:val="auto"/>
              </w:rPr>
              <w:t>Number</w:t>
            </w:r>
          </w:p>
        </w:tc>
        <w:tc>
          <w:tcPr>
            <w:tcW w:w="740" w:type="dxa"/>
            <w:vAlign w:val="bottom"/>
          </w:tcPr>
          <w:p>
            <w:pPr>
              <w:jc w:val="right"/>
              <w:ind w:right="115"/>
              <w:spacing w:after="0"/>
              <w:rPr>
                <w:sz w:val="20"/>
                <w:szCs w:val="20"/>
                <w:color w:val="auto"/>
              </w:rPr>
            </w:pPr>
            <w:r>
              <w:rPr>
                <w:rFonts w:ascii="Arial" w:cs="Arial" w:eastAsia="Arial" w:hAnsi="Arial"/>
                <w:sz w:val="16"/>
                <w:szCs w:val="16"/>
                <w:b w:val="1"/>
                <w:bCs w:val="1"/>
                <w:color w:val="auto"/>
                <w:w w:val="88"/>
              </w:rPr>
              <w:t>Percent</w:t>
            </w:r>
          </w:p>
        </w:tc>
        <w:tc>
          <w:tcPr>
            <w:tcW w:w="10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Offered</w:t>
            </w: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Number</w:t>
            </w:r>
          </w:p>
        </w:tc>
        <w:tc>
          <w:tcPr>
            <w:tcW w:w="1040" w:type="dxa"/>
            <w:vAlign w:val="bottom"/>
          </w:tcPr>
          <w:p>
            <w:pPr>
              <w:jc w:val="right"/>
              <w:ind w:right="115"/>
              <w:spacing w:after="0"/>
              <w:rPr>
                <w:sz w:val="20"/>
                <w:szCs w:val="20"/>
                <w:color w:val="auto"/>
              </w:rPr>
            </w:pPr>
            <w:r>
              <w:rPr>
                <w:rFonts w:ascii="Arial" w:cs="Arial" w:eastAsia="Arial" w:hAnsi="Arial"/>
                <w:sz w:val="16"/>
                <w:szCs w:val="16"/>
                <w:b w:val="1"/>
                <w:bCs w:val="1"/>
                <w:color w:val="auto"/>
              </w:rPr>
              <w:t>Percent</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99"/>
        </w:trPr>
        <w:tc>
          <w:tcPr>
            <w:tcW w:w="24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Amazon.com NV Investment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Holdings LLC</w:t>
            </w:r>
            <w:r>
              <w:rPr>
                <w:rFonts w:ascii="Arial" w:cs="Arial" w:eastAsia="Arial" w:hAnsi="Arial"/>
                <w:sz w:val="20"/>
                <w:szCs w:val="20"/>
                <w:color w:val="auto"/>
                <w:vertAlign w:val="superscript"/>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1,313,858</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705,953</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544,145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59" w:hanging="426"/>
        <w:spacing w:after="0" w:line="266" w:lineRule="auto"/>
        <w:tabs>
          <w:tab w:leader="none" w:pos="99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selling shareholder is a wholly owned subsidiary of Amazon.com, Inc., whose address is 440 Terry Avenue North, Seattle, WA 98109.</w:t>
      </w:r>
    </w:p>
    <w:p>
      <w:pPr>
        <w:spacing w:after="0" w:line="1" w:lineRule="exact"/>
        <w:rPr>
          <w:rFonts w:ascii="Arial" w:cs="Arial" w:eastAsia="Arial" w:hAnsi="Arial"/>
          <w:sz w:val="16"/>
          <w:szCs w:val="16"/>
          <w:color w:val="auto"/>
        </w:rPr>
      </w:pPr>
    </w:p>
    <w:p>
      <w:pPr>
        <w:ind w:left="880" w:right="459" w:hanging="426"/>
        <w:spacing w:after="0" w:line="264" w:lineRule="auto"/>
        <w:tabs>
          <w:tab w:leader="none" w:pos="99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selling shareholder exercised the Original Warrant on a cashless (net) exercise basis in connection with this offering resulting in the issuance to, and sale in this offering by, it of 705,953 ordinary shares.</w:t>
      </w:r>
    </w:p>
    <w:p>
      <w:pPr>
        <w:ind w:left="880" w:hanging="426"/>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49,182,669 ordinary shares outstanding upon completion of this offering.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AND ISRAELI TAX CONSIDERATIONS FOR OUR SHAREHOLDERS</w:t>
      </w:r>
    </w:p>
    <w:p>
      <w:pPr>
        <w:spacing w:after="0" w:line="148"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Israeli Tax Consequences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Taxation of Non-Israeli Shareholders</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i w:val="1"/>
          <w:iCs w:val="1"/>
          <w:color w:val="auto"/>
        </w:rPr>
        <w:t xml:space="preserve">Capital Gains Taxes Applicable to Non-Israeli Resident Shareholders. </w:t>
      </w:r>
      <w:r>
        <w:rPr>
          <w:rFonts w:ascii="Arial" w:cs="Arial" w:eastAsia="Arial" w:hAnsi="Arial"/>
          <w:sz w:val="16"/>
          <w:szCs w:val="16"/>
          <w:color w:val="auto"/>
        </w:rPr>
        <w:t>Generally, a non-Israeli 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an individual or a corporation) who derives capital gains from the sale of shares of an Israeli resident company that are not listed for trading on the Tel-Aviv Stock Exchange on the date of sale should be exempt from Israeli capital gains tax unless, among others, (i) the shares were held through a permanent establishment that the non-Israeli resident shareholder maintains in Israel, or (ii) most of the assets held, directly or indirectly, by the Israeli company — on the date of acquisition of the shares and during two years before their sale — stem from one or several of: real estate rights or real estate association rights, a right to use real estate or any asset connected to real estate in Israel, a right to exploit natural resources in Israel or a right to income from real estate located in Israel. If not exempt, a non-Israeli resident shareholder would generally be subject to tax on capital gain at the ordinary corporate tax rate (23% in 2021), if generated by a company, or at the rate of 25%, if generated by an individual, or 30%, if generated by an individual who is a “substantial shareholder” (as defined under the Israeli Income Tax Ordinance [New Version], 5721-1961), at the time of sale or at any time during the preceding 12-month period (or if the shareholder claims a deduction for interest and linkage differences expenses in connection with the purchase and holding of such shares). A “substantial shareholder” is generally defined as a person who alone or together with such person’s relative or another person who collaborates with such person on a permanent basis,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how to act, regardless of the source of such right. Individual and corporate shareholders dealing in securities in Israel are taxed at the tax rates applicable to business income (a corporate tax rate for a corporation (23% in 2021) and a marginal tax rate of up to 47% for an individual in 2021 (excluding excess tax as discussed below)) unless contrary provisions in a relevant tax treaty apply. However, non-Israeli resident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inter alia, to a person whose gains from selling or otherwise disposing of the shares are deemed to be business income.</w:t>
      </w:r>
    </w:p>
    <w:p>
      <w:pPr>
        <w:spacing w:after="0" w:line="30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Additionally, a sale of shares of an Israeli resident company by a non-Israeli resident may be exempt from Israeli capital gains tax under the provisions of an applicable tax treaty between Israel and the shareholder’s country of residence.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inter alia, if (a) the capital gains arising from such sale, exchange or disposition can be allocated to a permanent establishment that the shareholder maintained in Israel, (b) the shareholder holds, directly or indirectly, shares representing 10% or more of the voting capital of the company during any part of the 12-month period preceding such sale, exchange or disposition, subject to certain conditions, (c)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U.S. resident is an individual and was present in Israel for a period or periods aggregating to 183 days or more during the relevant taxable year, (d) the capital gains arising from such sale, exchange or disposition is attributed to real estate located in Israel, or (e) the capital gains arising from such sale, exchange or disposition are attributed to royalties. In each case, the sale, exchange or disposition of our ordinary shares would be subject to Israeli capital gains tax, to the extent applicable; however, under the United States-Israel Tax Treaty, the taxpayer may be permitted to claim a credit for such Israeli taxes against the U.S. federal income tax imposed with respect to such sale, exchange or disposition, subject to the limitations under U.S. law applicable to foreign tax credits.</w:t>
      </w:r>
    </w:p>
    <w:p>
      <w:pPr>
        <w:spacing w:after="0" w:line="11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some instances where our shareholders may be liable for Israeli capital gains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9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 xml:space="preserve">Taxation of Non-Israeli Resident Shareholders on Receipt of Dividends. </w:t>
      </w:r>
      <w:r>
        <w:rPr>
          <w:rFonts w:ascii="Arial" w:cs="Arial" w:eastAsia="Arial" w:hAnsi="Arial"/>
          <w:sz w:val="16"/>
          <w:szCs w:val="16"/>
          <w:color w:val="auto"/>
        </w:rPr>
        <w:t>Non-Israeli residents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Israel Tax Authority allowing for a reduced withholding tax rate or a tax exemption is obtained in advance). With respect to a person who is a “substantial shareholder” (as described above) at the time of receiving the dividend or at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Israel Tax Authority allowing for a reduced withholding tax rate is obtained in advance). However, a distribution of dividends to non-Israeli residents is generally subject to withholding tax at source at a rate of 15% if the dividend is distributed from income attributed to an “Approved Enterprise” or a “Benefited Enterprise” (and 20% if the dividend is distributed from income attributed to a “Preferred Enterprise” or a “Preferred Technological Enterprise” or a “Special Preferred Technological Enterprise”) (as such terms are defined in the Law for the Encouragement of Capital Investments, 5719-1959), subject to the receipt in advance of a valid certificate from the Israel Tax Authority allowing for a reduced tax rate, such 15% or 20% rates, or such lower rate as may be provided under an applicable tax treaty.</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attributed to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tax rate will be a blended rate reflecting the relative portions of the two types of income. U.S. residents (for purposes of the United States-Israel Tax Treaty)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who are subject to Israeli withholding tax on a dividend may be entitled to a credit or deduction for United States federal income tax purposes up to the amount of the taxes withheld, subject to detailed rules contained in U.S. tax legislation.</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cannot assure you that we will designate the profits that we may distribute in a way that will reduce shareholders’ tax liability.</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inter alia,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Excess Tax</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Individuals who are subject to tax in Israel (whether any such individual is an Israeli resident or non-Israeli resident) are also subject to an additional tax at a rate of 3% on their annual income exceeding NIS 647,640 for 2021 (which amount is linked to the annual change in the Israeli consumer price index), including, but not limited to, dividends, interest and capital gain.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Israeli tax law presently does not impose estate or gift taxes.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following is a discussion of the material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spacing w:after="0" w:line="80" w:lineRule="exact"/>
        <w:rPr>
          <w:sz w:val="20"/>
          <w:szCs w:val="20"/>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392"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partnerships (including entities classified as partnerships for U.S. federal income tax purposes) or other pass-through entities, or persons that will hold our shares through such an entity;</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66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77" w:lineRule="auto"/>
        <w:tabs>
          <w:tab w:leader="none" w:pos="137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that own or acquire directly, indirectly or through attribution 10.0% or more of the voting power or value of our shares; or</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accrual method taxpayers subject to special tax accounting rules as a result of their use of financial statements under Section 451(b) of the Code.</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For purposes of this description, a “U.S. Holder” is a beneficial owner of our ordinary shares that, for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federal income tax purposes, is:</w:t>
      </w:r>
    </w:p>
    <w:p>
      <w:pPr>
        <w:spacing w:after="0" w:line="143" w:lineRule="exact"/>
        <w:rPr>
          <w:sz w:val="20"/>
          <w:szCs w:val="20"/>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holder that is a citizen or resident of the United States;</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3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0" w:lineRule="exact"/>
        <w:rPr>
          <w:rFonts w:ascii="Arial" w:cs="Arial" w:eastAsia="Arial" w:hAnsi="Arial"/>
          <w:sz w:val="16"/>
          <w:szCs w:val="16"/>
          <w:color w:val="auto"/>
        </w:rPr>
      </w:pPr>
    </w:p>
    <w:p>
      <w:pPr>
        <w:jc w:val="both"/>
        <w:ind w:left="1320" w:right="459" w:hanging="434"/>
        <w:spacing w:after="0" w:line="259" w:lineRule="auto"/>
        <w:tabs>
          <w:tab w:leader="none" w:pos="14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06"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spacing w:after="0" w:line="172"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 Sale, exchange, redemption or other taxable disposition of ordinary shares”). The company does not intend to maintain calculations of its earnings and profits under U.S. federal income tax principles; therefore, any distribution (including any amount of any Israeli withholding tax) will generally be treated as a “dividend” for U.S. federal income tax purposes. Any such dividend income will not be eligible for the dividends-received deduction allowed to corporate U.S. Holders.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constitute “qualified dividend income” for U.S. federal income tax purposes. Dividends received with respect to our ordinary shares will constitute qualified dividend income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constitute qualified dividend income provided that we are not classified as a PFIC in the last year prior to the year in which such dividend is paid and the year in which such dividend is paid.</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1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8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03" w:lineRule="exact"/>
        <w:rPr>
          <w:sz w:val="20"/>
          <w:szCs w:val="20"/>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57" w:lineRule="exact"/>
        <w:rPr>
          <w:rFonts w:ascii="Arial" w:cs="Arial" w:eastAsia="Arial" w:hAnsi="Arial"/>
          <w:sz w:val="18"/>
          <w:szCs w:val="18"/>
          <w:color w:val="auto"/>
        </w:rPr>
      </w:pPr>
    </w:p>
    <w:p>
      <w:pPr>
        <w:jc w:val="both"/>
        <w:ind w:left="1320" w:right="479" w:hanging="434"/>
        <w:spacing w:after="0" w:line="259" w:lineRule="auto"/>
        <w:tabs>
          <w:tab w:leader="none" w:pos="1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Based on historic and certain estimates of our gross income, gross assets, and market capitalization (which may fluctuate from time to time) and the nature of our business, we do not believe that we were a PFIC for the taxable year ending December 31, 2020 and we do not expect that we will be classified as a PFIC for the taxable year ending December 31, 2021. However, because PFIC status is based on our income, assets and activities for the entire taxable year, it is not possible to determine whether we will be characterized as a PFIC for the 2021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 and we do not intend to make a determination of our or any of our future subsidiaries’ PFIC status in the future.</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holding period, whichever is shorter, would be subject to taxation in the manner described above. In addition, dividend distributions made to you will not qualify for the preferential rates of taxation applicable to qualified dividend income discussed above under “Distributions.”</w:t>
      </w:r>
    </w:p>
    <w:p>
      <w:pPr>
        <w:spacing w:after="0" w:line="11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9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investment in our ordinary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44"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 and the significant penalties for noncompliance.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Citigroup Global Markets Inc., Barclays Capital Inc., Goldman Sachs &amp; Co. LLC and Morgan Stanley &amp; Co. LLC are acting as representatives of the underwriters of this offering. Under the terms of an underwriting agreement, dated November 18, 2021, each of the underwriters named below has severally agreed to purchase from us and the selling shareholder the respective number of ordinary shares shown opposite its name below:</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Underwriters</w:t>
            </w: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529,191</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60" w:type="dxa"/>
            <w:vAlign w:val="bottom"/>
          </w:tcPr>
          <w:p>
            <w:pPr>
              <w:jc w:val="right"/>
              <w:spacing w:after="0"/>
              <w:rPr>
                <w:sz w:val="20"/>
                <w:szCs w:val="20"/>
                <w:color w:val="auto"/>
              </w:rPr>
            </w:pPr>
            <w:r>
              <w:rPr>
                <w:rFonts w:ascii="Arial" w:cs="Arial" w:eastAsia="Arial" w:hAnsi="Arial"/>
                <w:sz w:val="18"/>
                <w:szCs w:val="18"/>
                <w:color w:val="auto"/>
              </w:rPr>
              <w:t>529,191</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529,191</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260" w:type="dxa"/>
            <w:vAlign w:val="bottom"/>
          </w:tcPr>
          <w:p>
            <w:pPr>
              <w:jc w:val="right"/>
              <w:spacing w:after="0"/>
              <w:rPr>
                <w:sz w:val="20"/>
                <w:szCs w:val="20"/>
                <w:color w:val="auto"/>
              </w:rPr>
            </w:pPr>
            <w:r>
              <w:rPr>
                <w:rFonts w:ascii="Arial" w:cs="Arial" w:eastAsia="Arial" w:hAnsi="Arial"/>
                <w:sz w:val="18"/>
                <w:szCs w:val="18"/>
                <w:color w:val="auto"/>
              </w:rPr>
              <w:t>529,191</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158,756</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Needham &amp; Company, LLC</w:t>
            </w:r>
          </w:p>
        </w:tc>
        <w:tc>
          <w:tcPr>
            <w:tcW w:w="1260" w:type="dxa"/>
            <w:vAlign w:val="bottom"/>
          </w:tcPr>
          <w:p>
            <w:pPr>
              <w:jc w:val="right"/>
              <w:spacing w:after="0"/>
              <w:rPr>
                <w:sz w:val="20"/>
                <w:szCs w:val="20"/>
                <w:color w:val="auto"/>
              </w:rPr>
            </w:pPr>
            <w:r>
              <w:rPr>
                <w:rFonts w:ascii="Arial" w:cs="Arial" w:eastAsia="Arial" w:hAnsi="Arial"/>
                <w:sz w:val="18"/>
                <w:szCs w:val="18"/>
                <w:color w:val="auto"/>
              </w:rPr>
              <w:t>105,838</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105,838</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Berenberg Capital Markets LLC</w:t>
            </w:r>
          </w:p>
        </w:tc>
        <w:tc>
          <w:tcPr>
            <w:tcW w:w="1260" w:type="dxa"/>
            <w:vAlign w:val="bottom"/>
          </w:tcPr>
          <w:p>
            <w:pPr>
              <w:jc w:val="right"/>
              <w:spacing w:after="0"/>
              <w:rPr>
                <w:sz w:val="20"/>
                <w:szCs w:val="20"/>
                <w:color w:val="auto"/>
              </w:rPr>
            </w:pPr>
            <w:r>
              <w:rPr>
                <w:rFonts w:ascii="Arial" w:cs="Arial" w:eastAsia="Arial" w:hAnsi="Arial"/>
                <w:sz w:val="18"/>
                <w:szCs w:val="18"/>
                <w:color w:val="auto"/>
              </w:rPr>
              <w:t>52,919</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CJS Securities, Inc.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52,919</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Craig-Hallum Capital Group LLC</w:t>
            </w:r>
          </w:p>
        </w:tc>
        <w:tc>
          <w:tcPr>
            <w:tcW w:w="1260" w:type="dxa"/>
            <w:vAlign w:val="bottom"/>
          </w:tcPr>
          <w:p>
            <w:pPr>
              <w:jc w:val="right"/>
              <w:spacing w:after="0"/>
              <w:rPr>
                <w:sz w:val="20"/>
                <w:szCs w:val="20"/>
                <w:color w:val="auto"/>
              </w:rPr>
            </w:pPr>
            <w:r>
              <w:rPr>
                <w:rFonts w:ascii="Arial" w:cs="Arial" w:eastAsia="Arial" w:hAnsi="Arial"/>
                <w:sz w:val="18"/>
                <w:szCs w:val="18"/>
                <w:color w:val="auto"/>
              </w:rPr>
              <w:t>52,919</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2,645,953</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ordinary shares to the public at the public offering price set forth on the cover page of this prospectus and to dealers at that price less a concession not in excess of $3.17 per share. After the initial offering, the public offering price, concession or any other term of this offering may be changed.</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us and to the selling shareholder, before expenses.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Per Share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to the public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399,538,903</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13,983,862</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145.72</w:t>
            </w:r>
          </w:p>
        </w:tc>
        <w:tc>
          <w:tcPr>
            <w:tcW w:w="260" w:type="dxa"/>
            <w:vAlign w:val="bottom"/>
            <w:tcBorders>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282,687,100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Proceeds, before expenses, to the selling shareholder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145.72</w:t>
            </w: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102,867,941</w:t>
            </w:r>
          </w:p>
        </w:tc>
      </w:tr>
    </w:tbl>
    <w:p>
      <w:pPr>
        <w:spacing w:after="0" w:line="20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spacing w:after="0" w:line="116"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underwriting agreement provides that the underwriters’ obligation to purchase ordinary shares depends on the satisfaction of the conditions contained in the underwriting agreement including:</w:t>
      </w:r>
    </w:p>
    <w:p>
      <w:pPr>
        <w:spacing w:after="0" w:line="79" w:lineRule="exact"/>
        <w:rPr>
          <w:sz w:val="20"/>
          <w:szCs w:val="20"/>
          <w:color w:val="auto"/>
        </w:rPr>
      </w:pPr>
    </w:p>
    <w:p>
      <w:pPr>
        <w:ind w:left="1320" w:right="479" w:hanging="434"/>
        <w:spacing w:after="0" w:line="277" w:lineRule="auto"/>
        <w:tabs>
          <w:tab w:leader="none" w:pos="15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if any of the shares are purchased;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shareholder to the underwriters are true;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delivery of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estimate that our expenses for the offering, excluding underwriting discounts and commissions, will be approximately $700,000.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48"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We have granted the underwriters an option exercisable for 30 days after the date of this prospectus supplement to purchase, from time to time, in whole or in part, up to an aggregate of 396,892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We, all of our directors and executive officers and the selling shareholder have agreed that, for a period of 90 days after the date of this prospectus supplement subject to certain limited exceptions, including those described below, we and they will not directly or indirectly, without the prior written consent of each of Citigroup Global Markets Inc., Barclays Capital Inc., Goldman Sachs &amp; Co. LLC and Morgan Stanley &amp; Co. LLC,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and with respect to our directors and executive officers, ordinary shares sold pursuant to pre-existing plans established pursuant to Rule 10b5-1 under the Exchange Act),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1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Citigroup Global Markets Inc., Barclays Capital Inc., Goldman Sachs &amp; Co. LLC and Morgan Stanley &amp; Co. LLC, in their sole discretion, may release the ordinary shares and other securities subject to the lock-up agreements described above in whole or in part at any time. When determining whether or not to release ordinary shares and other securities from lock-up agreements, Citigroup Global Markets Inc., Barclays Capital Inc., Goldman Sachs &amp; Co. LLC and Morgan Stanley &amp; Co. LLC will consider, among other factors, the holder’s reasons for requesting the release, the number of ordinary shares and other securities for which the release is being requested and market conditions at the time.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and to contribute to payments that the underwriters may be required to make for these liabilities.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98" w:lineRule="exact"/>
        <w:rPr>
          <w:sz w:val="20"/>
          <w:szCs w:val="20"/>
          <w:color w:val="auto"/>
        </w:rPr>
      </w:pPr>
    </w:p>
    <w:p>
      <w:pPr>
        <w:ind w:left="1320" w:right="479" w:hanging="434"/>
        <w:spacing w:after="0" w:line="277" w:lineRule="auto"/>
        <w:tabs>
          <w:tab w:leader="none" w:pos="14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3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short position involves a sale by the underwriters of shares in excess of the number of shares the underwriters are obligated to purchase in the offering, which creates the syndicate short position. This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7" w:lineRule="auto"/>
        <w:rPr>
          <w:sz w:val="20"/>
          <w:szCs w:val="20"/>
          <w:color w:val="auto"/>
        </w:rPr>
      </w:pPr>
      <w:r>
        <w:rPr>
          <w:rFonts w:ascii="Arial" w:cs="Arial" w:eastAsia="Arial" w:hAnsi="Arial"/>
          <w:sz w:val="18"/>
          <w:szCs w:val="18"/>
          <w:color w:val="auto"/>
        </w:rPr>
        <w:t>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20" w:lineRule="exact"/>
        <w:rPr>
          <w:sz w:val="20"/>
          <w:szCs w:val="20"/>
          <w:color w:val="auto"/>
        </w:rPr>
      </w:pPr>
    </w:p>
    <w:p>
      <w:pPr>
        <w:ind w:left="1320" w:right="459" w:hanging="434"/>
        <w:spacing w:after="0" w:line="308" w:lineRule="auto"/>
        <w:tabs>
          <w:tab w:leader="none" w:pos="1392" w:val="left"/>
        </w:tabs>
        <w:numPr>
          <w:ilvl w:val="0"/>
          <w:numId w:val="14"/>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ordinary shares in the open market after the distribution has been completed in order to cover syndicate short positions.</w:t>
      </w:r>
    </w:p>
    <w:p>
      <w:pPr>
        <w:spacing w:after="0" w:line="78" w:lineRule="exact"/>
        <w:rPr>
          <w:rFonts w:ascii="Arial" w:cs="Arial" w:eastAsia="Arial" w:hAnsi="Arial"/>
          <w:sz w:val="17"/>
          <w:szCs w:val="17"/>
          <w:color w:val="auto"/>
        </w:rPr>
      </w:pPr>
    </w:p>
    <w:p>
      <w:pPr>
        <w:jc w:val="both"/>
        <w:ind w:left="1320" w:right="459" w:hanging="434"/>
        <w:spacing w:after="0" w:line="263" w:lineRule="auto"/>
        <w:tabs>
          <w:tab w:leader="none" w:pos="1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0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109"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Our ordinary shares (including the offered shares) are listed on the Nasdaq Global Select Market under the symbol “KRNT.”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2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44"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the FCA Handbook Conduct of Business Sourcebook (“COBS”) and Regulation (EU) No. 600/2014 as it forms part of domestic law by virtue of the EUWA (“UK MiFIR”), respectively;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or the FCA Handbook Product Intervention and Product Governance Sourcebook (the “UK MiFIR Product Governance Rules”) is responsible for undertaking its own target market assessment in respect of the securities (by either adopting or refining the manufacturer’s target market assessment) and determining appropriate distribution channels. None of we, the selling stockholders or any of the underwriters make or makes any representations or warranties as to a distributor’s compliance with MiFID II or the UK MiFIR Product Governance Rules.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an offer to the public of any securities which are the subject of the offering contemplated by this prospectus supplement may not be made in that Relevant State, except that an offer to the public in that Relevant State of any securities may be made at any time under the following exemptions under Article 2(e) of Regulation (EU) 2017/1129 (as amended, the “Prospectus Regulation”):</w:t>
      </w:r>
    </w:p>
    <w:p>
      <w:pPr>
        <w:spacing w:after="0" w:line="120"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44" w:lineRule="exact"/>
        <w:rPr>
          <w:rFonts w:ascii="Arial" w:cs="Arial" w:eastAsia="Arial" w:hAnsi="Arial"/>
          <w:sz w:val="18"/>
          <w:szCs w:val="18"/>
          <w:color w:val="auto"/>
        </w:rPr>
      </w:pPr>
    </w:p>
    <w:p>
      <w:pPr>
        <w:jc w:val="both"/>
        <w:ind w:left="1320" w:right="479" w:hanging="434"/>
        <w:spacing w:after="0" w:line="286" w:lineRule="auto"/>
        <w:tabs>
          <w:tab w:leader="none" w:pos="158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as permitted under the Prospectus Regulation, subject to obtaining the prior consent of the underwriters or the underwriters nominated by us for any such offer; or</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provided that no such offer of ordinary shares shall require us, the selling stockholders or any of the underwriters to publish a prospectus pursuant to Article 3 of the Prospectus Regulation or supplement a prospectus pursuant to Article 23 of the Prospectus Regulation and each person who initially acquires any ordinary shares or to whom any offer is made will be deemed to have represented, acknowledged and agreed to and with each of the underwriters that it is a “qualified investor” within the meaning of Article 2(e) of the Prospectus Regulation.</w:t>
      </w:r>
    </w:p>
    <w:p>
      <w:pPr>
        <w:spacing w:after="0" w:line="111"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For the purposes of this provision, the expression an “offer of ordinary shares to the public” in relation to the ordinary shares in any Relevant State means the communication in any form and by any means of sufficient information on the terms of the offer and the ordinary shares to be offered, so as to enable an investor to decide to purchase or subscribe the ordinary shares and the expression “Prospectus Regulation” means Regulation (EU) 2017/1129.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This prospectus supplement is only being distributed to, and is only directed at, persons in the United Kingdom that are (i) investment professionals, as such term is defined in Article 19(5) of the Financial Services and Markets Act 2000 (Financial Promotion) Order 2005, as amended (the “Financial Promotion Order”), (ii) are persons falling within Article 49(2)(a) to (d) of the Financial Promotion Order, or (iii) are persons to whom an invitation or inducement to engage in investment activity (within the meaning of Section 21 of the Financial Services and Markets Act 2000 in connection with the issue or sale of any ordinary shares may otherwise be lawfully communicated or caused to be communicated (all such persons together being referred to as “relevant persons”).</w:t>
      </w:r>
    </w:p>
    <w:p>
      <w:pPr>
        <w:spacing w:after="0" w:line="12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document does not constitute a prospectus under the Israeli Securities Law, 5728-1968, or the Israeli Securities Law, and has not been filed with or approved by the Israel Securities Authority. In Israel, this document is being distributed only to, and is directed only at, and any offer of the securities offered hereby is directed only at, (i) a limited number of persons in accordance with the Israeli Securities Law and/or</w:t>
      </w:r>
    </w:p>
    <w:p>
      <w:pPr>
        <w:spacing w:after="0" w:line="1" w:lineRule="exact"/>
        <w:rPr>
          <w:sz w:val="20"/>
          <w:szCs w:val="20"/>
          <w:color w:val="auto"/>
        </w:rPr>
      </w:pPr>
    </w:p>
    <w:p>
      <w:pPr>
        <w:jc w:val="both"/>
        <w:ind w:left="460" w:right="459" w:hanging="6"/>
        <w:spacing w:after="0" w:line="287" w:lineRule="auto"/>
        <w:tabs>
          <w:tab w:leader="none" w:pos="737"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shall be required to submit written confirmation that they fall within the scope of the Addendum, are aware of the meaning of same and agree to 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validity of the ordinary shares being offered by this prospectus supplement and other legal matters concerning this offering relating to Israeli law will be passed upon for us by Meitar Law Offices, Ramat Gan, Israel. Certain legal matters in connection with this offering relating to U.S. law will be passed upon for us by White &amp; Case LLP, New York, New York. Certain legal matters in connection with this offering will be passed upon for the underwriters by Gornitzky &amp; Co., Tel Aviv, Israel, with respect to Israeli law, and by Skadden, Arps, Slate, Meagher &amp; Flom LLP, New York, New York, with respect to U.S.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supplement by reference to Kornit Digital Ltd.’s Annual Report on Form 20-F for the year ended December 31, 2020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 under this prospectus supplement or any purchase or sale of securities in connection with any such offering. Subject to specified time limitations, legal procedures and certain exceptions, Israeli courts may enforce a United States judgment in a civil matter which is non-appealable, including a judgment based upon the civil liability provisions of the Securities Act or the Exchange Act and including a monetary or compensatory judgment in a non-civil matter, provided that, among other things:</w:t>
      </w:r>
    </w:p>
    <w:p>
      <w:pPr>
        <w:spacing w:after="0" w:line="96" w:lineRule="exact"/>
        <w:rPr>
          <w:sz w:val="20"/>
          <w:szCs w:val="20"/>
          <w:color w:val="auto"/>
        </w:rPr>
      </w:pPr>
    </w:p>
    <w:p>
      <w:pPr>
        <w:jc w:val="both"/>
        <w:ind w:left="1320" w:right="479" w:hanging="434"/>
        <w:spacing w:after="0" w:line="263" w:lineRule="auto"/>
        <w:tabs>
          <w:tab w:leader="none" w:pos="1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79" w:hanging="434"/>
        <w:spacing w:after="0" w:line="308" w:lineRule="auto"/>
        <w:tabs>
          <w:tab w:leader="none" w:pos="13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judgment is not contrary to public policy of Israel, and the enforcement of the civil liabilities set forth in the judgment is not likely to impair the security or sovereignty of Israel;</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filed with the SEC an automatic shelf registration statement on Form F-3ASR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1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0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www.kornit.com.</w:t>
      </w:r>
      <w:r>
        <w:rPr>
          <w:rFonts w:ascii="Arial" w:cs="Arial" w:eastAsia="Arial" w:hAnsi="Arial"/>
          <w:sz w:val="16"/>
          <w:szCs w:val="16"/>
          <w:color w:val="auto"/>
        </w:rPr>
        <w:t xml:space="preserve">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spacing w:after="0" w:line="120" w:lineRule="exact"/>
        <w:rPr>
          <w:sz w:val="20"/>
          <w:szCs w:val="20"/>
          <w:color w:val="auto"/>
        </w:rPr>
      </w:pPr>
    </w:p>
    <w:p>
      <w:pPr>
        <w:ind w:left="1320" w:right="459" w:hanging="434"/>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2020, filed with the SEC on March 25, 2021 (the “2020 Form 20-F”);</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solely with respect to the portions specified therein, our reports of foreign private issuer on Form 6-K furnished to the SEC on:</w:t>
      </w:r>
    </w:p>
    <w:p>
      <w:pPr>
        <w:spacing w:after="0" w:line="102" w:lineRule="exact"/>
        <w:rPr>
          <w:rFonts w:ascii="Arial" w:cs="Arial" w:eastAsia="Arial" w:hAnsi="Arial"/>
          <w:sz w:val="18"/>
          <w:szCs w:val="18"/>
          <w:color w:val="auto"/>
        </w:rPr>
      </w:pPr>
    </w:p>
    <w:p>
      <w:pPr>
        <w:ind w:left="1740" w:hanging="422"/>
        <w:spacing w:after="0"/>
        <w:tabs>
          <w:tab w:leader="none" w:pos="1740" w:val="left"/>
        </w:tabs>
        <w:numPr>
          <w:ilvl w:val="1"/>
          <w:numId w:val="18"/>
        </w:numPr>
        <w:rPr>
          <w:rFonts w:ascii="Arial" w:cs="Arial" w:eastAsia="Arial" w:hAnsi="Arial"/>
          <w:sz w:val="18"/>
          <w:szCs w:val="18"/>
          <w:color w:val="215E9E"/>
        </w:rPr>
      </w:pPr>
      <w:hyperlink r:id="rId42">
        <w:r>
          <w:rPr>
            <w:rFonts w:ascii="Arial" w:cs="Arial" w:eastAsia="Arial" w:hAnsi="Arial"/>
            <w:sz w:val="18"/>
            <w:szCs w:val="18"/>
            <w:u w:val="single" w:color="auto"/>
            <w:color w:val="215E9E"/>
          </w:rPr>
          <w:t>April 26, 2021</w:t>
        </w:r>
        <w:r>
          <w:rPr>
            <w:rFonts w:ascii="Arial" w:cs="Arial" w:eastAsia="Arial" w:hAnsi="Arial"/>
            <w:sz w:val="18"/>
            <w:szCs w:val="18"/>
            <w:color w:val="215E9E"/>
          </w:rPr>
          <w:t xml:space="preserve"> </w:t>
        </w:r>
      </w:hyperlink>
      <w:r>
        <w:rPr>
          <w:rFonts w:ascii="Arial" w:cs="Arial" w:eastAsia="Arial" w:hAnsi="Arial"/>
          <w:sz w:val="18"/>
          <w:szCs w:val="18"/>
          <w:color w:val="000000"/>
        </w:rPr>
        <w:t>(solely</w:t>
      </w:r>
      <w:r>
        <w:rPr>
          <w:rFonts w:ascii="Arial" w:cs="Arial" w:eastAsia="Arial" w:hAnsi="Arial"/>
          <w:sz w:val="18"/>
          <w:szCs w:val="18"/>
          <w:color w:val="215E9E"/>
        </w:rPr>
        <w:t xml:space="preserve"> </w:t>
      </w:r>
      <w:r>
        <w:rPr>
          <w:rFonts w:ascii="Arial" w:cs="Arial" w:eastAsia="Arial" w:hAnsi="Arial"/>
          <w:sz w:val="18"/>
          <w:szCs w:val="18"/>
          <w:color w:val="000000"/>
        </w:rPr>
        <w:t>with respect to the portions specified therein);</w:t>
      </w:r>
    </w:p>
    <w:p>
      <w:pPr>
        <w:spacing w:after="0" w:line="157" w:lineRule="exact"/>
        <w:rPr>
          <w:rFonts w:ascii="Arial" w:cs="Arial" w:eastAsia="Arial" w:hAnsi="Arial"/>
          <w:sz w:val="18"/>
          <w:szCs w:val="18"/>
          <w:color w:val="215E9E"/>
        </w:rPr>
      </w:pPr>
    </w:p>
    <w:p>
      <w:pPr>
        <w:jc w:val="both"/>
        <w:ind w:left="1760" w:right="459" w:hanging="442"/>
        <w:spacing w:after="0" w:line="286" w:lineRule="auto"/>
        <w:tabs>
          <w:tab w:leader="none" w:pos="1859" w:val="left"/>
        </w:tabs>
        <w:numPr>
          <w:ilvl w:val="1"/>
          <w:numId w:val="18"/>
        </w:numPr>
        <w:rPr>
          <w:rFonts w:ascii="Arial" w:cs="Arial" w:eastAsia="Arial" w:hAnsi="Arial"/>
          <w:sz w:val="17"/>
          <w:szCs w:val="17"/>
          <w:color w:val="215E9E"/>
        </w:rPr>
      </w:pPr>
      <w:hyperlink r:id="rId43">
        <w:r>
          <w:rPr>
            <w:rFonts w:ascii="Arial" w:cs="Arial" w:eastAsia="Arial" w:hAnsi="Arial"/>
            <w:sz w:val="17"/>
            <w:szCs w:val="17"/>
            <w:u w:val="single" w:color="auto"/>
            <w:color w:val="215E9E"/>
          </w:rPr>
          <w:t>May 11, 2021</w:t>
        </w:r>
      </w:hyperlink>
      <w:r>
        <w:rPr>
          <w:rFonts w:ascii="Arial" w:cs="Arial" w:eastAsia="Arial" w:hAnsi="Arial"/>
          <w:sz w:val="17"/>
          <w:szCs w:val="17"/>
          <w:color w:val="000000"/>
        </w:rPr>
        <w:t>,</w:t>
      </w:r>
      <w:r>
        <w:rPr>
          <w:rFonts w:ascii="Arial" w:cs="Arial" w:eastAsia="Arial" w:hAnsi="Arial"/>
          <w:sz w:val="17"/>
          <w:szCs w:val="17"/>
          <w:color w:val="215E9E"/>
        </w:rPr>
        <w:t xml:space="preserve"> </w:t>
      </w:r>
      <w:r>
        <w:rPr>
          <w:rFonts w:ascii="Arial" w:cs="Arial" w:eastAsia="Arial" w:hAnsi="Arial"/>
          <w:sz w:val="17"/>
          <w:szCs w:val="17"/>
          <w:color w:val="000000"/>
        </w:rPr>
        <w:t>as amended (solely with respect to (i) the portions specified therein, (ii) the</w:t>
      </w:r>
      <w:r>
        <w:rPr>
          <w:rFonts w:ascii="Arial" w:cs="Arial" w:eastAsia="Arial" w:hAnsi="Arial"/>
          <w:sz w:val="17"/>
          <w:szCs w:val="17"/>
          <w:color w:val="215E9E"/>
        </w:rPr>
        <w:t xml:space="preserve"> </w:t>
      </w:r>
      <w:r>
        <w:rPr>
          <w:rFonts w:ascii="Arial" w:cs="Arial" w:eastAsia="Arial" w:hAnsi="Arial"/>
          <w:sz w:val="17"/>
          <w:szCs w:val="17"/>
          <w:color w:val="000000"/>
        </w:rPr>
        <w:t>paragraph under the caption “Non-GAAP Discussion Disclosure” and (iii) the table under “Reconciliation of GAAP to Non-GAAP Consolidated Statements Of Operations”);</w:t>
      </w:r>
    </w:p>
    <w:p>
      <w:pPr>
        <w:spacing w:after="0" w:line="84" w:lineRule="exact"/>
        <w:rPr>
          <w:rFonts w:ascii="Arial" w:cs="Arial" w:eastAsia="Arial" w:hAnsi="Arial"/>
          <w:sz w:val="17"/>
          <w:szCs w:val="17"/>
          <w:color w:val="215E9E"/>
        </w:rPr>
      </w:pPr>
    </w:p>
    <w:p>
      <w:pPr>
        <w:ind w:left="1740" w:hanging="422"/>
        <w:spacing w:after="0"/>
        <w:tabs>
          <w:tab w:leader="none" w:pos="1740" w:val="left"/>
        </w:tabs>
        <w:numPr>
          <w:ilvl w:val="1"/>
          <w:numId w:val="18"/>
        </w:numPr>
        <w:rPr>
          <w:rFonts w:ascii="Arial" w:cs="Arial" w:eastAsia="Arial" w:hAnsi="Arial"/>
          <w:sz w:val="18"/>
          <w:szCs w:val="18"/>
          <w:color w:val="215E9E"/>
        </w:rPr>
      </w:pPr>
      <w:hyperlink r:id="rId44">
        <w:r>
          <w:rPr>
            <w:rFonts w:ascii="Arial" w:cs="Arial" w:eastAsia="Arial" w:hAnsi="Arial"/>
            <w:sz w:val="18"/>
            <w:szCs w:val="18"/>
            <w:u w:val="single" w:color="auto"/>
            <w:color w:val="215E9E"/>
          </w:rPr>
          <w:t>July 7, 2021</w:t>
        </w:r>
        <w:r>
          <w:rPr>
            <w:rFonts w:ascii="Arial" w:cs="Arial" w:eastAsia="Arial" w:hAnsi="Arial"/>
            <w:sz w:val="18"/>
            <w:szCs w:val="18"/>
            <w:color w:val="215E9E"/>
          </w:rPr>
          <w:t xml:space="preserve"> </w:t>
        </w:r>
      </w:hyperlink>
      <w:r>
        <w:rPr>
          <w:rFonts w:ascii="Arial" w:cs="Arial" w:eastAsia="Arial" w:hAnsi="Arial"/>
          <w:sz w:val="18"/>
          <w:szCs w:val="18"/>
          <w:color w:val="000000"/>
        </w:rPr>
        <w:t>(solely</w:t>
      </w:r>
      <w:r>
        <w:rPr>
          <w:rFonts w:ascii="Arial" w:cs="Arial" w:eastAsia="Arial" w:hAnsi="Arial"/>
          <w:sz w:val="18"/>
          <w:szCs w:val="18"/>
          <w:color w:val="215E9E"/>
        </w:rPr>
        <w:t xml:space="preserve"> </w:t>
      </w:r>
      <w:r>
        <w:rPr>
          <w:rFonts w:ascii="Arial" w:cs="Arial" w:eastAsia="Arial" w:hAnsi="Arial"/>
          <w:sz w:val="18"/>
          <w:szCs w:val="18"/>
          <w:color w:val="000000"/>
        </w:rPr>
        <w:t>with respect to the portions specified therein);</w:t>
      </w:r>
    </w:p>
    <w:p>
      <w:pPr>
        <w:spacing w:after="0" w:line="157" w:lineRule="exact"/>
        <w:rPr>
          <w:rFonts w:ascii="Arial" w:cs="Arial" w:eastAsia="Arial" w:hAnsi="Arial"/>
          <w:sz w:val="18"/>
          <w:szCs w:val="18"/>
          <w:color w:val="215E9E"/>
        </w:rPr>
      </w:pPr>
    </w:p>
    <w:p>
      <w:pPr>
        <w:jc w:val="both"/>
        <w:ind w:left="1760" w:right="459" w:hanging="442"/>
        <w:spacing w:after="0" w:line="286" w:lineRule="auto"/>
        <w:tabs>
          <w:tab w:leader="none" w:pos="1845" w:val="left"/>
        </w:tabs>
        <w:numPr>
          <w:ilvl w:val="1"/>
          <w:numId w:val="18"/>
        </w:numPr>
        <w:rPr>
          <w:rFonts w:ascii="Arial" w:cs="Arial" w:eastAsia="Arial" w:hAnsi="Arial"/>
          <w:sz w:val="17"/>
          <w:szCs w:val="17"/>
          <w:color w:val="215E9E"/>
        </w:rPr>
      </w:pPr>
      <w:hyperlink r:id="rId45">
        <w:r>
          <w:rPr>
            <w:rFonts w:ascii="Arial" w:cs="Arial" w:eastAsia="Arial" w:hAnsi="Arial"/>
            <w:sz w:val="17"/>
            <w:szCs w:val="17"/>
            <w:u w:val="single" w:color="auto"/>
            <w:color w:val="215E9E"/>
          </w:rPr>
          <w:t>August 10, 2021</w:t>
        </w:r>
        <w:r>
          <w:rPr>
            <w:rFonts w:ascii="Arial" w:cs="Arial" w:eastAsia="Arial" w:hAnsi="Arial"/>
            <w:sz w:val="17"/>
            <w:szCs w:val="17"/>
            <w:color w:val="215E9E"/>
          </w:rPr>
          <w:t xml:space="preserve"> </w:t>
        </w:r>
      </w:hyperlink>
      <w:r>
        <w:rPr>
          <w:rFonts w:ascii="Arial" w:cs="Arial" w:eastAsia="Arial" w:hAnsi="Arial"/>
          <w:sz w:val="17"/>
          <w:szCs w:val="17"/>
          <w:color w:val="000000"/>
        </w:rPr>
        <w:t>(solely</w:t>
      </w:r>
      <w:r>
        <w:rPr>
          <w:rFonts w:ascii="Arial" w:cs="Arial" w:eastAsia="Arial" w:hAnsi="Arial"/>
          <w:sz w:val="17"/>
          <w:szCs w:val="17"/>
          <w:color w:val="215E9E"/>
        </w:rPr>
        <w:t xml:space="preserve"> </w:t>
      </w:r>
      <w:r>
        <w:rPr>
          <w:rFonts w:ascii="Arial" w:cs="Arial" w:eastAsia="Arial" w:hAnsi="Arial"/>
          <w:sz w:val="17"/>
          <w:szCs w:val="17"/>
          <w:color w:val="000000"/>
        </w:rPr>
        <w:t>with respect to (i) the portions specified therein, (ii) the paragraph</w:t>
      </w:r>
      <w:r>
        <w:rPr>
          <w:rFonts w:ascii="Arial" w:cs="Arial" w:eastAsia="Arial" w:hAnsi="Arial"/>
          <w:sz w:val="17"/>
          <w:szCs w:val="17"/>
          <w:color w:val="215E9E"/>
        </w:rPr>
        <w:t xml:space="preserve"> </w:t>
      </w:r>
      <w:r>
        <w:rPr>
          <w:rFonts w:ascii="Arial" w:cs="Arial" w:eastAsia="Arial" w:hAnsi="Arial"/>
          <w:sz w:val="17"/>
          <w:szCs w:val="17"/>
          <w:color w:val="000000"/>
        </w:rPr>
        <w:t>under the caption “Non-GAAP Discussion Disclosure” and (iii) the table under “Reconciliation of GAAP to Non-GAAP Consolidated Statements Of Operations”);</w:t>
      </w:r>
    </w:p>
    <w:p>
      <w:pPr>
        <w:spacing w:after="0" w:line="97" w:lineRule="exact"/>
        <w:rPr>
          <w:rFonts w:ascii="Arial" w:cs="Arial" w:eastAsia="Arial" w:hAnsi="Arial"/>
          <w:sz w:val="17"/>
          <w:szCs w:val="17"/>
          <w:color w:val="215E9E"/>
        </w:rPr>
      </w:pPr>
    </w:p>
    <w:p>
      <w:pPr>
        <w:ind w:left="1740" w:hanging="422"/>
        <w:spacing w:after="0"/>
        <w:tabs>
          <w:tab w:leader="none" w:pos="1740" w:val="left"/>
        </w:tabs>
        <w:numPr>
          <w:ilvl w:val="1"/>
          <w:numId w:val="18"/>
        </w:numPr>
        <w:rPr>
          <w:rFonts w:ascii="Arial" w:cs="Arial" w:eastAsia="Arial" w:hAnsi="Arial"/>
          <w:sz w:val="18"/>
          <w:szCs w:val="18"/>
          <w:color w:val="215E9E"/>
        </w:rPr>
      </w:pPr>
      <w:hyperlink r:id="rId46">
        <w:r>
          <w:rPr>
            <w:rFonts w:ascii="Arial" w:cs="Arial" w:eastAsia="Arial" w:hAnsi="Arial"/>
            <w:sz w:val="18"/>
            <w:szCs w:val="18"/>
            <w:u w:val="single" w:color="auto"/>
            <w:color w:val="215E9E"/>
          </w:rPr>
          <w:t>August 10, 2021</w:t>
        </w:r>
        <w:r>
          <w:rPr>
            <w:rFonts w:ascii="Arial" w:cs="Arial" w:eastAsia="Arial" w:hAnsi="Arial"/>
            <w:sz w:val="18"/>
            <w:szCs w:val="18"/>
            <w:color w:val="215E9E"/>
          </w:rPr>
          <w:t xml:space="preserve"> </w:t>
        </w:r>
      </w:hyperlink>
      <w:r>
        <w:rPr>
          <w:rFonts w:ascii="Arial" w:cs="Arial" w:eastAsia="Arial" w:hAnsi="Arial"/>
          <w:sz w:val="18"/>
          <w:szCs w:val="18"/>
          <w:color w:val="000000"/>
        </w:rPr>
        <w:t>(solely</w:t>
      </w:r>
      <w:r>
        <w:rPr>
          <w:rFonts w:ascii="Arial" w:cs="Arial" w:eastAsia="Arial" w:hAnsi="Arial"/>
          <w:sz w:val="18"/>
          <w:szCs w:val="18"/>
          <w:color w:val="215E9E"/>
        </w:rPr>
        <w:t xml:space="preserve"> </w:t>
      </w:r>
      <w:r>
        <w:rPr>
          <w:rFonts w:ascii="Arial" w:cs="Arial" w:eastAsia="Arial" w:hAnsi="Arial"/>
          <w:sz w:val="18"/>
          <w:szCs w:val="18"/>
          <w:color w:val="000000"/>
        </w:rPr>
        <w:t>with respect to the portions specified therein);</w:t>
      </w:r>
    </w:p>
    <w:p>
      <w:pPr>
        <w:spacing w:after="0" w:line="144" w:lineRule="exact"/>
        <w:rPr>
          <w:rFonts w:ascii="Arial" w:cs="Arial" w:eastAsia="Arial" w:hAnsi="Arial"/>
          <w:sz w:val="18"/>
          <w:szCs w:val="18"/>
          <w:color w:val="215E9E"/>
        </w:rPr>
      </w:pPr>
    </w:p>
    <w:p>
      <w:pPr>
        <w:ind w:left="1740" w:hanging="422"/>
        <w:spacing w:after="0"/>
        <w:tabs>
          <w:tab w:leader="none" w:pos="1740" w:val="left"/>
        </w:tabs>
        <w:numPr>
          <w:ilvl w:val="1"/>
          <w:numId w:val="18"/>
        </w:numPr>
        <w:rPr>
          <w:rFonts w:ascii="Arial" w:cs="Arial" w:eastAsia="Arial" w:hAnsi="Arial"/>
          <w:sz w:val="18"/>
          <w:szCs w:val="18"/>
          <w:color w:val="215E9E"/>
        </w:rPr>
      </w:pPr>
      <w:hyperlink r:id="rId47">
        <w:r>
          <w:rPr>
            <w:rFonts w:ascii="Arial" w:cs="Arial" w:eastAsia="Arial" w:hAnsi="Arial"/>
            <w:sz w:val="18"/>
            <w:szCs w:val="18"/>
            <w:u w:val="single" w:color="auto"/>
            <w:color w:val="215E9E"/>
          </w:rPr>
          <w:t>August 12, 2021</w:t>
        </w:r>
        <w:r>
          <w:rPr>
            <w:rFonts w:ascii="Arial" w:cs="Arial" w:eastAsia="Arial" w:hAnsi="Arial"/>
            <w:sz w:val="18"/>
            <w:szCs w:val="18"/>
            <w:color w:val="215E9E"/>
          </w:rPr>
          <w:t xml:space="preserve"> </w:t>
        </w:r>
      </w:hyperlink>
      <w:r>
        <w:rPr>
          <w:rFonts w:ascii="Arial" w:cs="Arial" w:eastAsia="Arial" w:hAnsi="Arial"/>
          <w:sz w:val="18"/>
          <w:szCs w:val="18"/>
          <w:color w:val="000000"/>
        </w:rPr>
        <w:t>(solely</w:t>
      </w:r>
      <w:r>
        <w:rPr>
          <w:rFonts w:ascii="Arial" w:cs="Arial" w:eastAsia="Arial" w:hAnsi="Arial"/>
          <w:sz w:val="18"/>
          <w:szCs w:val="18"/>
          <w:color w:val="215E9E"/>
        </w:rPr>
        <w:t xml:space="preserve"> </w:t>
      </w:r>
      <w:r>
        <w:rPr>
          <w:rFonts w:ascii="Arial" w:cs="Arial" w:eastAsia="Arial" w:hAnsi="Arial"/>
          <w:sz w:val="18"/>
          <w:szCs w:val="18"/>
          <w:color w:val="000000"/>
        </w:rPr>
        <w:t>with respect to the portions specified therein);</w:t>
      </w:r>
    </w:p>
    <w:p>
      <w:pPr>
        <w:spacing w:after="0" w:line="157" w:lineRule="exact"/>
        <w:rPr>
          <w:rFonts w:ascii="Arial" w:cs="Arial" w:eastAsia="Arial" w:hAnsi="Arial"/>
          <w:sz w:val="18"/>
          <w:szCs w:val="18"/>
          <w:color w:val="215E9E"/>
        </w:rPr>
      </w:pPr>
    </w:p>
    <w:p>
      <w:pPr>
        <w:ind w:left="1740" w:hanging="422"/>
        <w:spacing w:after="0"/>
        <w:tabs>
          <w:tab w:leader="none" w:pos="1740" w:val="left"/>
        </w:tabs>
        <w:numPr>
          <w:ilvl w:val="1"/>
          <w:numId w:val="18"/>
        </w:numPr>
        <w:rPr>
          <w:rFonts w:ascii="Arial" w:cs="Arial" w:eastAsia="Arial" w:hAnsi="Arial"/>
          <w:sz w:val="18"/>
          <w:szCs w:val="18"/>
          <w:color w:val="215E9E"/>
        </w:rPr>
      </w:pPr>
      <w:hyperlink r:id="rId48">
        <w:r>
          <w:rPr>
            <w:rFonts w:ascii="Arial" w:cs="Arial" w:eastAsia="Arial" w:hAnsi="Arial"/>
            <w:sz w:val="18"/>
            <w:szCs w:val="18"/>
            <w:u w:val="single" w:color="auto"/>
            <w:color w:val="215E9E"/>
          </w:rPr>
          <w:t>October 20, 2021</w:t>
        </w:r>
        <w:r>
          <w:rPr>
            <w:rFonts w:ascii="Arial" w:cs="Arial" w:eastAsia="Arial" w:hAnsi="Arial"/>
            <w:sz w:val="18"/>
            <w:szCs w:val="18"/>
            <w:color w:val="215E9E"/>
          </w:rPr>
          <w:t xml:space="preserve"> </w:t>
        </w:r>
      </w:hyperlink>
      <w:r>
        <w:rPr>
          <w:rFonts w:ascii="Arial" w:cs="Arial" w:eastAsia="Arial" w:hAnsi="Arial"/>
          <w:sz w:val="18"/>
          <w:szCs w:val="18"/>
          <w:color w:val="000000"/>
        </w:rPr>
        <w:t>(solely</w:t>
      </w:r>
      <w:r>
        <w:rPr>
          <w:rFonts w:ascii="Arial" w:cs="Arial" w:eastAsia="Arial" w:hAnsi="Arial"/>
          <w:sz w:val="18"/>
          <w:szCs w:val="18"/>
          <w:color w:val="215E9E"/>
        </w:rPr>
        <w:t xml:space="preserve"> </w:t>
      </w:r>
      <w:r>
        <w:rPr>
          <w:rFonts w:ascii="Arial" w:cs="Arial" w:eastAsia="Arial" w:hAnsi="Arial"/>
          <w:sz w:val="18"/>
          <w:szCs w:val="18"/>
          <w:color w:val="000000"/>
        </w:rPr>
        <w:t>with respect to the portions specified therein);</w:t>
      </w:r>
    </w:p>
    <w:p>
      <w:pPr>
        <w:spacing w:after="0" w:line="157" w:lineRule="exact"/>
        <w:rPr>
          <w:rFonts w:ascii="Arial" w:cs="Arial" w:eastAsia="Arial" w:hAnsi="Arial"/>
          <w:sz w:val="18"/>
          <w:szCs w:val="18"/>
          <w:color w:val="215E9E"/>
        </w:rPr>
      </w:pPr>
    </w:p>
    <w:p>
      <w:pPr>
        <w:ind w:left="1740" w:hanging="422"/>
        <w:spacing w:after="0"/>
        <w:tabs>
          <w:tab w:leader="none" w:pos="1740" w:val="left"/>
        </w:tabs>
        <w:numPr>
          <w:ilvl w:val="1"/>
          <w:numId w:val="18"/>
        </w:numPr>
        <w:rPr>
          <w:rFonts w:ascii="Arial" w:cs="Arial" w:eastAsia="Arial" w:hAnsi="Arial"/>
          <w:sz w:val="18"/>
          <w:szCs w:val="18"/>
          <w:color w:val="215E9E"/>
        </w:rPr>
      </w:pPr>
      <w:hyperlink r:id="rId49">
        <w:r>
          <w:rPr>
            <w:rFonts w:ascii="Arial" w:cs="Arial" w:eastAsia="Arial" w:hAnsi="Arial"/>
            <w:sz w:val="18"/>
            <w:szCs w:val="18"/>
            <w:u w:val="single" w:color="auto"/>
            <w:color w:val="215E9E"/>
          </w:rPr>
          <w:t>October 21, 2021</w:t>
        </w:r>
        <w:r>
          <w:rPr>
            <w:rFonts w:ascii="Arial" w:cs="Arial" w:eastAsia="Arial" w:hAnsi="Arial"/>
            <w:sz w:val="18"/>
            <w:szCs w:val="18"/>
            <w:color w:val="215E9E"/>
          </w:rPr>
          <w:t xml:space="preserve"> </w:t>
        </w:r>
      </w:hyperlink>
      <w:r>
        <w:rPr>
          <w:rFonts w:ascii="Arial" w:cs="Arial" w:eastAsia="Arial" w:hAnsi="Arial"/>
          <w:sz w:val="18"/>
          <w:szCs w:val="18"/>
          <w:color w:val="000000"/>
        </w:rPr>
        <w:t>(solely</w:t>
      </w:r>
      <w:r>
        <w:rPr>
          <w:rFonts w:ascii="Arial" w:cs="Arial" w:eastAsia="Arial" w:hAnsi="Arial"/>
          <w:sz w:val="18"/>
          <w:szCs w:val="18"/>
          <w:color w:val="215E9E"/>
        </w:rPr>
        <w:t xml:space="preserve"> </w:t>
      </w:r>
      <w:r>
        <w:rPr>
          <w:rFonts w:ascii="Arial" w:cs="Arial" w:eastAsia="Arial" w:hAnsi="Arial"/>
          <w:sz w:val="18"/>
          <w:szCs w:val="18"/>
          <w:color w:val="000000"/>
        </w:rPr>
        <w:t>with respect to the portions specified therein);</w:t>
      </w:r>
    </w:p>
    <w:p>
      <w:pPr>
        <w:spacing w:after="0" w:line="144" w:lineRule="exact"/>
        <w:rPr>
          <w:rFonts w:ascii="Arial" w:cs="Arial" w:eastAsia="Arial" w:hAnsi="Arial"/>
          <w:sz w:val="18"/>
          <w:szCs w:val="18"/>
          <w:color w:val="215E9E"/>
        </w:rPr>
      </w:pPr>
    </w:p>
    <w:p>
      <w:pPr>
        <w:ind w:left="1740" w:hanging="422"/>
        <w:spacing w:after="0"/>
        <w:tabs>
          <w:tab w:leader="none" w:pos="1740" w:val="left"/>
        </w:tabs>
        <w:numPr>
          <w:ilvl w:val="1"/>
          <w:numId w:val="18"/>
        </w:numPr>
        <w:rPr>
          <w:rFonts w:ascii="Arial" w:cs="Arial" w:eastAsia="Arial" w:hAnsi="Arial"/>
          <w:sz w:val="18"/>
          <w:szCs w:val="18"/>
          <w:color w:val="215E9E"/>
        </w:rPr>
      </w:pPr>
      <w:hyperlink r:id="rId50">
        <w:r>
          <w:rPr>
            <w:rFonts w:ascii="Arial" w:cs="Arial" w:eastAsia="Arial" w:hAnsi="Arial"/>
            <w:sz w:val="18"/>
            <w:szCs w:val="18"/>
            <w:u w:val="single" w:color="auto"/>
            <w:color w:val="215E9E"/>
          </w:rPr>
          <w:t>November 1, 2021</w:t>
        </w:r>
        <w:r>
          <w:rPr>
            <w:rFonts w:ascii="Arial" w:cs="Arial" w:eastAsia="Arial" w:hAnsi="Arial"/>
            <w:sz w:val="18"/>
            <w:szCs w:val="18"/>
            <w:color w:val="215E9E"/>
          </w:rPr>
          <w:t xml:space="preserve"> </w:t>
        </w:r>
      </w:hyperlink>
      <w:r>
        <w:rPr>
          <w:rFonts w:ascii="Arial" w:cs="Arial" w:eastAsia="Arial" w:hAnsi="Arial"/>
          <w:sz w:val="18"/>
          <w:szCs w:val="18"/>
          <w:color w:val="000000"/>
        </w:rPr>
        <w:t>(solely</w:t>
      </w:r>
      <w:r>
        <w:rPr>
          <w:rFonts w:ascii="Arial" w:cs="Arial" w:eastAsia="Arial" w:hAnsi="Arial"/>
          <w:sz w:val="18"/>
          <w:szCs w:val="18"/>
          <w:color w:val="215E9E"/>
        </w:rPr>
        <w:t xml:space="preserve"> </w:t>
      </w:r>
      <w:r>
        <w:rPr>
          <w:rFonts w:ascii="Arial" w:cs="Arial" w:eastAsia="Arial" w:hAnsi="Arial"/>
          <w:sz w:val="18"/>
          <w:szCs w:val="18"/>
          <w:color w:val="000000"/>
        </w:rPr>
        <w:t>with respect to the portions specified therein);</w:t>
      </w:r>
    </w:p>
    <w:p>
      <w:pPr>
        <w:spacing w:after="0" w:line="157" w:lineRule="exact"/>
        <w:rPr>
          <w:rFonts w:ascii="Arial" w:cs="Arial" w:eastAsia="Arial" w:hAnsi="Arial"/>
          <w:sz w:val="18"/>
          <w:szCs w:val="18"/>
          <w:color w:val="215E9E"/>
        </w:rPr>
      </w:pPr>
    </w:p>
    <w:p>
      <w:pPr>
        <w:jc w:val="both"/>
        <w:ind w:left="1760" w:right="459" w:hanging="442"/>
        <w:spacing w:after="0" w:line="286" w:lineRule="auto"/>
        <w:tabs>
          <w:tab w:leader="none" w:pos="1764" w:val="left"/>
        </w:tabs>
        <w:numPr>
          <w:ilvl w:val="1"/>
          <w:numId w:val="18"/>
        </w:numPr>
        <w:rPr>
          <w:rFonts w:ascii="Arial" w:cs="Arial" w:eastAsia="Arial" w:hAnsi="Arial"/>
          <w:sz w:val="17"/>
          <w:szCs w:val="17"/>
          <w:color w:val="215E9E"/>
        </w:rPr>
      </w:pPr>
      <w:hyperlink r:id="rId51">
        <w:r>
          <w:rPr>
            <w:rFonts w:ascii="Arial" w:cs="Arial" w:eastAsia="Arial" w:hAnsi="Arial"/>
            <w:sz w:val="17"/>
            <w:szCs w:val="17"/>
            <w:u w:val="single" w:color="auto"/>
            <w:color w:val="215E9E"/>
          </w:rPr>
          <w:t>November 10, 2021</w:t>
        </w:r>
        <w:r>
          <w:rPr>
            <w:rFonts w:ascii="Arial" w:cs="Arial" w:eastAsia="Arial" w:hAnsi="Arial"/>
            <w:sz w:val="17"/>
            <w:szCs w:val="17"/>
            <w:color w:val="215E9E"/>
          </w:rPr>
          <w:t xml:space="preserve"> </w:t>
        </w:r>
      </w:hyperlink>
      <w:r>
        <w:rPr>
          <w:rFonts w:ascii="Arial" w:cs="Arial" w:eastAsia="Arial" w:hAnsi="Arial"/>
          <w:sz w:val="17"/>
          <w:szCs w:val="17"/>
          <w:color w:val="000000"/>
        </w:rPr>
        <w:t>(solely</w:t>
      </w:r>
      <w:r>
        <w:rPr>
          <w:rFonts w:ascii="Arial" w:cs="Arial" w:eastAsia="Arial" w:hAnsi="Arial"/>
          <w:sz w:val="17"/>
          <w:szCs w:val="17"/>
          <w:color w:val="215E9E"/>
        </w:rPr>
        <w:t xml:space="preserve"> </w:t>
      </w:r>
      <w:r>
        <w:rPr>
          <w:rFonts w:ascii="Arial" w:cs="Arial" w:eastAsia="Arial" w:hAnsi="Arial"/>
          <w:sz w:val="17"/>
          <w:szCs w:val="17"/>
          <w:color w:val="000000"/>
        </w:rPr>
        <w:t>with respect to (i) the portions specified therein, (ii) the paragraph</w:t>
      </w:r>
      <w:r>
        <w:rPr>
          <w:rFonts w:ascii="Arial" w:cs="Arial" w:eastAsia="Arial" w:hAnsi="Arial"/>
          <w:sz w:val="17"/>
          <w:szCs w:val="17"/>
          <w:color w:val="215E9E"/>
        </w:rPr>
        <w:t xml:space="preserve"> </w:t>
      </w:r>
      <w:r>
        <w:rPr>
          <w:rFonts w:ascii="Arial" w:cs="Arial" w:eastAsia="Arial" w:hAnsi="Arial"/>
          <w:sz w:val="17"/>
          <w:szCs w:val="17"/>
          <w:color w:val="000000"/>
        </w:rPr>
        <w:t>under the caption “Non-GAAP Discussion Disclosure” and (iii) the table under “Reconciliation of GAAP to Non-GAAP Consolidated Statements Of Operations”); and</w:t>
      </w:r>
    </w:p>
    <w:p>
      <w:pPr>
        <w:spacing w:after="0" w:line="97" w:lineRule="exact"/>
        <w:rPr>
          <w:rFonts w:ascii="Arial" w:cs="Arial" w:eastAsia="Arial" w:hAnsi="Arial"/>
          <w:sz w:val="17"/>
          <w:szCs w:val="17"/>
          <w:color w:val="215E9E"/>
        </w:rPr>
      </w:pPr>
    </w:p>
    <w:p>
      <w:pPr>
        <w:ind w:left="1740" w:hanging="422"/>
        <w:spacing w:after="0"/>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November 16, 2021 (solely with respect to the portions specified therein).</w:t>
      </w:r>
    </w:p>
    <w:p>
      <w:pPr>
        <w:spacing w:after="0" w:line="144" w:lineRule="exact"/>
        <w:rPr>
          <w:rFonts w:ascii="Arial" w:cs="Arial" w:eastAsia="Arial" w:hAnsi="Arial"/>
          <w:sz w:val="18"/>
          <w:szCs w:val="18"/>
          <w:color w:val="auto"/>
        </w:rPr>
      </w:pPr>
    </w:p>
    <w:p>
      <w:pPr>
        <w:jc w:val="both"/>
        <w:ind w:left="1320" w:right="459" w:hanging="434"/>
        <w:spacing w:after="0" w:line="257" w:lineRule="auto"/>
        <w:tabs>
          <w:tab w:leader="none" w:pos="15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under the heading “Item 1. Description of Registrant’s Securities to be Registered” in our registration statement on </w:t>
      </w:r>
      <w:hyperlink r:id="rId52">
        <w:r>
          <w:rPr>
            <w:rFonts w:ascii="Arial" w:cs="Arial" w:eastAsia="Arial" w:hAnsi="Arial"/>
            <w:sz w:val="18"/>
            <w:szCs w:val="18"/>
            <w:u w:val="single" w:color="auto"/>
            <w:color w:val="215E9E"/>
          </w:rPr>
          <w:t>Form 8-A</w:t>
        </w:r>
      </w:hyperlink>
      <w:r>
        <w:rPr>
          <w:rFonts w:ascii="Arial" w:cs="Arial" w:eastAsia="Arial" w:hAnsi="Arial"/>
          <w:sz w:val="18"/>
          <w:szCs w:val="18"/>
          <w:color w:val="auto"/>
        </w:rPr>
        <w:t xml:space="preserve">, as filed with the SEC on March 31, 2015, as updated by </w:t>
      </w:r>
      <w:hyperlink r:id="rId53">
        <w:r>
          <w:rPr>
            <w:rFonts w:ascii="Arial" w:cs="Arial" w:eastAsia="Arial" w:hAnsi="Arial"/>
            <w:sz w:val="18"/>
            <w:szCs w:val="18"/>
            <w:u w:val="single" w:color="auto"/>
            <w:color w:val="215E9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2020 Form 20-F (“Description of Ordinary Shares of Kornit Digital Ltd.”), including any subsequent amendment or any report filed for the purpose of further updating such description.</w:t>
      </w:r>
    </w:p>
    <w:p>
      <w:pPr>
        <w:spacing w:after="0" w:line="14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prospectus supplement and the accompanying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151130</wp:posOffset>
            </wp:positionV>
            <wp:extent cx="1611630" cy="994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161163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60" w:right="1659" w:hanging="915"/>
        <w:spacing w:after="0" w:line="510" w:lineRule="auto"/>
        <w:rPr>
          <w:sz w:val="20"/>
          <w:szCs w:val="20"/>
          <w:color w:val="auto"/>
        </w:rPr>
      </w:pPr>
      <w:r>
        <w:rPr>
          <w:rFonts w:ascii="Arial" w:cs="Arial" w:eastAsia="Arial" w:hAnsi="Arial"/>
          <w:sz w:val="19"/>
          <w:szCs w:val="19"/>
          <w:b w:val="1"/>
          <w:bCs w:val="1"/>
          <w:color w:val="auto"/>
        </w:rPr>
        <w:t>2,932,176 Ordinary Shares Offered by the Selling Shareholder Ordinary Shares Offered by the Company</w:t>
      </w:r>
    </w:p>
    <w:p>
      <w:pPr>
        <w:jc w:val="both"/>
        <w:ind w:left="460" w:right="459" w:firstLine="432"/>
        <w:spacing w:after="0" w:line="291" w:lineRule="auto"/>
        <w:rPr>
          <w:sz w:val="20"/>
          <w:szCs w:val="20"/>
          <w:color w:val="auto"/>
        </w:rPr>
      </w:pPr>
      <w:r>
        <w:rPr>
          <w:rFonts w:ascii="Arial" w:cs="Arial" w:eastAsia="Arial" w:hAnsi="Arial"/>
          <w:sz w:val="18"/>
          <w:szCs w:val="18"/>
          <w:color w:val="auto"/>
        </w:rPr>
        <w:t>We may offer ordinary shares from time to time in one or more issuances. In addition, the selling shareholder named in this prospectus may offer and sell up to 2,932,176 of our ordinary shares. We will not receive any of the proceeds from the sale of ordinary shares by the selling shareholder.</w:t>
      </w:r>
    </w:p>
    <w:p>
      <w:pPr>
        <w:spacing w:after="0" w:line="15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9"/>
          <w:szCs w:val="19"/>
          <w:color w:val="auto"/>
        </w:rPr>
        <w:t>We are registering the sale of ordinary shares proposed to be sold by the selling shareholder pursuant to registration rights that we have granted to such shareholder. These ordinary shares underlie a warrant that we have issued to the selling shareholder. The selling shareholder may offer and sell ordinary shares in public or private transactions, or both. These sales may occur at fixed prices, at market prices prevailing at the time of sale, at prices related to prevailing market prices, or at negotiated prices. See “Plan of Distribution.”</w:t>
      </w:r>
    </w:p>
    <w:p>
      <w:pPr>
        <w:spacing w:after="0" w:line="178" w:lineRule="exact"/>
        <w:rPr>
          <w:sz w:val="20"/>
          <w:szCs w:val="20"/>
          <w:color w:val="auto"/>
        </w:rPr>
      </w:pPr>
    </w:p>
    <w:p>
      <w:pPr>
        <w:jc w:val="both"/>
        <w:ind w:left="460" w:right="459" w:firstLine="432"/>
        <w:spacing w:after="0" w:line="243" w:lineRule="auto"/>
        <w:rPr>
          <w:sz w:val="20"/>
          <w:szCs w:val="20"/>
          <w:color w:val="auto"/>
        </w:rPr>
      </w:pPr>
      <w:r>
        <w:rPr>
          <w:rFonts w:ascii="Arial" w:cs="Arial" w:eastAsia="Arial" w:hAnsi="Arial"/>
          <w:sz w:val="20"/>
          <w:szCs w:val="20"/>
          <w:color w:val="auto"/>
        </w:rPr>
        <w:t>This prospectus describes the general manner in which the shares will be offered. Each time we or, if required under the Securities Act of 1933, as amended, the selling shareholder, sells securities pursuant to this prospectus, we will provide a supplement to this prospectus that contains specific information about the offering.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93"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20"/>
          <w:szCs w:val="20"/>
          <w:color w:val="auto"/>
        </w:rPr>
        <w:t>Our ordinary shares are traded on the Nasdaq Global Select Market under the symbol “KRNT.” The closing price of our ordinary shares, as reported on the Nasdaq Global Select Market on September 11, 2020 was $60.26.</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330" w:lineRule="auto"/>
        <w:rPr>
          <w:sz w:val="20"/>
          <w:szCs w:val="20"/>
          <w:color w:val="auto"/>
        </w:rPr>
      </w:pPr>
      <w:r>
        <w:rPr>
          <w:rFonts w:ascii="Arial" w:cs="Arial" w:eastAsia="Arial" w:hAnsi="Arial"/>
          <w:sz w:val="16"/>
          <w:szCs w:val="16"/>
          <w:b w:val="1"/>
          <w:bCs w:val="1"/>
          <w:color w:val="auto"/>
        </w:rPr>
        <w:t>Investing in our ordinary shares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ordinary shares.</w:t>
      </w:r>
    </w:p>
    <w:p>
      <w:pPr>
        <w:spacing w:after="0" w:line="46"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48" w:lineRule="auto"/>
        <w:rPr>
          <w:sz w:val="20"/>
          <w:szCs w:val="20"/>
          <w:color w:val="auto"/>
        </w:rPr>
      </w:pPr>
      <w:r>
        <w:rPr>
          <w:rFonts w:ascii="Arial" w:cs="Arial" w:eastAsia="Arial" w:hAnsi="Arial"/>
          <w:sz w:val="20"/>
          <w:szCs w:val="20"/>
          <w:b w:val="1"/>
          <w:bCs w:val="1"/>
          <w:color w:val="auto"/>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spacing w:after="0" w:line="12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date of this prospectus is September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259080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2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1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5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8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13"/>
            <w:shd w:val="clear" w:color="auto" w:fill="CCEEFF"/>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8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Kornit Digital Ltd.</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8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8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Ordinary Shares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8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8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13"/>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13"/>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Incorporation of Certain Documents By Reference</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38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2400" w:type="dxa"/>
            <w:vAlign w:val="bottom"/>
            <w:tcBorders>
              <w:bottom w:val="single" w:sz="8" w:color="0000EE"/>
            </w:tcBorders>
            <w:gridSpan w:val="10"/>
          </w:tcPr>
          <w:p>
            <w:pPr>
              <w:spacing w:after="0" w:line="202"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Enforceability of Civil Liabilities</w:t>
              </w:r>
            </w:hyperlink>
          </w:p>
        </w:tc>
        <w:tc>
          <w:tcPr>
            <w:tcW w:w="5080" w:type="dxa"/>
            <w:vAlign w:val="bottom"/>
            <w:gridSpan w:val="3"/>
          </w:tcPr>
          <w:p>
            <w:pPr>
              <w:spacing w:after="0"/>
              <w:rPr>
                <w:sz w:val="17"/>
                <w:szCs w:val="17"/>
                <w:color w:val="auto"/>
              </w:rPr>
            </w:pPr>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develop, manufacture and market innovative digital printing solutions for the global printed textile industry, with a major focus on the fashion, apparel and home décor segments of the industry.</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vision is to create a world where everybody can bond, design and express their identities, one impression at a time.</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2019 and in any other filings we make with the Securities and Exchange Commission (the “SEC”) subsequent to the date of this prospectus which are incorporated herein by reference, and in any supplement to this prospectus, before making your investment decision.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not receive any proceeds from the sale of ordinary shares by the selling shareholder.</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information with respect to the beneficial ownership of the selling shareholder of our ordinary shares as of September 11, 2020. On September 11, we had a total of 41,197,714 of our ordinary shares outstanding.</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Except as otherwise indicated, to our knowledge, the selling shareholder has sole voting and investment power with respect to all ordinary shares shown as beneficially owned by it.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more information regarding our relationships with the selling shareholder and its affiliates, see “Major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and Related Party Transactions” in our Annual Report on Form 20-F for the year ended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2019 filed with the SEC on March 23, 2020.</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Shares Beneficially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Shares Beneficially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Owned</w:t>
            </w:r>
          </w:p>
        </w:tc>
        <w:tc>
          <w:tcPr>
            <w:tcW w:w="100" w:type="dxa"/>
            <w:vAlign w:val="bottom"/>
          </w:tcPr>
          <w:p>
            <w:pPr>
              <w:spacing w:after="0"/>
              <w:rPr>
                <w:sz w:val="17"/>
                <w:szCs w:val="17"/>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Owned</w:t>
            </w:r>
          </w:p>
        </w:tc>
        <w:tc>
          <w:tcPr>
            <w:tcW w:w="0" w:type="dxa"/>
            <w:vAlign w:val="bottom"/>
          </w:tcPr>
          <w:p>
            <w:pPr>
              <w:spacing w:after="0"/>
              <w:rPr>
                <w:sz w:val="1"/>
                <w:szCs w:val="1"/>
                <w:color w:val="auto"/>
              </w:rPr>
            </w:pPr>
          </w:p>
        </w:tc>
      </w:tr>
      <w:tr>
        <w:trPr>
          <w:trHeight w:val="94"/>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5"/>
              </w:rPr>
              <w:t>Prior to Offering</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6"/>
              </w:rPr>
              <w:t>After Offering</w:t>
            </w:r>
          </w:p>
        </w:tc>
        <w:tc>
          <w:tcPr>
            <w:tcW w:w="0" w:type="dxa"/>
            <w:vAlign w:val="bottom"/>
          </w:tcPr>
          <w:p>
            <w:pPr>
              <w:spacing w:after="0"/>
              <w:rPr>
                <w:sz w:val="1"/>
                <w:szCs w:val="1"/>
                <w:color w:val="auto"/>
              </w:rPr>
            </w:pPr>
          </w:p>
        </w:tc>
      </w:tr>
      <w:tr>
        <w:trPr>
          <w:trHeight w:val="116"/>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89"/>
              </w:rPr>
              <w:t>Shares</w:t>
            </w:r>
          </w:p>
        </w:tc>
        <w:tc>
          <w:tcPr>
            <w:tcW w:w="1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Number</w:t>
            </w:r>
          </w:p>
        </w:tc>
        <w:tc>
          <w:tcPr>
            <w:tcW w:w="740" w:type="dxa"/>
            <w:vAlign w:val="bottom"/>
          </w:tcPr>
          <w:p>
            <w:pPr>
              <w:jc w:val="right"/>
              <w:ind w:right="15"/>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Offered</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ind w:left="16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Amazon.com NV Investment Holdings LLC</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2,052,507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2,932,176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78" w:lineRule="auto"/>
        <w:tabs>
          <w:tab w:leader="none" w:pos="9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selling shareholder is a wholly owned subsidiary of Amazon.com, Inc., whose address is 440 Terry Avenue North, Seattle, WA 98109. Shares beneficially owned consist of vested shares underlying a warrant granted to the selling shareholder assuming full exercise of the warrant for cash.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as updated by Exhibit 2.2 to our annual report on Form 20-F for the year ended December 31, 2019, which description is incorporated by reference 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We or the selling shareholder may sell the securities in one or more of the following ways (or in any combination) from time to time:</w:t>
      </w:r>
    </w:p>
    <w:p>
      <w:pPr>
        <w:spacing w:after="0" w:line="103"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w:t>
      </w:r>
    </w:p>
    <w:p>
      <w:pPr>
        <w:spacing w:after="0" w:line="103"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distribution of our securities or the selling shareholder’s ordinary shares may be carried out, from time to time, in one or more transactions, including:</w:t>
      </w:r>
    </w:p>
    <w:p>
      <w:pPr>
        <w:spacing w:after="0" w:line="89" w:lineRule="exact"/>
        <w:rPr>
          <w:sz w:val="20"/>
          <w:szCs w:val="20"/>
          <w:color w:val="auto"/>
        </w:rPr>
      </w:pPr>
    </w:p>
    <w:p>
      <w:pPr>
        <w:ind w:left="1320" w:right="459" w:hanging="434"/>
        <w:spacing w:after="0" w:line="277" w:lineRule="auto"/>
        <w:tabs>
          <w:tab w:leader="none" w:pos="14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block transactions and transactions on the Nasdaq Global Select Market or any other organized market where the securities may be traded;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own account pursuant to a prospectus supplement;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a broker-dealer solicits purchasers;</w:t>
      </w:r>
    </w:p>
    <w:p>
      <w:pPr>
        <w:spacing w:after="0" w:line="155" w:lineRule="exact"/>
        <w:rPr>
          <w:rFonts w:ascii="Arial" w:cs="Arial" w:eastAsia="Arial" w:hAnsi="Arial"/>
          <w:sz w:val="17"/>
          <w:szCs w:val="17"/>
          <w:color w:val="auto"/>
        </w:rPr>
      </w:pPr>
    </w:p>
    <w:p>
      <w:pPr>
        <w:ind w:left="1320" w:right="479" w:hanging="434"/>
        <w:spacing w:after="0" w:line="277" w:lineRule="auto"/>
        <w:tabs>
          <w:tab w:leader="none" w:pos="15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“at the market” to or through a market maker or into an existing trading market, on an exchange or otherwise; or</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in other ways not involving market makers or established trading markets, including direct sales to purchasers.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 prospectus supplement or supplements (and any related free writing prospectus that we or the selling shareholders may authorize to be provided to you) will describe the terms of the offering of the securities, including, to the extent applicable:</w:t>
      </w:r>
    </w:p>
    <w:p>
      <w:pPr>
        <w:spacing w:after="0" w:line="103" w:lineRule="exact"/>
        <w:rPr>
          <w:sz w:val="20"/>
          <w:szCs w:val="20"/>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method of distribution;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 offering price or purchase price and the proceeds to us from that sale;</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of the offering;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discounts to be allowed or paid to the underwriters, dealers or agents;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 and the discounts to be allowed or paid to dealers, if any;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information regarding the distribution of the securities that we believe to be material.</w:t>
      </w:r>
    </w:p>
    <w:p>
      <w:pPr>
        <w:spacing w:after="0" w:line="15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Underwriters may offer and sell the securities at a fixed price or prices, which may be changed, or from time to time at market prices prevailing at the time of sale, at prices related to prevailing market prices or at negotiated prices. We or the selling shareholder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or the selling shareholder in the form of underwriting discounts and may also receive commissions from purchasers of securities for whom they may act as agent. Underwriters may sell securities to or through dealers, and dealers may receive compensation in the form of discounts or concessions from the underwriters and commissions from the purchasers for whom they may act as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Underwriters, dealers and agents who participate in the distribution of securities and their controlling persons may be entitled, under agreements that may be entered into with us or the selling shareholder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120"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We or the selling shareholder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Law Offices, Ramat Gan, Israel.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2019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1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spacing w:after="0" w:line="100"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90" w:lineRule="exact"/>
        <w:rPr>
          <w:sz w:val="20"/>
          <w:szCs w:val="20"/>
          <w:color w:val="auto"/>
        </w:rPr>
      </w:pPr>
    </w:p>
    <w:p>
      <w:pPr>
        <w:ind w:left="1320" w:right="459" w:hanging="434"/>
        <w:spacing w:after="0" w:line="277" w:lineRule="auto"/>
        <w:tabs>
          <w:tab w:leader="none" w:pos="1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9">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with the SEC on March 23, 2020 (the “2019 Form 20-F”);</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57" w:lineRule="exact"/>
        <w:rPr>
          <w:rFonts w:ascii="Arial" w:cs="Arial" w:eastAsia="Arial" w:hAnsi="Arial"/>
          <w:sz w:val="18"/>
          <w:szCs w:val="18"/>
          <w:color w:val="auto"/>
        </w:rPr>
      </w:pPr>
    </w:p>
    <w:p>
      <w:pPr>
        <w:jc w:val="both"/>
        <w:ind w:left="1760" w:right="479" w:hanging="442"/>
        <w:spacing w:after="0" w:line="286" w:lineRule="auto"/>
        <w:tabs>
          <w:tab w:leader="none" w:pos="1751" w:val="left"/>
        </w:tabs>
        <w:numPr>
          <w:ilvl w:val="1"/>
          <w:numId w:val="23"/>
        </w:numPr>
        <w:rPr>
          <w:rFonts w:ascii="Arial" w:cs="Arial" w:eastAsia="Arial" w:hAnsi="Arial"/>
          <w:sz w:val="17"/>
          <w:szCs w:val="17"/>
          <w:color w:val="0000EE"/>
        </w:rPr>
      </w:pPr>
      <w:hyperlink r:id="rId70">
        <w:r>
          <w:rPr>
            <w:rFonts w:ascii="Arial" w:cs="Arial" w:eastAsia="Arial" w:hAnsi="Arial"/>
            <w:sz w:val="17"/>
            <w:szCs w:val="17"/>
            <w:u w:val="single" w:color="auto"/>
            <w:color w:val="0000EE"/>
          </w:rPr>
          <w:t>May 19, 2020</w:t>
        </w:r>
        <w:r>
          <w:rPr>
            <w:rFonts w:ascii="Arial" w:cs="Arial" w:eastAsia="Arial" w:hAnsi="Arial"/>
            <w:sz w:val="17"/>
            <w:szCs w:val="17"/>
            <w:color w:val="0000EE"/>
          </w:rPr>
          <w:t xml:space="preserve"> </w:t>
        </w:r>
      </w:hyperlink>
      <w:r>
        <w:rPr>
          <w:rFonts w:ascii="Arial" w:cs="Arial" w:eastAsia="Arial" w:hAnsi="Arial"/>
          <w:sz w:val="17"/>
          <w:szCs w:val="17"/>
          <w:color w:val="000000"/>
        </w:rPr>
        <w:t>(solely</w:t>
      </w:r>
      <w:r>
        <w:rPr>
          <w:rFonts w:ascii="Arial" w:cs="Arial" w:eastAsia="Arial" w:hAnsi="Arial"/>
          <w:sz w:val="17"/>
          <w:szCs w:val="17"/>
          <w:color w:val="0000EE"/>
        </w:rPr>
        <w:t xml:space="preserve"> </w:t>
      </w:r>
      <w:r>
        <w:rPr>
          <w:rFonts w:ascii="Arial" w:cs="Arial" w:eastAsia="Arial" w:hAnsi="Arial"/>
          <w:sz w:val="17"/>
          <w:szCs w:val="17"/>
          <w:color w:val="000000"/>
        </w:rPr>
        <w:t>with respect to (i) the portions specified therein, (ii) the paragraph under</w:t>
      </w:r>
      <w:r>
        <w:rPr>
          <w:rFonts w:ascii="Arial" w:cs="Arial" w:eastAsia="Arial" w:hAnsi="Arial"/>
          <w:sz w:val="17"/>
          <w:szCs w:val="17"/>
          <w:color w:val="0000EE"/>
        </w:rPr>
        <w:t xml:space="preserve"> </w:t>
      </w:r>
      <w:r>
        <w:rPr>
          <w:rFonts w:ascii="Arial" w:cs="Arial" w:eastAsia="Arial" w:hAnsi="Arial"/>
          <w:sz w:val="17"/>
          <w:szCs w:val="17"/>
          <w:color w:val="000000"/>
        </w:rPr>
        <w:t>the caption “Non-GAAP Discussion Disclosure” and (iii) the table under “Reconciliation of GAAP to Non-GAAP Consolidated Statements Of Operations”);</w:t>
      </w:r>
    </w:p>
    <w:p>
      <w:pPr>
        <w:spacing w:after="0" w:line="97" w:lineRule="exact"/>
        <w:rPr>
          <w:rFonts w:ascii="Arial" w:cs="Arial" w:eastAsia="Arial" w:hAnsi="Arial"/>
          <w:sz w:val="17"/>
          <w:szCs w:val="17"/>
          <w:color w:val="0000EE"/>
        </w:rPr>
      </w:pPr>
    </w:p>
    <w:p>
      <w:pPr>
        <w:ind w:left="1740" w:hanging="422"/>
        <w:spacing w:after="0"/>
        <w:tabs>
          <w:tab w:leader="none" w:pos="1740" w:val="left"/>
        </w:tabs>
        <w:numPr>
          <w:ilvl w:val="1"/>
          <w:numId w:val="23"/>
        </w:numPr>
        <w:rPr>
          <w:rFonts w:ascii="Arial" w:cs="Arial" w:eastAsia="Arial" w:hAnsi="Arial"/>
          <w:sz w:val="18"/>
          <w:szCs w:val="18"/>
          <w:color w:val="0000EE"/>
        </w:rPr>
      </w:pPr>
      <w:hyperlink r:id="rId71">
        <w:r>
          <w:rPr>
            <w:rFonts w:ascii="Arial" w:cs="Arial" w:eastAsia="Arial" w:hAnsi="Arial"/>
            <w:sz w:val="18"/>
            <w:szCs w:val="18"/>
            <w:u w:val="single" w:color="auto"/>
            <w:color w:val="0000EE"/>
          </w:rPr>
          <w:t>July 2, 2020</w:t>
        </w:r>
        <w:r>
          <w:rPr>
            <w:rFonts w:ascii="Arial" w:cs="Arial" w:eastAsia="Arial" w:hAnsi="Arial"/>
            <w:sz w:val="18"/>
            <w:szCs w:val="18"/>
            <w:color w:val="0000EE"/>
          </w:rPr>
          <w:t xml:space="preserve">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the portions specified therein);</w:t>
      </w:r>
    </w:p>
    <w:p>
      <w:pPr>
        <w:spacing w:after="0" w:line="144" w:lineRule="exact"/>
        <w:rPr>
          <w:rFonts w:ascii="Arial" w:cs="Arial" w:eastAsia="Arial" w:hAnsi="Arial"/>
          <w:sz w:val="18"/>
          <w:szCs w:val="18"/>
          <w:color w:val="0000EE"/>
        </w:rPr>
      </w:pPr>
    </w:p>
    <w:p>
      <w:pPr>
        <w:ind w:left="1740" w:hanging="422"/>
        <w:spacing w:after="0"/>
        <w:tabs>
          <w:tab w:leader="none" w:pos="1740" w:val="left"/>
        </w:tabs>
        <w:numPr>
          <w:ilvl w:val="1"/>
          <w:numId w:val="23"/>
        </w:numPr>
        <w:rPr>
          <w:rFonts w:ascii="Arial" w:cs="Arial" w:eastAsia="Arial" w:hAnsi="Arial"/>
          <w:sz w:val="18"/>
          <w:szCs w:val="18"/>
          <w:color w:val="0000EE"/>
        </w:rPr>
      </w:pPr>
      <w:hyperlink r:id="rId72">
        <w:r>
          <w:rPr>
            <w:rFonts w:ascii="Arial" w:cs="Arial" w:eastAsia="Arial" w:hAnsi="Arial"/>
            <w:sz w:val="18"/>
            <w:szCs w:val="18"/>
            <w:u w:val="single" w:color="auto"/>
            <w:color w:val="0000EE"/>
          </w:rPr>
          <w:t>July 27, 2020</w:t>
        </w:r>
        <w:r>
          <w:rPr>
            <w:rFonts w:ascii="Arial" w:cs="Arial" w:eastAsia="Arial" w:hAnsi="Arial"/>
            <w:sz w:val="18"/>
            <w:szCs w:val="18"/>
            <w:color w:val="0000EE"/>
          </w:rPr>
          <w:t xml:space="preserve">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the portions specified therein);</w:t>
      </w:r>
    </w:p>
    <w:p>
      <w:pPr>
        <w:spacing w:after="0" w:line="157" w:lineRule="exact"/>
        <w:rPr>
          <w:rFonts w:ascii="Arial" w:cs="Arial" w:eastAsia="Arial" w:hAnsi="Arial"/>
          <w:sz w:val="18"/>
          <w:szCs w:val="18"/>
          <w:color w:val="0000EE"/>
        </w:rPr>
      </w:pPr>
    </w:p>
    <w:p>
      <w:pPr>
        <w:jc w:val="both"/>
        <w:ind w:left="1760" w:right="459" w:hanging="442"/>
        <w:spacing w:after="0" w:line="286" w:lineRule="auto"/>
        <w:tabs>
          <w:tab w:leader="none" w:pos="1845" w:val="left"/>
        </w:tabs>
        <w:numPr>
          <w:ilvl w:val="1"/>
          <w:numId w:val="23"/>
        </w:numPr>
        <w:rPr>
          <w:rFonts w:ascii="Arial" w:cs="Arial" w:eastAsia="Arial" w:hAnsi="Arial"/>
          <w:sz w:val="17"/>
          <w:szCs w:val="17"/>
          <w:color w:val="0000EE"/>
        </w:rPr>
      </w:pPr>
      <w:hyperlink r:id="rId73">
        <w:r>
          <w:rPr>
            <w:rFonts w:ascii="Arial" w:cs="Arial" w:eastAsia="Arial" w:hAnsi="Arial"/>
            <w:sz w:val="17"/>
            <w:szCs w:val="17"/>
            <w:u w:val="single" w:color="auto"/>
            <w:color w:val="0000EE"/>
          </w:rPr>
          <w:t>August 11, 2020</w:t>
        </w:r>
        <w:r>
          <w:rPr>
            <w:rFonts w:ascii="Arial" w:cs="Arial" w:eastAsia="Arial" w:hAnsi="Arial"/>
            <w:sz w:val="17"/>
            <w:szCs w:val="17"/>
            <w:color w:val="0000EE"/>
          </w:rPr>
          <w:t xml:space="preserve"> </w:t>
        </w:r>
      </w:hyperlink>
      <w:r>
        <w:rPr>
          <w:rFonts w:ascii="Arial" w:cs="Arial" w:eastAsia="Arial" w:hAnsi="Arial"/>
          <w:sz w:val="17"/>
          <w:szCs w:val="17"/>
          <w:color w:val="000000"/>
        </w:rPr>
        <w:t>(solely</w:t>
      </w:r>
      <w:r>
        <w:rPr>
          <w:rFonts w:ascii="Arial" w:cs="Arial" w:eastAsia="Arial" w:hAnsi="Arial"/>
          <w:sz w:val="17"/>
          <w:szCs w:val="17"/>
          <w:color w:val="0000EE"/>
        </w:rPr>
        <w:t xml:space="preserve"> </w:t>
      </w:r>
      <w:r>
        <w:rPr>
          <w:rFonts w:ascii="Arial" w:cs="Arial" w:eastAsia="Arial" w:hAnsi="Arial"/>
          <w:sz w:val="17"/>
          <w:szCs w:val="17"/>
          <w:color w:val="000000"/>
        </w:rPr>
        <w:t>with respect to (i) the portions specified therein, (ii) the paragraph</w:t>
      </w:r>
      <w:r>
        <w:rPr>
          <w:rFonts w:ascii="Arial" w:cs="Arial" w:eastAsia="Arial" w:hAnsi="Arial"/>
          <w:sz w:val="17"/>
          <w:szCs w:val="17"/>
          <w:color w:val="0000EE"/>
        </w:rPr>
        <w:t xml:space="preserve"> </w:t>
      </w:r>
      <w:r>
        <w:rPr>
          <w:rFonts w:ascii="Arial" w:cs="Arial" w:eastAsia="Arial" w:hAnsi="Arial"/>
          <w:sz w:val="17"/>
          <w:szCs w:val="17"/>
          <w:color w:val="000000"/>
        </w:rPr>
        <w:t>under the caption “Non-GAAP Discussion Disclosure” and (iii) the table under “Reconciliation of GAAP to Non-GAAP Consolidated Statements Of Operations”);</w:t>
      </w:r>
    </w:p>
    <w:p>
      <w:pPr>
        <w:spacing w:after="0" w:line="97" w:lineRule="exact"/>
        <w:rPr>
          <w:rFonts w:ascii="Arial" w:cs="Arial" w:eastAsia="Arial" w:hAnsi="Arial"/>
          <w:sz w:val="17"/>
          <w:szCs w:val="17"/>
          <w:color w:val="0000EE"/>
        </w:rPr>
      </w:pPr>
    </w:p>
    <w:p>
      <w:pPr>
        <w:ind w:left="1740" w:hanging="422"/>
        <w:spacing w:after="0"/>
        <w:tabs>
          <w:tab w:leader="none" w:pos="1740" w:val="left"/>
        </w:tabs>
        <w:numPr>
          <w:ilvl w:val="1"/>
          <w:numId w:val="23"/>
        </w:numPr>
        <w:rPr>
          <w:rFonts w:ascii="Arial" w:cs="Arial" w:eastAsia="Arial" w:hAnsi="Arial"/>
          <w:sz w:val="18"/>
          <w:szCs w:val="18"/>
          <w:color w:val="0000EE"/>
        </w:rPr>
      </w:pPr>
      <w:hyperlink r:id="rId74">
        <w:r>
          <w:rPr>
            <w:rFonts w:ascii="Arial" w:cs="Arial" w:eastAsia="Arial" w:hAnsi="Arial"/>
            <w:sz w:val="18"/>
            <w:szCs w:val="18"/>
            <w:u w:val="single" w:color="auto"/>
            <w:color w:val="0000EE"/>
          </w:rPr>
          <w:t>August 11, 2020</w:t>
        </w:r>
        <w:r>
          <w:rPr>
            <w:rFonts w:ascii="Arial" w:cs="Arial" w:eastAsia="Arial" w:hAnsi="Arial"/>
            <w:sz w:val="18"/>
            <w:szCs w:val="18"/>
            <w:color w:val="0000EE"/>
          </w:rPr>
          <w:t xml:space="preserve">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the portions specified therein);</w:t>
      </w:r>
    </w:p>
    <w:p>
      <w:pPr>
        <w:spacing w:after="0" w:line="144" w:lineRule="exact"/>
        <w:rPr>
          <w:rFonts w:ascii="Arial" w:cs="Arial" w:eastAsia="Arial" w:hAnsi="Arial"/>
          <w:sz w:val="18"/>
          <w:szCs w:val="18"/>
          <w:color w:val="0000EE"/>
        </w:rPr>
      </w:pPr>
    </w:p>
    <w:p>
      <w:pPr>
        <w:ind w:left="1740" w:hanging="422"/>
        <w:spacing w:after="0"/>
        <w:tabs>
          <w:tab w:leader="none" w:pos="1740" w:val="left"/>
        </w:tabs>
        <w:numPr>
          <w:ilvl w:val="1"/>
          <w:numId w:val="23"/>
        </w:numPr>
        <w:rPr>
          <w:rFonts w:ascii="Arial" w:cs="Arial" w:eastAsia="Arial" w:hAnsi="Arial"/>
          <w:sz w:val="18"/>
          <w:szCs w:val="18"/>
          <w:color w:val="0000EE"/>
        </w:rPr>
      </w:pPr>
      <w:hyperlink r:id="rId75">
        <w:r>
          <w:rPr>
            <w:rFonts w:ascii="Arial" w:cs="Arial" w:eastAsia="Arial" w:hAnsi="Arial"/>
            <w:sz w:val="18"/>
            <w:szCs w:val="18"/>
            <w:u w:val="single" w:color="auto"/>
            <w:color w:val="0000EE"/>
          </w:rPr>
          <w:t>August 12, 2020</w:t>
        </w:r>
        <w:r>
          <w:rPr>
            <w:rFonts w:ascii="Arial" w:cs="Arial" w:eastAsia="Arial" w:hAnsi="Arial"/>
            <w:sz w:val="18"/>
            <w:szCs w:val="18"/>
            <w:color w:val="0000EE"/>
          </w:rPr>
          <w:t xml:space="preserve">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with respect to the portions specified therein);</w:t>
      </w:r>
    </w:p>
    <w:p>
      <w:pPr>
        <w:spacing w:after="0" w:line="157" w:lineRule="exact"/>
        <w:rPr>
          <w:rFonts w:ascii="Arial" w:cs="Arial" w:eastAsia="Arial" w:hAnsi="Arial"/>
          <w:sz w:val="18"/>
          <w:szCs w:val="18"/>
          <w:color w:val="0000EE"/>
        </w:rPr>
      </w:pPr>
    </w:p>
    <w:p>
      <w:pPr>
        <w:ind w:left="1740" w:hanging="422"/>
        <w:spacing w:after="0"/>
        <w:tabs>
          <w:tab w:leader="none" w:pos="1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September 14, 2020 (solely with respect to the portions specified therein); and</w:t>
      </w:r>
    </w:p>
    <w:p>
      <w:pPr>
        <w:spacing w:after="0" w:line="157" w:lineRule="exact"/>
        <w:rPr>
          <w:rFonts w:ascii="Arial" w:cs="Arial" w:eastAsia="Arial" w:hAnsi="Arial"/>
          <w:sz w:val="18"/>
          <w:szCs w:val="18"/>
          <w:color w:val="auto"/>
        </w:rPr>
      </w:pPr>
    </w:p>
    <w:p>
      <w:pPr>
        <w:jc w:val="both"/>
        <w:ind w:left="1320" w:right="459" w:hanging="434"/>
        <w:spacing w:after="0" w:line="257" w:lineRule="auto"/>
        <w:tabs>
          <w:tab w:leader="none" w:pos="15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under the heading “Item 1. Description of Registrant’s Securities to be Registered” in our registration statement on </w:t>
      </w:r>
      <w:hyperlink r:id="rId52">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as filed with the SEC on March 31, 2015, as updated by </w:t>
      </w:r>
      <w:hyperlink r:id="rId53">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(“Description of Ordinary Shares of Kornit Digital Ltd.”), including any subsequent amendment or any report filed for the purpose of further updating such description.</w:t>
      </w:r>
    </w:p>
    <w:p>
      <w:pPr>
        <w:spacing w:after="0" w:line="107" w:lineRule="exact"/>
        <w:rPr>
          <w:rFonts w:ascii="Arial" w:cs="Arial" w:eastAsia="Arial" w:hAnsi="Arial"/>
          <w:sz w:val="18"/>
          <w:szCs w:val="18"/>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 under this prospectus or any purchase or sale of securities in connection with any such offering.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96" w:lineRule="exact"/>
        <w:rPr>
          <w:sz w:val="20"/>
          <w:szCs w:val="20"/>
          <w:color w:val="auto"/>
        </w:rPr>
      </w:pPr>
    </w:p>
    <w:p>
      <w:pPr>
        <w:jc w:val="both"/>
        <w:ind w:left="1320" w:right="479" w:hanging="434"/>
        <w:spacing w:after="0" w:line="263" w:lineRule="auto"/>
        <w:tabs>
          <w:tab w:leader="none" w:pos="1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79" w:hanging="434"/>
        <w:spacing w:after="0" w:line="308" w:lineRule="auto"/>
        <w:tabs>
          <w:tab w:leader="none" w:pos="13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judgment is not contrary to public policy of Israel, and the enforcement of the civil liabilities set forth in the judgment is not likely to impair the security or sovereignty of Israel;</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4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2,645,953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252095</wp:posOffset>
            </wp:positionV>
            <wp:extent cx="1611630" cy="9944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161163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 Supplement</w:t>
      </w:r>
    </w:p>
    <w:p>
      <w:pPr>
        <w:spacing w:after="0" w:line="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328"/>
        </w:trPr>
        <w:tc>
          <w:tcPr>
            <w:tcW w:w="2540" w:type="dxa"/>
            <w:vAlign w:val="bottom"/>
            <w:gridSpan w:val="2"/>
          </w:tcPr>
          <w:p>
            <w:pPr>
              <w:ind w:left="80"/>
              <w:spacing w:after="0"/>
              <w:rPr>
                <w:sz w:val="20"/>
                <w:szCs w:val="20"/>
                <w:color w:val="auto"/>
              </w:rPr>
            </w:pPr>
            <w:r>
              <w:rPr>
                <w:rFonts w:ascii="Arial" w:cs="Arial" w:eastAsia="Arial" w:hAnsi="Arial"/>
                <w:sz w:val="25"/>
                <w:szCs w:val="25"/>
                <w:b w:val="1"/>
                <w:bCs w:val="1"/>
                <w:color w:val="auto"/>
              </w:rPr>
              <w:t>Citigroup  Barclays</w:t>
            </w:r>
          </w:p>
        </w:tc>
        <w:tc>
          <w:tcPr>
            <w:tcW w:w="3480" w:type="dxa"/>
            <w:vAlign w:val="bottom"/>
            <w:gridSpan w:val="2"/>
          </w:tcPr>
          <w:p>
            <w:pPr>
              <w:ind w:left="200"/>
              <w:spacing w:after="0"/>
              <w:rPr>
                <w:sz w:val="20"/>
                <w:szCs w:val="20"/>
                <w:color w:val="auto"/>
              </w:rPr>
            </w:pPr>
            <w:r>
              <w:rPr>
                <w:rFonts w:ascii="Arial" w:cs="Arial" w:eastAsia="Arial" w:hAnsi="Arial"/>
                <w:sz w:val="25"/>
                <w:szCs w:val="25"/>
                <w:b w:val="1"/>
                <w:bCs w:val="1"/>
                <w:color w:val="auto"/>
              </w:rPr>
              <w:t>Goldman Sachs &amp; Co. LLC</w:t>
            </w:r>
          </w:p>
        </w:tc>
        <w:tc>
          <w:tcPr>
            <w:tcW w:w="2080" w:type="dxa"/>
            <w:vAlign w:val="bottom"/>
          </w:tcPr>
          <w:p>
            <w:pPr>
              <w:ind w:left="160"/>
              <w:spacing w:after="0"/>
              <w:rPr>
                <w:sz w:val="20"/>
                <w:szCs w:val="20"/>
                <w:color w:val="auto"/>
              </w:rPr>
            </w:pPr>
            <w:r>
              <w:rPr>
                <w:rFonts w:ascii="Arial" w:cs="Arial" w:eastAsia="Arial" w:hAnsi="Arial"/>
                <w:sz w:val="25"/>
                <w:szCs w:val="25"/>
                <w:b w:val="1"/>
                <w:bCs w:val="1"/>
                <w:color w:val="auto"/>
              </w:rPr>
              <w:t>Morgan Stanley</w:t>
            </w:r>
          </w:p>
        </w:tc>
      </w:tr>
      <w:tr>
        <w:trPr>
          <w:trHeight w:val="526"/>
        </w:trPr>
        <w:tc>
          <w:tcPr>
            <w:tcW w:w="2540" w:type="dxa"/>
            <w:vAlign w:val="bottom"/>
            <w:gridSpan w:val="2"/>
          </w:tcPr>
          <w:p>
            <w:pPr>
              <w:ind w:left="780"/>
              <w:spacing w:after="0"/>
              <w:rPr>
                <w:sz w:val="20"/>
                <w:szCs w:val="20"/>
                <w:color w:val="auto"/>
              </w:rPr>
            </w:pPr>
            <w:r>
              <w:rPr>
                <w:rFonts w:ascii="Arial" w:cs="Arial" w:eastAsia="Arial" w:hAnsi="Arial"/>
                <w:sz w:val="25"/>
                <w:szCs w:val="25"/>
                <w:b w:val="1"/>
                <w:bCs w:val="1"/>
                <w:color w:val="auto"/>
              </w:rPr>
              <w:t>William Blair</w:t>
            </w:r>
          </w:p>
        </w:tc>
        <w:tc>
          <w:tcPr>
            <w:tcW w:w="3480" w:type="dxa"/>
            <w:vAlign w:val="bottom"/>
            <w:gridSpan w:val="2"/>
          </w:tcPr>
          <w:p>
            <w:pPr>
              <w:ind w:left="900"/>
              <w:spacing w:after="0"/>
              <w:rPr>
                <w:sz w:val="20"/>
                <w:szCs w:val="20"/>
                <w:color w:val="auto"/>
              </w:rPr>
            </w:pPr>
            <w:r>
              <w:rPr>
                <w:rFonts w:ascii="Arial" w:cs="Arial" w:eastAsia="Arial" w:hAnsi="Arial"/>
                <w:sz w:val="25"/>
                <w:szCs w:val="25"/>
                <w:b w:val="1"/>
                <w:bCs w:val="1"/>
                <w:color w:val="auto"/>
                <w:w w:val="99"/>
              </w:rPr>
              <w:t>Needham &amp; Company</w:t>
            </w:r>
          </w:p>
        </w:tc>
        <w:tc>
          <w:tcPr>
            <w:tcW w:w="2080" w:type="dxa"/>
            <w:vAlign w:val="bottom"/>
          </w:tcPr>
          <w:p>
            <w:pPr>
              <w:ind w:left="860"/>
              <w:spacing w:after="0"/>
              <w:rPr>
                <w:sz w:val="20"/>
                <w:szCs w:val="20"/>
                <w:color w:val="auto"/>
              </w:rPr>
            </w:pPr>
            <w:r>
              <w:rPr>
                <w:rFonts w:ascii="Arial" w:cs="Arial" w:eastAsia="Arial" w:hAnsi="Arial"/>
                <w:sz w:val="25"/>
                <w:szCs w:val="25"/>
                <w:b w:val="1"/>
                <w:bCs w:val="1"/>
                <w:color w:val="auto"/>
              </w:rPr>
              <w:t>Stifel</w:t>
            </w:r>
          </w:p>
        </w:tc>
      </w:tr>
      <w:tr>
        <w:trPr>
          <w:trHeight w:val="513"/>
        </w:trPr>
        <w:tc>
          <w:tcPr>
            <w:tcW w:w="1800" w:type="dxa"/>
            <w:vAlign w:val="bottom"/>
          </w:tcPr>
          <w:p>
            <w:pPr>
              <w:ind w:left="300"/>
              <w:spacing w:after="0"/>
              <w:rPr>
                <w:sz w:val="20"/>
                <w:szCs w:val="20"/>
                <w:color w:val="auto"/>
              </w:rPr>
            </w:pPr>
            <w:r>
              <w:rPr>
                <w:rFonts w:ascii="Arial" w:cs="Arial" w:eastAsia="Arial" w:hAnsi="Arial"/>
                <w:sz w:val="25"/>
                <w:szCs w:val="25"/>
                <w:b w:val="1"/>
                <w:bCs w:val="1"/>
                <w:color w:val="auto"/>
              </w:rPr>
              <w:t>Berenberg</w:t>
            </w:r>
          </w:p>
        </w:tc>
        <w:tc>
          <w:tcPr>
            <w:tcW w:w="2340" w:type="dxa"/>
            <w:vAlign w:val="bottom"/>
            <w:gridSpan w:val="2"/>
          </w:tcPr>
          <w:p>
            <w:pPr>
              <w:ind w:left="380"/>
              <w:spacing w:after="0"/>
              <w:rPr>
                <w:sz w:val="20"/>
                <w:szCs w:val="20"/>
                <w:color w:val="auto"/>
              </w:rPr>
            </w:pPr>
            <w:r>
              <w:rPr>
                <w:rFonts w:ascii="Arial" w:cs="Arial" w:eastAsia="Arial" w:hAnsi="Arial"/>
                <w:sz w:val="25"/>
                <w:szCs w:val="25"/>
                <w:b w:val="1"/>
                <w:bCs w:val="1"/>
                <w:color w:val="auto"/>
              </w:rPr>
              <w:t>CJS Securities</w:t>
            </w:r>
          </w:p>
        </w:tc>
        <w:tc>
          <w:tcPr>
            <w:tcW w:w="3960" w:type="dxa"/>
            <w:vAlign w:val="bottom"/>
            <w:gridSpan w:val="2"/>
          </w:tcPr>
          <w:p>
            <w:pPr>
              <w:ind w:left="420"/>
              <w:spacing w:after="0"/>
              <w:rPr>
                <w:sz w:val="20"/>
                <w:szCs w:val="20"/>
                <w:color w:val="auto"/>
              </w:rPr>
            </w:pPr>
            <w:r>
              <w:rPr>
                <w:rFonts w:ascii="Arial" w:cs="Arial" w:eastAsia="Arial" w:hAnsi="Arial"/>
                <w:sz w:val="25"/>
                <w:szCs w:val="25"/>
                <w:b w:val="1"/>
                <w:bCs w:val="1"/>
                <w:color w:val="auto"/>
              </w:rPr>
              <w:t>Craig-Hallum Capital Group</w:t>
            </w:r>
          </w:p>
        </w:tc>
      </w:tr>
      <w:tr>
        <w:trPr>
          <w:trHeight w:val="1632"/>
        </w:trPr>
        <w:tc>
          <w:tcPr>
            <w:tcW w:w="1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48"/>
        </w:trPr>
        <w:tc>
          <w:tcPr>
            <w:tcW w:w="1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r>
        <w:trPr>
          <w:trHeight w:val="405"/>
        </w:trPr>
        <w:tc>
          <w:tcPr>
            <w:tcW w:w="1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Roman"/>
      <w:start w:val="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lvl w:ilvl="1">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jpe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jpeg"/><Relationship Id="rId42" Type="http://schemas.openxmlformats.org/officeDocument/2006/relationships/hyperlink" Target="http://www.sec.gov/Archives/edgar/data/0001625791/000121390021022809/ea139887-6k_kornitdigitalltd.htm" TargetMode="External"/><Relationship Id="rId43" Type="http://schemas.openxmlformats.org/officeDocument/2006/relationships/hyperlink" Target="http://www.sec.gov/Archives/edgar/data/0001625791/000121390021025498/ea140575-6k_kornitdigital.htm" TargetMode="External"/><Relationship Id="rId44" Type="http://schemas.openxmlformats.org/officeDocument/2006/relationships/hyperlink" Target="http://www.sec.gov/Archives/edgar/data/0001625791/000121390021035860/ea143803-6k_kornitdigital.htm" TargetMode="External"/><Relationship Id="rId45" Type="http://schemas.openxmlformats.org/officeDocument/2006/relationships/hyperlink" Target="http://www.sec.gov/Archives/edgar/data/0001625791/000121390021041222/ea145477-6k_kornitdigital.htm" TargetMode="External"/><Relationship Id="rId46" Type="http://schemas.openxmlformats.org/officeDocument/2006/relationships/hyperlink" Target="http://www.sec.gov/Archives/edgar/data/0001625791/000121390021041220/ea145475-6k_kornitdigital.htm" TargetMode="External"/><Relationship Id="rId47" Type="http://schemas.openxmlformats.org/officeDocument/2006/relationships/hyperlink" Target="http://www.sec.gov/Archives/edgar/data/0001625791/000121390021041996/ea145694-6k_kornitdigital.htm" TargetMode="External"/><Relationship Id="rId48" Type="http://schemas.openxmlformats.org/officeDocument/2006/relationships/hyperlink" Target="http://www.sec.gov/Archives/edgar/data/0001625791/000121390021053659/ea149159-6k_kornitdigital.htm" TargetMode="External"/><Relationship Id="rId49" Type="http://schemas.openxmlformats.org/officeDocument/2006/relationships/hyperlink" Target="http://www.sec.gov/Archives/edgar/data/0001625791/000121390021054007/ea149229-6k_kornitdigital.htm" TargetMode="External"/><Relationship Id="rId50" Type="http://schemas.openxmlformats.org/officeDocument/2006/relationships/hyperlink" Target="http://www.sec.gov/Archives/edgar/data/0001625791/000121390021055638/ea149628-6k_kornitdigital.htm" TargetMode="External"/><Relationship Id="rId51" Type="http://schemas.openxmlformats.org/officeDocument/2006/relationships/hyperlink" Target="http://www.sec.gov/Archives/edgar/data/0001625791/000121390021057942/ea150248-6k_kornitdigital.htm" TargetMode="External"/><Relationship Id="rId52" Type="http://schemas.openxmlformats.org/officeDocument/2006/relationships/hyperlink" Target="http://www.sec.gov/Archives/edgar/data/1625791/000161577415000604/s100918_8a12b.htm" TargetMode="External"/><Relationship Id="rId53" Type="http://schemas.openxmlformats.org/officeDocument/2006/relationships/hyperlink" Target="http://www.sec.gov/Archives/edgar/data/1625791/000121390020007110/f20f2019ex2-2_kornit.htm" TargetMode="External"/><Relationship Id="rId69" Type="http://schemas.openxmlformats.org/officeDocument/2006/relationships/hyperlink" Target="http://www.sec.gov/Archives/edgar/data/1625791/000121390020007110/f20f2019_kornitdigi.htm" TargetMode="External"/><Relationship Id="rId70" Type="http://schemas.openxmlformats.org/officeDocument/2006/relationships/hyperlink" Target="http://www.sec.gov/Archives/edgar/data/1625791/000121390020012929/ea122093-6k_kornitdigital.htm" TargetMode="External"/><Relationship Id="rId71" Type="http://schemas.openxmlformats.org/officeDocument/2006/relationships/hyperlink" Target="http://www.sec.gov/Archives/edgar/data/1625791/000121390020016616/ea123779-6k_kornitdigital.htm" TargetMode="External"/><Relationship Id="rId72" Type="http://schemas.openxmlformats.org/officeDocument/2006/relationships/hyperlink" Target="http://www.sec.gov/Archives/edgar/data/1625791/000121390020018618/ea124553-6k_kornitdigital.htm" TargetMode="External"/><Relationship Id="rId73" Type="http://schemas.openxmlformats.org/officeDocument/2006/relationships/hyperlink" Target="http://www.sec.gov/Archives/edgar/data/1625791/000121390020021422/ea125371-6k_kornitdigi.htm" TargetMode="External"/><Relationship Id="rId74" Type="http://schemas.openxmlformats.org/officeDocument/2006/relationships/hyperlink" Target="http://www.sec.gov/Archives/edgar/data/1625791/000121390020021423/ea125372-6k_kornitdigi.htm" TargetMode="External"/><Relationship Id="rId75" Type="http://schemas.openxmlformats.org/officeDocument/2006/relationships/hyperlink" Target="http://www.sec.gov/Archives/edgar/data/1625791/000121390020021519/ea125417-6k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2021-11-19T16:23:12Z</dcterms:created>
  <dcterms:modified xsi:type="dcterms:W3CDTF">2021-11-19T16:23:12Z</dcterms:modified>
</cp:coreProperties>
</file>