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5955030</wp:posOffset>
            </wp:positionH>
            <wp:positionV relativeFrom="page">
              <wp:posOffset>311785</wp:posOffset>
            </wp:positionV>
            <wp:extent cx="144907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565785"/>
                    </a:xfrm>
                    <a:prstGeom prst="rect">
                      <a:avLst/>
                    </a:prstGeom>
                    <a:noFill/>
                  </pic:spPr>
                </pic:pic>
              </a:graphicData>
            </a:graphic>
          </wp:anchor>
        </w:drawing>
        <w:t>UNITED STATES</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Washington, D.C. 20549</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color w:val="auto"/>
        </w:rPr>
        <w: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19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13d-l(b)</w:t>
      </w:r>
    </w:p>
    <w:p>
      <w:pPr>
        <w:spacing w:after="0" w:line="225" w:lineRule="exact"/>
        <w:rPr>
          <w:rFonts w:ascii="MS PGothic" w:cs="MS PGothic" w:eastAsia="MS PGothic" w:hAnsi="MS PGothic"/>
          <w:sz w:val="18"/>
          <w:szCs w:val="18"/>
          <w:color w:val="auto"/>
        </w:rPr>
      </w:pPr>
    </w:p>
    <w:p>
      <w:pPr>
        <w:ind w:left="660" w:hanging="19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13d-l(c)</w:t>
      </w:r>
    </w:p>
    <w:p>
      <w:pPr>
        <w:spacing w:after="0" w:line="225" w:lineRule="exact"/>
        <w:rPr>
          <w:sz w:val="24"/>
          <w:szCs w:val="24"/>
          <w:color w:val="auto"/>
        </w:rPr>
      </w:pPr>
    </w:p>
    <w:p>
      <w:pPr>
        <w:ind w:left="660" w:hanging="19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13d-l(d)</w:t>
      </w:r>
    </w:p>
    <w:p>
      <w:pPr>
        <w:spacing w:after="0" w:line="225"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10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FORTISSIMO CAPITAL FUND II (Israel), LP</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860" w:hanging="204"/>
        <w:spacing w:after="0"/>
        <w:tabs>
          <w:tab w:leader="none" w:pos="8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w:t>
      </w:r>
    </w:p>
    <w:p>
      <w:pPr>
        <w:spacing w:after="0" w:line="111"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w:t>
      </w:r>
    </w:p>
    <w:p>
      <w:pPr>
        <w:spacing w:after="0" w:line="190"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rPr>
              <w:t>4.</w:t>
            </w:r>
          </w:p>
        </w:tc>
        <w:tc>
          <w:tcPr>
            <w:tcW w:w="1086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   Cayman Islands</w:t>
            </w:r>
          </w:p>
        </w:tc>
        <w:tc>
          <w:tcPr>
            <w:tcW w:w="0" w:type="dxa"/>
            <w:vAlign w:val="bottom"/>
          </w:tcPr>
          <w:p>
            <w:pPr>
              <w:spacing w:after="0"/>
              <w:rPr>
                <w:sz w:val="1"/>
                <w:szCs w:val="1"/>
                <w:color w:val="auto"/>
              </w:rPr>
            </w:pPr>
          </w:p>
        </w:tc>
      </w:tr>
      <w:tr>
        <w:trPr>
          <w:trHeight w:val="68"/>
        </w:trPr>
        <w:tc>
          <w:tcPr>
            <w:tcW w:w="172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2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7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560" w:type="dxa"/>
            <w:vAlign w:val="bottom"/>
            <w:vMerge w:val="restart"/>
          </w:tcPr>
          <w:p>
            <w:pPr>
              <w:spacing w:after="0"/>
              <w:rPr>
                <w:sz w:val="20"/>
                <w:szCs w:val="20"/>
                <w:color w:val="auto"/>
              </w:rPr>
            </w:pPr>
            <w:r>
              <w:rPr>
                <w:rFonts w:ascii="Arial" w:cs="Arial" w:eastAsia="Arial" w:hAnsi="Arial"/>
                <w:sz w:val="18"/>
                <w:szCs w:val="18"/>
                <w:color w:val="auto"/>
                <w:w w:val="94"/>
              </w:rPr>
              <w:t>Shares</w:t>
            </w:r>
          </w:p>
        </w:tc>
        <w:tc>
          <w:tcPr>
            <w:tcW w:w="11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w w:val="91"/>
              </w:rPr>
              <w:t>Shared Voting Power</w:t>
            </w:r>
          </w:p>
        </w:tc>
        <w:tc>
          <w:tcPr>
            <w:tcW w:w="7640" w:type="dxa"/>
            <w:vAlign w:val="bottom"/>
            <w:gridSpan w:val="2"/>
            <w:vMerge w:val="restart"/>
          </w:tcPr>
          <w:p>
            <w:pPr>
              <w:jc w:val="right"/>
              <w:ind w:right="6390"/>
              <w:spacing w:after="0"/>
              <w:rPr>
                <w:sz w:val="20"/>
                <w:szCs w:val="20"/>
                <w:color w:val="auto"/>
              </w:rPr>
            </w:pPr>
            <w:r>
              <w:rPr>
                <w:rFonts w:ascii="Arial" w:cs="Arial" w:eastAsia="Arial" w:hAnsi="Arial"/>
                <w:sz w:val="18"/>
                <w:szCs w:val="18"/>
                <w:color w:val="auto"/>
              </w:rPr>
              <w:t>15,037,481 *</w:t>
            </w:r>
          </w:p>
        </w:tc>
        <w:tc>
          <w:tcPr>
            <w:tcW w:w="0" w:type="dxa"/>
            <w:vAlign w:val="bottom"/>
          </w:tcPr>
          <w:p>
            <w:pPr>
              <w:spacing w:after="0"/>
              <w:rPr>
                <w:sz w:val="1"/>
                <w:szCs w:val="1"/>
                <w:color w:val="auto"/>
              </w:rPr>
            </w:pPr>
          </w:p>
        </w:tc>
      </w:tr>
      <w:tr>
        <w:trPr>
          <w:trHeight w:val="163"/>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rPr>
              <w:t>Beneficially by</w:t>
            </w:r>
          </w:p>
        </w:tc>
        <w:tc>
          <w:tcPr>
            <w:tcW w:w="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7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Owned by Each</w:t>
            </w: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200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7300" w:type="dxa"/>
            <w:vAlign w:val="bottom"/>
            <w:vMerge w:val="restart"/>
          </w:tcPr>
          <w:p>
            <w:pPr>
              <w:jc w:val="right"/>
              <w:ind w:right="69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20" w:type="dxa"/>
            <w:vAlign w:val="bottom"/>
            <w:gridSpan w:val="2"/>
            <w:vMerge w:val="restart"/>
          </w:tcPr>
          <w:p>
            <w:pPr>
              <w:spacing w:after="0" w:line="157" w:lineRule="exact"/>
              <w:rPr>
                <w:sz w:val="20"/>
                <w:szCs w:val="20"/>
                <w:color w:val="auto"/>
              </w:rPr>
            </w:pPr>
            <w:r>
              <w:rPr>
                <w:rFonts w:ascii="Arial" w:cs="Arial" w:eastAsia="Arial" w:hAnsi="Arial"/>
                <w:sz w:val="18"/>
                <w:szCs w:val="18"/>
                <w:color w:val="auto"/>
              </w:rPr>
              <w:t>Reporting</w:t>
            </w:r>
          </w:p>
        </w:tc>
        <w:tc>
          <w:tcPr>
            <w:tcW w:w="400" w:type="dxa"/>
            <w:vAlign w:val="bottom"/>
            <w:vMerge w:val="continue"/>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spacing w:after="0"/>
              <w:rPr>
                <w:sz w:val="20"/>
                <w:szCs w:val="20"/>
                <w:color w:val="auto"/>
              </w:rPr>
            </w:pPr>
            <w:r>
              <w:rPr>
                <w:rFonts w:ascii="Arial" w:cs="Arial" w:eastAsia="Arial" w:hAnsi="Arial"/>
                <w:sz w:val="18"/>
                <w:szCs w:val="18"/>
                <w:color w:val="auto"/>
              </w:rPr>
              <w:t>Person With:</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w w:val="92"/>
              </w:rPr>
              <w:t>Shared Dispositive Power</w:t>
            </w:r>
          </w:p>
        </w:tc>
        <w:tc>
          <w:tcPr>
            <w:tcW w:w="7300" w:type="dxa"/>
            <w:vAlign w:val="bottom"/>
          </w:tcPr>
          <w:p>
            <w:pPr>
              <w:jc w:val="right"/>
              <w:ind w:right="6050"/>
              <w:spacing w:after="0"/>
              <w:rPr>
                <w:sz w:val="20"/>
                <w:szCs w:val="20"/>
                <w:color w:val="auto"/>
              </w:rPr>
            </w:pPr>
            <w:r>
              <w:rPr>
                <w:rFonts w:ascii="Arial" w:cs="Arial" w:eastAsia="Arial" w:hAnsi="Arial"/>
                <w:sz w:val="18"/>
                <w:szCs w:val="18"/>
                <w:color w:val="auto"/>
              </w:rPr>
              <w:t>15,037,481 *</w:t>
            </w:r>
          </w:p>
        </w:tc>
        <w:tc>
          <w:tcPr>
            <w:tcW w:w="0" w:type="dxa"/>
            <w:vAlign w:val="bottom"/>
          </w:tcPr>
          <w:p>
            <w:pPr>
              <w:spacing w:after="0"/>
              <w:rPr>
                <w:sz w:val="1"/>
                <w:szCs w:val="1"/>
                <w:color w:val="auto"/>
              </w:rPr>
            </w:pPr>
          </w:p>
        </w:tc>
      </w:tr>
      <w:tr>
        <w:trPr>
          <w:trHeight w:val="68"/>
        </w:trPr>
        <w:tc>
          <w:tcPr>
            <w:tcW w:w="560" w:type="dxa"/>
            <w:vAlign w:val="bottom"/>
            <w:tcBorders>
              <w:bottom w:val="single" w:sz="8" w:color="auto"/>
            </w:tcBorders>
          </w:tcPr>
          <w:p>
            <w:pPr>
              <w:spacing w:after="0"/>
              <w:rPr>
                <w:sz w:val="5"/>
                <w:szCs w:val="5"/>
                <w:color w:val="auto"/>
              </w:rPr>
            </w:pPr>
          </w:p>
        </w:tc>
        <w:tc>
          <w:tcPr>
            <w:tcW w:w="10860" w:type="dxa"/>
            <w:vAlign w:val="bottom"/>
            <w:tcBorders>
              <w:bottom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60" w:type="dxa"/>
            <w:vAlign w:val="bottom"/>
          </w:tcPr>
          <w:p>
            <w:pPr>
              <w:ind w:left="340"/>
              <w:spacing w:after="0"/>
              <w:rPr>
                <w:sz w:val="20"/>
                <w:szCs w:val="20"/>
                <w:color w:val="auto"/>
              </w:rPr>
            </w:pPr>
            <w:r>
              <w:rPr>
                <w:rFonts w:ascii="Arial" w:cs="Arial" w:eastAsia="Arial" w:hAnsi="Arial"/>
                <w:sz w:val="18"/>
                <w:szCs w:val="18"/>
                <w:color w:val="auto"/>
              </w:rPr>
              <w:t>9.</w:t>
            </w:r>
          </w:p>
        </w:tc>
        <w:tc>
          <w:tcPr>
            <w:tcW w:w="1086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   15,037,481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40"/>
        <w:spacing w:after="0"/>
        <w:tabs>
          <w:tab w:leader="none" w:pos="4680" w:val="left"/>
        </w:tabs>
        <w:rPr>
          <w:sz w:val="20"/>
          <w:szCs w:val="20"/>
          <w:color w:val="auto"/>
        </w:rPr>
      </w:pPr>
      <w:r>
        <w:rPr>
          <w:rFonts w:ascii="Arial" w:cs="Arial" w:eastAsia="Arial" w:hAnsi="Arial"/>
          <w:sz w:val="18"/>
          <w:szCs w:val="18"/>
          <w:color w:val="auto"/>
        </w:rPr>
        <w:t>11. Percent of Class Represented by Amount in Row (9)</w:t>
      </w:r>
      <w:r>
        <w:rPr>
          <w:sz w:val="20"/>
          <w:szCs w:val="20"/>
          <w:color w:val="auto"/>
        </w:rPr>
        <w:tab/>
      </w:r>
      <w:r>
        <w:rPr>
          <w:rFonts w:ascii="Arial" w:cs="Arial" w:eastAsia="Arial" w:hAnsi="Arial"/>
          <w:sz w:val="16"/>
          <w:szCs w:val="16"/>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*Calculations are based on 29,766,965 Ordinary Shares of the Issuer outstanding, in accordance with disclosure contained in the Issuer's Proxy Statement dated August 19, 2015. This Schedule 13G is filed jointly by Fortissimo Capital Fund II (GP), L.P., Fortissimo Capital Fund II (Israel) and Fortissimo Capital 2 Management (GP) Ltd. (together, the "Fortissimo Entities") acting as a "group" within the meaning of Rule 13d-5(b)(1) under the Securities Exchange Act of 1934, as amended (the "Exchange Act"), pursuant to the Joint Filing Agreement among the Fortissimo Entities filed as Exhibit 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FORTISSIMO CAPITAL FUND II (GP), LP</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860" w:hanging="204"/>
        <w:spacing w:after="0"/>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(a)</w:t>
      </w:r>
    </w:p>
    <w:p>
      <w:pPr>
        <w:spacing w:after="0" w:line="111"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w:t>
      </w:r>
    </w:p>
    <w:p>
      <w:pPr>
        <w:spacing w:after="0" w:line="190"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rPr>
              <w:t>4.</w:t>
            </w:r>
          </w:p>
        </w:tc>
        <w:tc>
          <w:tcPr>
            <w:tcW w:w="35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   Israel</w:t>
            </w:r>
          </w:p>
        </w:tc>
        <w:tc>
          <w:tcPr>
            <w:tcW w:w="7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2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2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7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560" w:type="dxa"/>
            <w:vAlign w:val="bottom"/>
            <w:vMerge w:val="restart"/>
          </w:tcPr>
          <w:p>
            <w:pPr>
              <w:spacing w:after="0"/>
              <w:rPr>
                <w:sz w:val="20"/>
                <w:szCs w:val="20"/>
                <w:color w:val="auto"/>
              </w:rPr>
            </w:pPr>
            <w:r>
              <w:rPr>
                <w:rFonts w:ascii="Arial" w:cs="Arial" w:eastAsia="Arial" w:hAnsi="Arial"/>
                <w:sz w:val="18"/>
                <w:szCs w:val="18"/>
                <w:color w:val="auto"/>
                <w:w w:val="94"/>
              </w:rPr>
              <w:t>Shares</w:t>
            </w:r>
          </w:p>
        </w:tc>
        <w:tc>
          <w:tcPr>
            <w:tcW w:w="11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w w:val="91"/>
              </w:rPr>
              <w:t>Shared Voting Power</w:t>
            </w:r>
          </w:p>
        </w:tc>
        <w:tc>
          <w:tcPr>
            <w:tcW w:w="7640" w:type="dxa"/>
            <w:vAlign w:val="bottom"/>
            <w:gridSpan w:val="2"/>
            <w:vMerge w:val="restart"/>
          </w:tcPr>
          <w:p>
            <w:pPr>
              <w:jc w:val="right"/>
              <w:ind w:right="6430"/>
              <w:spacing w:after="0"/>
              <w:rPr>
                <w:sz w:val="20"/>
                <w:szCs w:val="20"/>
                <w:color w:val="auto"/>
              </w:rPr>
            </w:pPr>
            <w:r>
              <w:rPr>
                <w:rFonts w:ascii="Arial" w:cs="Arial" w:eastAsia="Arial" w:hAnsi="Arial"/>
                <w:sz w:val="18"/>
                <w:szCs w:val="18"/>
                <w:color w:val="auto"/>
              </w:rPr>
              <w:t>15,037,481*</w:t>
            </w:r>
          </w:p>
        </w:tc>
        <w:tc>
          <w:tcPr>
            <w:tcW w:w="0" w:type="dxa"/>
            <w:vAlign w:val="bottom"/>
          </w:tcPr>
          <w:p>
            <w:pPr>
              <w:spacing w:after="0"/>
              <w:rPr>
                <w:sz w:val="1"/>
                <w:szCs w:val="1"/>
                <w:color w:val="auto"/>
              </w:rPr>
            </w:pPr>
          </w:p>
        </w:tc>
      </w:tr>
      <w:tr>
        <w:trPr>
          <w:trHeight w:val="163"/>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rPr>
              <w:t>Beneficially by</w:t>
            </w:r>
          </w:p>
        </w:tc>
        <w:tc>
          <w:tcPr>
            <w:tcW w:w="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7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Owned by Each</w:t>
            </w: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200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7300" w:type="dxa"/>
            <w:vAlign w:val="bottom"/>
            <w:vMerge w:val="restart"/>
          </w:tcPr>
          <w:p>
            <w:pPr>
              <w:jc w:val="right"/>
              <w:ind w:right="69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20" w:type="dxa"/>
            <w:vAlign w:val="bottom"/>
            <w:gridSpan w:val="2"/>
            <w:vMerge w:val="restart"/>
          </w:tcPr>
          <w:p>
            <w:pPr>
              <w:spacing w:after="0" w:line="157" w:lineRule="exact"/>
              <w:rPr>
                <w:sz w:val="20"/>
                <w:szCs w:val="20"/>
                <w:color w:val="auto"/>
              </w:rPr>
            </w:pPr>
            <w:r>
              <w:rPr>
                <w:rFonts w:ascii="Arial" w:cs="Arial" w:eastAsia="Arial" w:hAnsi="Arial"/>
                <w:sz w:val="18"/>
                <w:szCs w:val="18"/>
                <w:color w:val="auto"/>
              </w:rPr>
              <w:t>Reporting</w:t>
            </w:r>
          </w:p>
        </w:tc>
        <w:tc>
          <w:tcPr>
            <w:tcW w:w="400" w:type="dxa"/>
            <w:vAlign w:val="bottom"/>
            <w:vMerge w:val="continue"/>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spacing w:after="0"/>
              <w:rPr>
                <w:sz w:val="20"/>
                <w:szCs w:val="20"/>
                <w:color w:val="auto"/>
              </w:rPr>
            </w:pPr>
            <w:r>
              <w:rPr>
                <w:rFonts w:ascii="Arial" w:cs="Arial" w:eastAsia="Arial" w:hAnsi="Arial"/>
                <w:sz w:val="18"/>
                <w:szCs w:val="18"/>
                <w:color w:val="auto"/>
              </w:rPr>
              <w:t>Person With:</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w w:val="92"/>
              </w:rPr>
              <w:t>Shared Dispositive Power</w:t>
            </w:r>
          </w:p>
        </w:tc>
        <w:tc>
          <w:tcPr>
            <w:tcW w:w="7300" w:type="dxa"/>
            <w:vAlign w:val="bottom"/>
          </w:tcPr>
          <w:p>
            <w:pPr>
              <w:jc w:val="right"/>
              <w:ind w:right="6090"/>
              <w:spacing w:after="0"/>
              <w:rPr>
                <w:sz w:val="20"/>
                <w:szCs w:val="20"/>
                <w:color w:val="auto"/>
              </w:rPr>
            </w:pPr>
            <w:r>
              <w:rPr>
                <w:rFonts w:ascii="Arial" w:cs="Arial" w:eastAsia="Arial" w:hAnsi="Arial"/>
                <w:sz w:val="18"/>
                <w:szCs w:val="18"/>
                <w:color w:val="auto"/>
              </w:rPr>
              <w:t>15,037,481*</w:t>
            </w:r>
          </w:p>
        </w:tc>
        <w:tc>
          <w:tcPr>
            <w:tcW w:w="0" w:type="dxa"/>
            <w:vAlign w:val="bottom"/>
          </w:tcPr>
          <w:p>
            <w:pPr>
              <w:spacing w:after="0"/>
              <w:rPr>
                <w:sz w:val="1"/>
                <w:szCs w:val="1"/>
                <w:color w:val="auto"/>
              </w:rPr>
            </w:pPr>
          </w:p>
        </w:tc>
      </w:tr>
      <w:tr>
        <w:trPr>
          <w:trHeight w:val="68"/>
        </w:trPr>
        <w:tc>
          <w:tcPr>
            <w:tcW w:w="560" w:type="dxa"/>
            <w:vAlign w:val="bottom"/>
            <w:tcBorders>
              <w:bottom w:val="single" w:sz="8" w:color="auto"/>
            </w:tcBorders>
          </w:tcPr>
          <w:p>
            <w:pPr>
              <w:spacing w:after="0"/>
              <w:rPr>
                <w:sz w:val="5"/>
                <w:szCs w:val="5"/>
                <w:color w:val="auto"/>
              </w:rPr>
            </w:pPr>
          </w:p>
        </w:tc>
        <w:tc>
          <w:tcPr>
            <w:tcW w:w="10860" w:type="dxa"/>
            <w:vAlign w:val="bottom"/>
            <w:tcBorders>
              <w:bottom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60" w:type="dxa"/>
            <w:vAlign w:val="bottom"/>
          </w:tcPr>
          <w:p>
            <w:pPr>
              <w:ind w:left="340"/>
              <w:spacing w:after="0"/>
              <w:rPr>
                <w:sz w:val="20"/>
                <w:szCs w:val="20"/>
                <w:color w:val="auto"/>
              </w:rPr>
            </w:pPr>
            <w:r>
              <w:rPr>
                <w:rFonts w:ascii="Arial" w:cs="Arial" w:eastAsia="Arial" w:hAnsi="Arial"/>
                <w:sz w:val="18"/>
                <w:szCs w:val="18"/>
                <w:color w:val="auto"/>
              </w:rPr>
              <w:t>9.</w:t>
            </w:r>
          </w:p>
        </w:tc>
        <w:tc>
          <w:tcPr>
            <w:tcW w:w="1086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   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40"/>
        <w:spacing w:after="0"/>
        <w:tabs>
          <w:tab w:leader="none" w:pos="4680" w:val="left"/>
        </w:tabs>
        <w:rPr>
          <w:sz w:val="20"/>
          <w:szCs w:val="20"/>
          <w:color w:val="auto"/>
        </w:rPr>
      </w:pPr>
      <w:r>
        <w:rPr>
          <w:rFonts w:ascii="Arial" w:cs="Arial" w:eastAsia="Arial" w:hAnsi="Arial"/>
          <w:sz w:val="18"/>
          <w:szCs w:val="18"/>
          <w:color w:val="auto"/>
        </w:rPr>
        <w:t>11. Percent of Class Represented by Amount in Row (9)</w:t>
      </w:r>
      <w:r>
        <w:rPr>
          <w:sz w:val="20"/>
          <w:szCs w:val="20"/>
          <w:color w:val="auto"/>
        </w:rPr>
        <w:tab/>
      </w:r>
      <w:r>
        <w:rPr>
          <w:rFonts w:ascii="Arial" w:cs="Arial" w:eastAsia="Arial" w:hAnsi="Arial"/>
          <w:sz w:val="16"/>
          <w:szCs w:val="16"/>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640" w:hanging="308"/>
        <w:spacing w:after="0"/>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57" w:lineRule="exact"/>
        <w:rPr>
          <w:rFonts w:ascii="Arial" w:cs="Arial" w:eastAsia="Arial" w:hAnsi="Arial"/>
          <w:sz w:val="18"/>
          <w:szCs w:val="18"/>
          <w:color w:val="auto"/>
        </w:rPr>
      </w:pPr>
    </w:p>
    <w:p>
      <w:pPr>
        <w:jc w:val="both"/>
        <w:ind w:right="300"/>
        <w:spacing w:after="0" w:line="264" w:lineRule="auto"/>
        <w:rPr>
          <w:rFonts w:ascii="Arial" w:cs="Arial" w:eastAsia="Arial" w:hAnsi="Arial"/>
          <w:sz w:val="18"/>
          <w:szCs w:val="18"/>
          <w:color w:val="auto"/>
        </w:rPr>
      </w:pPr>
      <w:r>
        <w:rPr>
          <w:rFonts w:ascii="Arial" w:cs="Arial" w:eastAsia="Arial" w:hAnsi="Arial"/>
          <w:sz w:val="18"/>
          <w:szCs w:val="18"/>
          <w:color w:val="auto"/>
        </w:rPr>
        <w:t>* Calculations are based on 29,766,965 Ordinary Shares of the Issuer outstanding, in accordance with disclosure contained in the Issuer's Proxy Statement dated August 19, 2015. This Schedule 13G is filed jointly by the Fortissimo Entities acting as a "group" within the meaning of Rule 13d-5(b)(1) under the Exchange Act, pursuant to the Joint Filing Agreement among the Fortissimo Entities filed as Exhibit 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FORTISSIMO CAPITAL 2 MANAGEMENT (GP) LTD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860" w:hanging="204"/>
        <w:spacing w:after="0"/>
        <w:tabs>
          <w:tab w:leader="none" w:pos="86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(a)</w:t>
      </w:r>
    </w:p>
    <w:p>
      <w:pPr>
        <w:spacing w:after="0" w:line="111"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w:t>
      </w:r>
    </w:p>
    <w:p>
      <w:pPr>
        <w:spacing w:after="0" w:line="190"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rPr>
              <w:t>4.</w:t>
            </w:r>
          </w:p>
        </w:tc>
        <w:tc>
          <w:tcPr>
            <w:tcW w:w="35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   Israel</w:t>
            </w:r>
          </w:p>
        </w:tc>
        <w:tc>
          <w:tcPr>
            <w:tcW w:w="7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2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2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7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560" w:type="dxa"/>
            <w:vAlign w:val="bottom"/>
            <w:vMerge w:val="restart"/>
          </w:tcPr>
          <w:p>
            <w:pPr>
              <w:spacing w:after="0"/>
              <w:rPr>
                <w:sz w:val="20"/>
                <w:szCs w:val="20"/>
                <w:color w:val="auto"/>
              </w:rPr>
            </w:pPr>
            <w:r>
              <w:rPr>
                <w:rFonts w:ascii="Arial" w:cs="Arial" w:eastAsia="Arial" w:hAnsi="Arial"/>
                <w:sz w:val="18"/>
                <w:szCs w:val="18"/>
                <w:color w:val="auto"/>
                <w:w w:val="94"/>
              </w:rPr>
              <w:t>Shares</w:t>
            </w:r>
          </w:p>
        </w:tc>
        <w:tc>
          <w:tcPr>
            <w:tcW w:w="11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w w:val="91"/>
              </w:rPr>
              <w:t>Shared Voting Power</w:t>
            </w:r>
          </w:p>
        </w:tc>
        <w:tc>
          <w:tcPr>
            <w:tcW w:w="7640" w:type="dxa"/>
            <w:vAlign w:val="bottom"/>
            <w:gridSpan w:val="2"/>
            <w:vMerge w:val="restart"/>
          </w:tcPr>
          <w:p>
            <w:pPr>
              <w:jc w:val="right"/>
              <w:ind w:right="6430"/>
              <w:spacing w:after="0"/>
              <w:rPr>
                <w:sz w:val="20"/>
                <w:szCs w:val="20"/>
                <w:color w:val="auto"/>
              </w:rPr>
            </w:pPr>
            <w:r>
              <w:rPr>
                <w:rFonts w:ascii="Arial" w:cs="Arial" w:eastAsia="Arial" w:hAnsi="Arial"/>
                <w:sz w:val="18"/>
                <w:szCs w:val="18"/>
                <w:color w:val="auto"/>
              </w:rPr>
              <w:t>15,037,481*</w:t>
            </w:r>
          </w:p>
        </w:tc>
        <w:tc>
          <w:tcPr>
            <w:tcW w:w="0" w:type="dxa"/>
            <w:vAlign w:val="bottom"/>
          </w:tcPr>
          <w:p>
            <w:pPr>
              <w:spacing w:after="0"/>
              <w:rPr>
                <w:sz w:val="1"/>
                <w:szCs w:val="1"/>
                <w:color w:val="auto"/>
              </w:rPr>
            </w:pPr>
          </w:p>
        </w:tc>
      </w:tr>
      <w:tr>
        <w:trPr>
          <w:trHeight w:val="163"/>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rPr>
              <w:t>Beneficially by</w:t>
            </w:r>
          </w:p>
        </w:tc>
        <w:tc>
          <w:tcPr>
            <w:tcW w:w="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7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Owned by Each</w:t>
            </w: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200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7300" w:type="dxa"/>
            <w:vAlign w:val="bottom"/>
            <w:vMerge w:val="restart"/>
          </w:tcPr>
          <w:p>
            <w:pPr>
              <w:jc w:val="right"/>
              <w:ind w:right="69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20" w:type="dxa"/>
            <w:vAlign w:val="bottom"/>
            <w:gridSpan w:val="2"/>
            <w:vMerge w:val="restart"/>
          </w:tcPr>
          <w:p>
            <w:pPr>
              <w:spacing w:after="0" w:line="157" w:lineRule="exact"/>
              <w:rPr>
                <w:sz w:val="20"/>
                <w:szCs w:val="20"/>
                <w:color w:val="auto"/>
              </w:rPr>
            </w:pPr>
            <w:r>
              <w:rPr>
                <w:rFonts w:ascii="Arial" w:cs="Arial" w:eastAsia="Arial" w:hAnsi="Arial"/>
                <w:sz w:val="18"/>
                <w:szCs w:val="18"/>
                <w:color w:val="auto"/>
              </w:rPr>
              <w:t>Reporting</w:t>
            </w:r>
          </w:p>
        </w:tc>
        <w:tc>
          <w:tcPr>
            <w:tcW w:w="400" w:type="dxa"/>
            <w:vAlign w:val="bottom"/>
            <w:vMerge w:val="continue"/>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spacing w:after="0"/>
              <w:rPr>
                <w:sz w:val="20"/>
                <w:szCs w:val="20"/>
                <w:color w:val="auto"/>
              </w:rPr>
            </w:pPr>
            <w:r>
              <w:rPr>
                <w:rFonts w:ascii="Arial" w:cs="Arial" w:eastAsia="Arial" w:hAnsi="Arial"/>
                <w:sz w:val="18"/>
                <w:szCs w:val="18"/>
                <w:color w:val="auto"/>
              </w:rPr>
              <w:t>Person With:</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w w:val="92"/>
              </w:rPr>
              <w:t>Shared Dispositive Power</w:t>
            </w:r>
          </w:p>
        </w:tc>
        <w:tc>
          <w:tcPr>
            <w:tcW w:w="7300" w:type="dxa"/>
            <w:vAlign w:val="bottom"/>
          </w:tcPr>
          <w:p>
            <w:pPr>
              <w:jc w:val="right"/>
              <w:ind w:right="6090"/>
              <w:spacing w:after="0"/>
              <w:rPr>
                <w:sz w:val="20"/>
                <w:szCs w:val="20"/>
                <w:color w:val="auto"/>
              </w:rPr>
            </w:pPr>
            <w:r>
              <w:rPr>
                <w:rFonts w:ascii="Arial" w:cs="Arial" w:eastAsia="Arial" w:hAnsi="Arial"/>
                <w:sz w:val="18"/>
                <w:szCs w:val="18"/>
                <w:color w:val="auto"/>
              </w:rPr>
              <w:t>15,037,481 *</w:t>
            </w:r>
          </w:p>
        </w:tc>
        <w:tc>
          <w:tcPr>
            <w:tcW w:w="0" w:type="dxa"/>
            <w:vAlign w:val="bottom"/>
          </w:tcPr>
          <w:p>
            <w:pPr>
              <w:spacing w:after="0"/>
              <w:rPr>
                <w:sz w:val="1"/>
                <w:szCs w:val="1"/>
                <w:color w:val="auto"/>
              </w:rPr>
            </w:pPr>
          </w:p>
        </w:tc>
      </w:tr>
      <w:tr>
        <w:trPr>
          <w:trHeight w:val="68"/>
        </w:trPr>
        <w:tc>
          <w:tcPr>
            <w:tcW w:w="560" w:type="dxa"/>
            <w:vAlign w:val="bottom"/>
            <w:tcBorders>
              <w:bottom w:val="single" w:sz="8" w:color="auto"/>
            </w:tcBorders>
          </w:tcPr>
          <w:p>
            <w:pPr>
              <w:spacing w:after="0"/>
              <w:rPr>
                <w:sz w:val="5"/>
                <w:szCs w:val="5"/>
                <w:color w:val="auto"/>
              </w:rPr>
            </w:pPr>
          </w:p>
        </w:tc>
        <w:tc>
          <w:tcPr>
            <w:tcW w:w="10860" w:type="dxa"/>
            <w:vAlign w:val="bottom"/>
            <w:tcBorders>
              <w:bottom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60" w:type="dxa"/>
            <w:vAlign w:val="bottom"/>
          </w:tcPr>
          <w:p>
            <w:pPr>
              <w:ind w:left="340"/>
              <w:spacing w:after="0"/>
              <w:rPr>
                <w:sz w:val="20"/>
                <w:szCs w:val="20"/>
                <w:color w:val="auto"/>
              </w:rPr>
            </w:pPr>
            <w:r>
              <w:rPr>
                <w:rFonts w:ascii="Arial" w:cs="Arial" w:eastAsia="Arial" w:hAnsi="Arial"/>
                <w:sz w:val="18"/>
                <w:szCs w:val="18"/>
                <w:color w:val="auto"/>
              </w:rPr>
              <w:t>9.</w:t>
            </w:r>
          </w:p>
        </w:tc>
        <w:tc>
          <w:tcPr>
            <w:tcW w:w="1086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   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 Check if the Aggregate Amount in Row (9) Excludes Certain Shares (See Instructions).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40"/>
        <w:spacing w:after="0"/>
        <w:tabs>
          <w:tab w:leader="none" w:pos="4680" w:val="left"/>
        </w:tabs>
        <w:rPr>
          <w:sz w:val="20"/>
          <w:szCs w:val="20"/>
          <w:color w:val="auto"/>
        </w:rPr>
      </w:pPr>
      <w:r>
        <w:rPr>
          <w:rFonts w:ascii="Arial" w:cs="Arial" w:eastAsia="Arial" w:hAnsi="Arial"/>
          <w:sz w:val="18"/>
          <w:szCs w:val="18"/>
          <w:color w:val="auto"/>
        </w:rPr>
        <w:t>11. Percent of Class Represented by Amount in Row (9)</w:t>
      </w:r>
      <w:r>
        <w:rPr>
          <w:sz w:val="20"/>
          <w:szCs w:val="20"/>
          <w:color w:val="auto"/>
        </w:rPr>
        <w:tab/>
      </w:r>
      <w:r>
        <w:rPr>
          <w:rFonts w:ascii="Arial" w:cs="Arial" w:eastAsia="Arial" w:hAnsi="Arial"/>
          <w:sz w:val="16"/>
          <w:szCs w:val="16"/>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640" w:hanging="308"/>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57" w:lineRule="exact"/>
        <w:rPr>
          <w:rFonts w:ascii="Arial" w:cs="Arial" w:eastAsia="Arial" w:hAnsi="Arial"/>
          <w:sz w:val="18"/>
          <w:szCs w:val="18"/>
          <w:color w:val="auto"/>
        </w:rPr>
      </w:pPr>
    </w:p>
    <w:p>
      <w:pPr>
        <w:jc w:val="both"/>
        <w:ind w:right="300"/>
        <w:spacing w:after="0" w:line="264" w:lineRule="auto"/>
        <w:rPr>
          <w:rFonts w:ascii="Arial" w:cs="Arial" w:eastAsia="Arial" w:hAnsi="Arial"/>
          <w:sz w:val="18"/>
          <w:szCs w:val="18"/>
          <w:color w:val="auto"/>
        </w:rPr>
      </w:pPr>
      <w:r>
        <w:rPr>
          <w:rFonts w:ascii="Arial" w:cs="Arial" w:eastAsia="Arial" w:hAnsi="Arial"/>
          <w:sz w:val="18"/>
          <w:szCs w:val="18"/>
          <w:color w:val="auto"/>
        </w:rPr>
        <w:t>* Calculations are based on 29,766,965 Ordinary Shares of the Issuer outstanding, in accordance with disclosure contained in the Issuer's Proxy Statement dated August 19, 2015. This Schedule 13G is filed jointly by the Fortissimo Entities acting as a "group" within the meaning of Rule 13d-5(b)(1) under the Exchange Act, pursuant to the Joint Filing Agreement among the Fortissimo Entities filed as Exhibit 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name of the Issuer is Kornit Digital Ltd.</w:t>
      </w:r>
    </w:p>
    <w:p>
      <w:pPr>
        <w:spacing w:after="0" w:line="225" w:lineRule="exact"/>
        <w:rPr>
          <w:rFonts w:ascii="Arial" w:cs="Arial" w:eastAsia="Arial" w:hAnsi="Arial"/>
          <w:sz w:val="18"/>
          <w:szCs w:val="18"/>
          <w:b w:val="1"/>
          <w:bCs w:val="1"/>
          <w:color w:val="auto"/>
        </w:rPr>
      </w:pPr>
    </w:p>
    <w:p>
      <w:pPr>
        <w:ind w:left="740" w:hanging="327"/>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address of the Issuer’s principal executive offices is: 12 Ha’Amal Street, Rosh Ha’Ayin 4809246, Israel.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980" w:right="180" w:hanging="324"/>
        <w:spacing w:after="0" w:line="266" w:lineRule="auto"/>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 (d) </w:t>
      </w:r>
      <w:r>
        <w:rPr>
          <w:rFonts w:ascii="Arial" w:cs="Arial" w:eastAsia="Arial" w:hAnsi="Arial"/>
          <w:sz w:val="18"/>
          <w:szCs w:val="18"/>
          <w:color w:val="auto"/>
        </w:rPr>
        <w:t>This Schedule 13G is being filed by Fortissimo Capital Fund II (Israel), L.P. ("FF II"); Fortissimo Capital Fund II (GP), L.P. ("FF II</w:t>
      </w:r>
      <w:r>
        <w:rPr>
          <w:rFonts w:ascii="Arial" w:cs="Arial" w:eastAsia="Arial" w:hAnsi="Arial"/>
          <w:sz w:val="18"/>
          <w:szCs w:val="18"/>
          <w:b w:val="1"/>
          <w:bCs w:val="1"/>
          <w:color w:val="auto"/>
        </w:rPr>
        <w:t xml:space="preserve"> </w:t>
      </w:r>
      <w:r>
        <w:rPr>
          <w:rFonts w:ascii="Arial" w:cs="Arial" w:eastAsia="Arial" w:hAnsi="Arial"/>
          <w:sz w:val="18"/>
          <w:szCs w:val="18"/>
          <w:color w:val="auto"/>
        </w:rPr>
        <w:t>GP") and Fortissimo Capital 2 Management (GP) Ltd. (FF II MGMT”), FF II, FF II GP and FF II MGMT are collectively referred to herein as the "Reporting Persons"), with respect to beneficial ownership of the Ordinary Shares of the Issuer.</w:t>
      </w:r>
    </w:p>
    <w:p>
      <w:pPr>
        <w:spacing w:after="0" w:line="176" w:lineRule="exact"/>
        <w:rPr>
          <w:rFonts w:ascii="Arial" w:cs="Arial" w:eastAsia="Arial" w:hAnsi="Arial"/>
          <w:sz w:val="18"/>
          <w:szCs w:val="18"/>
          <w:b w:val="1"/>
          <w:bCs w:val="1"/>
          <w:color w:val="auto"/>
        </w:rPr>
      </w:pPr>
    </w:p>
    <w:p>
      <w:pPr>
        <w:ind w:left="980" w:hanging="324"/>
        <w:spacing w:after="0" w:line="255" w:lineRule="auto"/>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 (c) </w:t>
      </w:r>
      <w:r>
        <w:rPr>
          <w:rFonts w:ascii="Arial" w:cs="Arial" w:eastAsia="Arial" w:hAnsi="Arial"/>
          <w:sz w:val="18"/>
          <w:szCs w:val="18"/>
          <w:color w:val="auto"/>
        </w:rPr>
        <w:t>FF II is a limited partnership organized and existing under the laws of the Cayman Islands and whose business address is 14 Hamelacha</w:t>
      </w:r>
      <w:r>
        <w:rPr>
          <w:rFonts w:ascii="Arial" w:cs="Arial" w:eastAsia="Arial" w:hAnsi="Arial"/>
          <w:sz w:val="18"/>
          <w:szCs w:val="18"/>
          <w:b w:val="1"/>
          <w:bCs w:val="1"/>
          <w:color w:val="auto"/>
        </w:rPr>
        <w:t xml:space="preserve"> </w:t>
      </w:r>
      <w:r>
        <w:rPr>
          <w:rFonts w:ascii="Arial" w:cs="Arial" w:eastAsia="Arial" w:hAnsi="Arial"/>
          <w:sz w:val="18"/>
          <w:szCs w:val="18"/>
          <w:color w:val="auto"/>
        </w:rPr>
        <w:t>Street, Park Afek, Rosh Ha'ayin Israel 48091. FF II is the record holder of the Ordinary Shares of the Issuer. FF II GP is a limited partnership organized and existing under the laws of the State of Israel and whose principal business is to act as the sole general partner of FF II. Its business address is 14 Hamelacha Street, Park Afek, Rosh Ha'ayin Israel 48091. The general partner of FFII GP is FFF II MGMT, an Israel company whose business address is 14 Hamelacha Street, Park Afek, Rosh Ha'ayin Israel 48091. FFII MGMT’s principal business is to act as the sole general partner of FF II GP. The sole shareholder and director of FF II MGMT is Yuval Cohen (the "Control Person"). The Control Person's business address is 14 Hamelacha Street, Park Afek, Rosh Haayin Israel 48091 and his principal business activity is managing the investments of each of the Reporting Persons.</w:t>
      </w:r>
    </w:p>
    <w:p>
      <w:pPr>
        <w:spacing w:after="0" w:line="18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CUSIP number of the Issuer’s Ordinary Shares is M 6372Q113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Not applicable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340" w:type="dxa"/>
            <w:vAlign w:val="bottom"/>
            <w:gridSpan w:val="3"/>
          </w:tcPr>
          <w:p>
            <w:pPr>
              <w:spacing w:after="0"/>
              <w:rPr>
                <w:sz w:val="20"/>
                <w:szCs w:val="20"/>
                <w:color w:val="auto"/>
              </w:rPr>
            </w:pPr>
            <w:r>
              <w:rPr>
                <w:rFonts w:ascii="Arial" w:cs="Arial" w:eastAsia="Arial" w:hAnsi="Arial"/>
                <w:sz w:val="18"/>
                <w:szCs w:val="18"/>
                <w:b w:val="1"/>
                <w:bCs w:val="1"/>
                <w:color w:val="auto"/>
              </w:rPr>
              <w:t>Item 4. Ownership</w:t>
            </w: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20" w:type="dxa"/>
            <w:vAlign w:val="bottom"/>
            <w:tcBorders>
              <w:bottom w:val="single" w:sz="8" w:color="auto"/>
            </w:tcBorders>
          </w:tcPr>
          <w:p>
            <w:pPr>
              <w:ind w:left="3080"/>
              <w:spacing w:after="0"/>
              <w:rPr>
                <w:sz w:val="20"/>
                <w:szCs w:val="20"/>
                <w:color w:val="auto"/>
              </w:rPr>
            </w:pPr>
            <w:r>
              <w:rPr>
                <w:rFonts w:ascii="Arial" w:cs="Arial" w:eastAsia="Arial" w:hAnsi="Arial"/>
                <w:sz w:val="18"/>
                <w:szCs w:val="18"/>
                <w:color w:val="auto"/>
              </w:rPr>
              <w:t>Name of Fund</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Number of Shares</w:t>
            </w:r>
          </w:p>
        </w:tc>
        <w:tc>
          <w:tcPr>
            <w:tcW w:w="28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Percentage Holdings*</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Fortissimo Capital Fund II (Israel) L.P.</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76"/>
              </w:rPr>
              <w:t>15,037,481**</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Fortissimo Capital Fund II (GP), L.P.</w:t>
            </w:r>
          </w:p>
        </w:tc>
        <w:tc>
          <w:tcPr>
            <w:tcW w:w="2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15,037,481**</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Fortissimo Capital 2 Management (GP) Ltd.</w:t>
            </w:r>
          </w:p>
        </w:tc>
        <w:tc>
          <w:tcPr>
            <w:tcW w:w="2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15,037,481**</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ind w:right="200" w:firstLine="8"/>
        <w:spacing w:after="0" w:line="264"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Calculations are based on 29,766,965 Ordinary Shares of the Issuer outstanding, in accordance with disclosure contained in the Issuer's Proxy Statement dated August 19, 2015. This Schedule 13G is filed jointly by the Fortissimo Entities acting as a "group" within the meaning of Rule 13d-5(b)(1) under the Exchange Act, pursuant to the Joint Filing Agreement among the Fortissimo Entities filed as Exhibit 1 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**FF II is the registered owner of the Ordinary Shares of the Issuer.</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FFC GP, in its capacity of being the sole general partner of FF II, controls and manages FF II. Accordingly, FF II GP is the beneficial owner of the Ordinary Shares held by FF II. FF II GP, in its capacity as the general partner of FF II, has the voting and dispositive power over the Ordinary Shares held by</w:t>
      </w: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II. FF II GP may be deemed to be the indirect beneficial owner of the Ordinary Shares held by FF II.</w:t>
      </w:r>
    </w:p>
    <w:p>
      <w:pPr>
        <w:spacing w:after="0" w:line="210" w:lineRule="exact"/>
        <w:rPr>
          <w:rFonts w:ascii="Arial" w:cs="Arial" w:eastAsia="Arial" w:hAnsi="Arial"/>
          <w:sz w:val="18"/>
          <w:szCs w:val="18"/>
          <w:color w:val="auto"/>
        </w:rPr>
      </w:pPr>
    </w:p>
    <w:p>
      <w:pPr>
        <w:ind w:right="220" w:firstLine="324"/>
        <w:spacing w:after="0" w:line="286" w:lineRule="auto"/>
        <w:rPr>
          <w:rFonts w:ascii="Arial" w:cs="Arial" w:eastAsia="Arial" w:hAnsi="Arial"/>
          <w:sz w:val="18"/>
          <w:szCs w:val="18"/>
          <w:color w:val="auto"/>
        </w:rPr>
      </w:pPr>
      <w:r>
        <w:rPr>
          <w:rFonts w:ascii="Arial" w:cs="Arial" w:eastAsia="Arial" w:hAnsi="Arial"/>
          <w:sz w:val="17"/>
          <w:szCs w:val="17"/>
          <w:color w:val="auto"/>
        </w:rPr>
        <w:t>FF II MGMT, in its capacity as being the sole general partner of FF II GP, controls and manages FF II GP. FF II MGMT, in its capacity as the general partner of FF II GP, has the voting and dispositive power over the Ordinary Shares beneficially owned by FF II GP. Accordingly, FF II MGMT may be deemed to be the indirect beneficial owner of the Ordinary Shares deemed to be indirectly and beneficially owned by FF II GP.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right="160" w:firstLine="332"/>
        <w:spacing w:after="0" w:line="277" w:lineRule="auto"/>
        <w:tabs>
          <w:tab w:leader="none" w:pos="5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II GP is the general partner of FF II and as such makes decisions on behalf of FF II, but does not have the right to receive or the power to direct the receipt of dividends from, or the proceeds from the sale of securities of the Issuer.</w:t>
      </w:r>
    </w:p>
    <w:p>
      <w:pPr>
        <w:spacing w:after="0" w:line="170" w:lineRule="exact"/>
        <w:rPr>
          <w:sz w:val="20"/>
          <w:szCs w:val="20"/>
          <w:color w:val="auto"/>
        </w:rPr>
      </w:pPr>
    </w:p>
    <w:p>
      <w:pPr>
        <w:ind w:right="180" w:firstLine="332"/>
        <w:spacing w:after="0" w:line="277" w:lineRule="auto"/>
        <w:tabs>
          <w:tab w:leader="none" w:pos="5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II MGMT the general partner of FF II GP and as such makes decisions on behalf of FF II GP, but does not have the right to receive or the power to direct the receipt of dividends from, or the proceeds from the sale of securities of the Issuer.</w:t>
      </w:r>
    </w:p>
    <w:p>
      <w:pPr>
        <w:spacing w:after="0" w:line="166" w:lineRule="exact"/>
        <w:rPr>
          <w:sz w:val="20"/>
          <w:szCs w:val="20"/>
          <w:color w:val="auto"/>
        </w:rPr>
      </w:pPr>
    </w:p>
    <w:p>
      <w:pPr>
        <w:ind w:left="660" w:right="30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200"/>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Joint Filing Agreement Attached hereto as an Exhibit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2016</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Fund II (Israel) L.P.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its General Partner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Fund II (GP), L.P.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its General Partner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Yuval Cohen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Yuval Cohen,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Fund II (GP), L.P.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its General Partner: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Yuval Cohen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Yuval Cohen,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Yuval Cohen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Yuval Cohen,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692" w:right="5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u w:val="single" w:color="auto"/>
          <w:color w:val="auto"/>
        </w:rPr>
        <w:t>EXHIBIT ON NEXT PAGE</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accordance with Rule 13d-1(k) (1) under the Securities Exchange Act of 1934, as amended, the undersigned agree to the joint filing on behalf of each of them of a Statement on Schedule 13G (including any and all amendments thereto) with respect to the Ordinary Shares of Kornit Digital Ltd., and further agree that this Joint Filing Agreement shall be included as an Exhibit to such joint filings.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This Joint Filing Agreement may be signed in counterparts with the same effect as if the signature on each counterpart were upon the same instrument.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14, 2016.</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Fund II (Israel) L.P.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its General Partner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Fund II (GP), L.P.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its General Partner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Yuval Cohen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Yuval Cohen,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Fund II (GP), L.P.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its General Partner: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Yuval Cohen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Yuval Cohen,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Fortissimo Capital 2 Management (GP) Ltd.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Yuval Cohen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Yuval Cohen,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
      <w:numFmt w:val="bullet"/>
      <w:start w:val="1"/>
    </w:lvl>
    <w:lvl w:ilvl="1">
      <w:lvlJc w:val="left"/>
      <w:lvlText w:val="%2."/>
      <w:numFmt w:val="decimal"/>
      <w:start w:val="1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
      <w:numFmt w:val="bullet"/>
      <w:start w:val="1"/>
    </w:lvl>
    <w:lvl w:ilvl="1">
      <w:lvlJc w:val="left"/>
      <w:lvlText w:val="%2."/>
      <w:numFmt w:val="decimal"/>
      <w:start w:val="12"/>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5"/>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upperLetter"/>
      <w:start w:val="32"/>
    </w:lvl>
    <w:lvl w:ilvl="1">
      <w:lvlJc w:val="left"/>
      <w:lvlText w:val="%2"/>
      <w:numFmt w:val="upperLetter"/>
      <w:start w:val="1"/>
    </w:lvl>
  </w:abstractNum>
  <w:abstractNum w:abstractNumId="18">
    <w:nsid w:val="257130A3"/>
    <w:multiLevelType w:val="hybridMultilevel"/>
    <w:lvl w:ilvl="0">
      <w:lvlJc w:val="left"/>
      <w:lvlText w:val="%1"/>
      <w:numFmt w:val="upperLetter"/>
      <w:start w:val="32"/>
    </w:lvl>
  </w:abstractNum>
  <w:abstractNum w:abstractNumId="19">
    <w:nsid w:val="62BBD95A"/>
    <w:multiLevelType w:val="hybridMultilevel"/>
    <w:lvl w:ilvl="0">
      <w:lvlJc w:val="left"/>
      <w:lvlText w:val="%1"/>
      <w:numFmt w:val="upp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2019-12-09T02:13:38Z</dcterms:created>
  <dcterms:modified xsi:type="dcterms:W3CDTF">2019-12-09T02:13:38Z</dcterms:modified>
</cp:coreProperties>
</file>