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333-215404</w:t>
      </w:r>
    </w:p>
    <w:p>
      <w:pPr>
        <w:spacing w:after="0" w:line="209" w:lineRule="exact"/>
        <w:rPr>
          <w:sz w:val="24"/>
          <w:szCs w:val="24"/>
          <w:color w:val="auto"/>
        </w:rPr>
      </w:pPr>
    </w:p>
    <w:p>
      <w:pPr>
        <w:jc w:val="both"/>
        <w:spacing w:after="0" w:line="243" w:lineRule="auto"/>
        <w:rPr>
          <w:sz w:val="20"/>
          <w:szCs w:val="20"/>
          <w:color w:val="auto"/>
        </w:rPr>
      </w:pPr>
      <w:r>
        <w:rPr>
          <w:rFonts w:ascii="Arial" w:cs="Arial" w:eastAsia="Arial" w:hAnsi="Arial"/>
          <w:sz w:val="22"/>
          <w:szCs w:val="22"/>
          <w:b w:val="1"/>
          <w:bCs w:val="1"/>
          <w:color w:val="FF0000"/>
        </w:rPr>
        <w:t>The information contained in this preliminary prospectus supplement is not complete and may be changed. This preliminary prospectus supplement is not an offer to sell these securities, and the selling shareholder is not soliciting an offer to buy these securities in any state where an offer or sale is not permitted.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DECEMBER 3,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(To prospectus dated January 13, 2017)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3,132,481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154940</wp:posOffset>
            </wp:positionV>
            <wp:extent cx="2118360" cy="131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131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shareholder identified in this prospectus supplement is offering 3,132,481 ordinary shares. We will not receive any of the proceeds from the sale of shares being offered by the selling shareholder.</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ordinary shares are listed on the NASDAQ Global Select Market under the symbol “KRNT.” On November 30, 2018, the last reported sales price of our ordinary shares was $23.02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7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66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28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228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680" w:type="dxa"/>
            <w:vAlign w:val="bottom"/>
            <w:gridSpan w:val="3"/>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(1) See “Underwriting” for a description</w:t>
            </w:r>
          </w:p>
        </w:tc>
        <w:tc>
          <w:tcPr>
            <w:tcW w:w="4820" w:type="dxa"/>
            <w:vAlign w:val="bottom"/>
          </w:tcPr>
          <w:p>
            <w:pPr>
              <w:ind w:left="180"/>
              <w:spacing w:after="0"/>
              <w:rPr>
                <w:sz w:val="20"/>
                <w:szCs w:val="20"/>
                <w:color w:val="auto"/>
              </w:rPr>
            </w:pPr>
            <w:r>
              <w:rPr>
                <w:rFonts w:ascii="Arial" w:cs="Arial" w:eastAsia="Arial" w:hAnsi="Arial"/>
                <w:sz w:val="18"/>
                <w:szCs w:val="18"/>
                <w:color w:val="auto"/>
              </w:rPr>
              <w:t>of the compensation payable to the underwriters.</w:t>
            </w: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7"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are an “emerging growth company” as defined under federal securities laws and, as such, may elect to comply with certain reduced public company reporting requirements.</w:t>
      </w:r>
    </w:p>
    <w:p>
      <w:pPr>
        <w:spacing w:after="0" w:line="162"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ordinary shares involves risks that are described in the “Risk Factors” section beginning on page S-6 of this prospectus supplement and in the documents incorporated by reference.</w:t>
      </w:r>
    </w:p>
    <w:p>
      <w:pPr>
        <w:spacing w:after="0" w:line="162"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123190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3"/>
          </w:tcPr>
          <w:p>
            <w:pPr>
              <w:jc w:val="center"/>
              <w:ind w:left="1638"/>
              <w:spacing w:after="0"/>
              <w:rPr>
                <w:sz w:val="20"/>
                <w:szCs w:val="20"/>
                <w:color w:val="auto"/>
              </w:rPr>
            </w:pPr>
            <w:r>
              <w:rPr>
                <w:rFonts w:ascii="Arial" w:cs="Arial" w:eastAsia="Arial" w:hAnsi="Arial"/>
                <w:sz w:val="18"/>
                <w:szCs w:val="18"/>
                <w:color w:val="auto"/>
                <w:w w:val="89"/>
              </w:rPr>
              <w:t>The underwriters expect to deliver the ordinary shares to purchasers on or about</w:t>
            </w:r>
          </w:p>
        </w:tc>
        <w:tc>
          <w:tcPr>
            <w:tcW w:w="3080" w:type="dxa"/>
            <w:vAlign w:val="bottom"/>
          </w:tcPr>
          <w:p>
            <w:pPr>
              <w:jc w:val="right"/>
              <w:ind w:right="2052"/>
              <w:spacing w:after="0"/>
              <w:rPr>
                <w:sz w:val="20"/>
                <w:szCs w:val="20"/>
                <w:color w:val="auto"/>
              </w:rPr>
            </w:pPr>
            <w:r>
              <w:rPr>
                <w:rFonts w:ascii="Arial" w:cs="Arial" w:eastAsia="Arial" w:hAnsi="Arial"/>
                <w:sz w:val="18"/>
                <w:szCs w:val="18"/>
                <w:color w:val="auto"/>
              </w:rPr>
              <w:t>, 2018.</w:t>
            </w:r>
          </w:p>
        </w:tc>
      </w:tr>
      <w:tr>
        <w:trPr>
          <w:trHeight w:val="223"/>
        </w:trPr>
        <w:tc>
          <w:tcPr>
            <w:tcW w:w="4280" w:type="dxa"/>
            <w:vAlign w:val="bottom"/>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535"/>
        </w:trPr>
        <w:tc>
          <w:tcPr>
            <w:tcW w:w="7140" w:type="dxa"/>
            <w:vAlign w:val="bottom"/>
            <w:gridSpan w:val="2"/>
          </w:tcPr>
          <w:p>
            <w:pPr>
              <w:spacing w:after="0"/>
              <w:rPr>
                <w:sz w:val="20"/>
                <w:szCs w:val="20"/>
                <w:color w:val="auto"/>
              </w:rPr>
            </w:pPr>
            <w:r>
              <w:rPr>
                <w:rFonts w:ascii="Arial" w:cs="Arial" w:eastAsia="Arial" w:hAnsi="Arial"/>
                <w:sz w:val="25"/>
                <w:szCs w:val="25"/>
                <w:b w:val="1"/>
                <w:bCs w:val="1"/>
                <w:color w:val="auto"/>
              </w:rPr>
              <w:t>Barclays</w:t>
            </w:r>
          </w:p>
        </w:tc>
        <w:tc>
          <w:tcPr>
            <w:tcW w:w="120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25"/>
                <w:szCs w:val="25"/>
                <w:b w:val="1"/>
                <w:bCs w:val="1"/>
                <w:color w:val="auto"/>
              </w:rPr>
              <w:t>Citigroup</w:t>
            </w:r>
          </w:p>
        </w:tc>
      </w:tr>
      <w:tr>
        <w:trPr>
          <w:trHeight w:val="215"/>
        </w:trPr>
        <w:tc>
          <w:tcPr>
            <w:tcW w:w="428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446"/>
        </w:trPr>
        <w:tc>
          <w:tcPr>
            <w:tcW w:w="7140" w:type="dxa"/>
            <w:vAlign w:val="bottom"/>
            <w:gridSpan w:val="2"/>
          </w:tcPr>
          <w:p>
            <w:pPr>
              <w:jc w:val="center"/>
              <w:ind w:left="2898"/>
              <w:spacing w:after="0"/>
              <w:rPr>
                <w:sz w:val="20"/>
                <w:szCs w:val="20"/>
                <w:color w:val="auto"/>
              </w:rPr>
            </w:pPr>
            <w:r>
              <w:rPr>
                <w:rFonts w:ascii="Arial" w:cs="Arial" w:eastAsia="Arial" w:hAnsi="Arial"/>
                <w:sz w:val="18"/>
                <w:szCs w:val="18"/>
                <w:color w:val="auto"/>
                <w:w w:val="89"/>
              </w:rPr>
              <w:t>The date of this Prospectus Supplement is</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 2018.</w:t>
            </w:r>
          </w:p>
        </w:tc>
        <w:tc>
          <w:tcPr>
            <w:tcW w:w="3080" w:type="dxa"/>
            <w:vAlign w:val="bottom"/>
          </w:tcPr>
          <w:p>
            <w:pPr>
              <w:spacing w:after="0"/>
              <w:rPr>
                <w:sz w:val="24"/>
                <w:szCs w:val="24"/>
                <w:color w:val="auto"/>
              </w:rPr>
            </w:pPr>
          </w:p>
        </w:tc>
      </w:tr>
      <w:tr>
        <w:trPr>
          <w:trHeight w:val="682"/>
        </w:trPr>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40" w:type="dxa"/>
            <w:vAlign w:val="bottom"/>
            <w:gridSpan w:val="3"/>
          </w:tcPr>
          <w:p>
            <w:pPr>
              <w:ind w:left="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59"/>
        </w:trPr>
        <w:tc>
          <w:tcPr>
            <w:tcW w:w="3980" w:type="dxa"/>
            <w:vAlign w:val="bottom"/>
            <w:gridSpan w:val="35"/>
          </w:tcPr>
          <w:p>
            <w:pPr>
              <w:spacing w:after="0"/>
              <w:rPr>
                <w:sz w:val="20"/>
                <w:szCs w:val="20"/>
                <w:color w:val="auto"/>
              </w:rPr>
            </w:pPr>
            <w:r>
              <w:rPr>
                <w:rFonts w:ascii="Arial" w:cs="Arial" w:eastAsia="Arial" w:hAnsi="Arial"/>
                <w:sz w:val="18"/>
                <w:szCs w:val="18"/>
                <w:b w:val="1"/>
                <w:bCs w:val="1"/>
                <w:color w:val="auto"/>
              </w:rPr>
              <w:t>Prospectus supplement</w:t>
            </w:r>
          </w:p>
        </w:tc>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tcBorders>
              <w:top w:val="single" w:sz="8" w:color="auto"/>
              <w:bottom w:val="single" w:sz="8" w:color="0000EE"/>
            </w:tcBorders>
            <w:gridSpan w:val="27"/>
            <w:shd w:val="clear" w:color="auto" w:fill="CCEEFF"/>
          </w:tcPr>
          <w:p>
            <w:pPr>
              <w:spacing w:after="0" w:line="170"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1480" w:type="dxa"/>
            <w:vAlign w:val="bottom"/>
            <w:tcBorders>
              <w:top w:val="single" w:sz="8" w:color="auto"/>
              <w:bottom w:val="single" w:sz="8" w:color="CCEEFF"/>
            </w:tcBorders>
            <w:gridSpan w:val="7"/>
            <w:shd w:val="clear" w:color="auto" w:fill="CCEEFF"/>
          </w:tcPr>
          <w:p>
            <w:pPr>
              <w:spacing w:after="0"/>
              <w:rPr>
                <w:sz w:val="16"/>
                <w:szCs w:val="16"/>
                <w:color w:val="auto"/>
              </w:rPr>
            </w:pPr>
          </w:p>
        </w:tc>
        <w:tc>
          <w:tcPr>
            <w:tcW w:w="6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supplement summary</w:t>
              </w:r>
            </w:hyperlink>
          </w:p>
        </w:tc>
        <w:tc>
          <w:tcPr>
            <w:tcW w:w="1600" w:type="dxa"/>
            <w:vAlign w:val="bottom"/>
            <w:tcBorders>
              <w:bottom w:val="single" w:sz="8" w:color="CCEEFF"/>
            </w:tcBorders>
            <w:gridSpan w:val="9"/>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The offering</w:t>
              </w:r>
            </w:hyperlink>
          </w:p>
        </w:tc>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3100" w:type="dxa"/>
            <w:vAlign w:val="bottom"/>
            <w:tcBorders>
              <w:bottom w:val="single" w:sz="8" w:color="CCEEFF"/>
            </w:tcBorders>
            <w:gridSpan w:val="32"/>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Capitalization</w:t>
              </w:r>
            </w:hyperlink>
          </w:p>
        </w:tc>
        <w:tc>
          <w:tcPr>
            <w:tcW w:w="2960" w:type="dxa"/>
            <w:vAlign w:val="bottom"/>
            <w:tcBorders>
              <w:bottom w:val="single" w:sz="8" w:color="CCEEFF"/>
            </w:tcBorders>
            <w:gridSpan w:val="27"/>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Selling shareholder</w:t>
              </w:r>
            </w:hyperlink>
          </w:p>
        </w:tc>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60" w:type="dxa"/>
            <w:vAlign w:val="bottom"/>
            <w:tcBorders>
              <w:bottom w:val="single" w:sz="8" w:color="0000EE"/>
            </w:tcBorders>
            <w:gridSpan w:val="34"/>
            <w:shd w:val="clear" w:color="auto" w:fill="CCEEFF"/>
          </w:tcPr>
          <w:p>
            <w:pPr>
              <w:spacing w:after="0" w:line="17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U.S. and Israeli tax considerations for our shareholders</w:t>
              </w:r>
            </w:hyperlink>
          </w:p>
        </w:tc>
        <w:tc>
          <w:tcPr>
            <w:tcW w:w="6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4"/>
              </w:rPr>
              <w:t>S-11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top w:val="single" w:sz="8" w:color="CCEEFF"/>
            </w:tcBorders>
            <w:gridSpan w:val="3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Underwriting</w:t>
              </w:r>
            </w:hyperlink>
          </w:p>
        </w:tc>
        <w:tc>
          <w:tcPr>
            <w:tcW w:w="65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Legal matters</w:t>
              </w:r>
            </w:hyperlink>
          </w:p>
        </w:tc>
        <w:tc>
          <w:tcPr>
            <w:tcW w:w="2980" w:type="dxa"/>
            <w:vAlign w:val="bottom"/>
            <w:tcBorders>
              <w:bottom w:val="single" w:sz="8" w:color="CCEEFF"/>
            </w:tcBorders>
            <w:gridSpan w:val="28"/>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S-24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0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Enforceability of civil liabilities</w:t>
              </w:r>
            </w:hyperlink>
          </w:p>
        </w:tc>
        <w:tc>
          <w:tcPr>
            <w:tcW w:w="1660" w:type="dxa"/>
            <w:vAlign w:val="bottom"/>
            <w:tcBorders>
              <w:bottom w:val="single" w:sz="8" w:color="CCEEFF"/>
            </w:tcBorders>
            <w:gridSpan w:val="10"/>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S-25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3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Incorporation of certain documents by reference</w:t>
              </w:r>
            </w:hyperlink>
          </w:p>
        </w:tc>
        <w:tc>
          <w:tcPr>
            <w:tcW w:w="6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80" w:type="dxa"/>
            <w:vAlign w:val="bottom"/>
            <w:gridSpan w:val="35"/>
          </w:tcPr>
          <w:p>
            <w:pPr>
              <w:spacing w:after="0"/>
              <w:rPr>
                <w:sz w:val="20"/>
                <w:szCs w:val="20"/>
                <w:color w:val="auto"/>
              </w:rPr>
            </w:pPr>
            <w:r>
              <w:rPr>
                <w:rFonts w:ascii="Arial" w:cs="Arial" w:eastAsia="Arial" w:hAnsi="Arial"/>
                <w:sz w:val="18"/>
                <w:szCs w:val="18"/>
                <w:b w:val="1"/>
                <w:bCs w:val="1"/>
                <w:color w:val="auto"/>
              </w:rPr>
              <w:t>Prospectus</w:t>
            </w:r>
          </w:p>
        </w:tc>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auto"/>
            </w:tcBorders>
            <w:gridSpan w:val="3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6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Kornit Digital Ltd.</w:t>
              </w:r>
            </w:hyperlink>
          </w:p>
        </w:tc>
        <w:tc>
          <w:tcPr>
            <w:tcW w:w="2400" w:type="dxa"/>
            <w:vAlign w:val="bottom"/>
            <w:tcBorders>
              <w:top w:val="single" w:sz="8" w:color="CCEEFF"/>
            </w:tcBorders>
            <w:gridSpan w:val="18"/>
          </w:tcPr>
          <w:p>
            <w:pPr>
              <w:spacing w:after="0"/>
              <w:rPr>
                <w:sz w:val="15"/>
                <w:szCs w:val="15"/>
                <w:color w:val="auto"/>
              </w:rPr>
            </w:pPr>
          </w:p>
        </w:tc>
        <w:tc>
          <w:tcPr>
            <w:tcW w:w="7440" w:type="dxa"/>
            <w:vAlign w:val="bottom"/>
            <w:tcBorders>
              <w:top w:val="single" w:sz="8" w:color="CCEEFF"/>
            </w:tcBorders>
            <w:gridSpan w:val="3"/>
          </w:tcPr>
          <w:p>
            <w:pPr>
              <w:jc w:val="center"/>
              <w:ind w:left="667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3060" w:type="dxa"/>
            <w:vAlign w:val="bottom"/>
            <w:tcBorders>
              <w:bottom w:val="single" w:sz="8" w:color="CCEEFF"/>
            </w:tcBorders>
            <w:gridSpan w:val="30"/>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Offer Statistics and Expected Timetable</w:t>
              </w:r>
            </w:hyperlink>
          </w:p>
        </w:tc>
        <w:tc>
          <w:tcPr>
            <w:tcW w:w="7440" w:type="dxa"/>
            <w:vAlign w:val="bottom"/>
            <w:gridSpan w:val="3"/>
          </w:tcPr>
          <w:p>
            <w:pPr>
              <w:jc w:val="center"/>
              <w:ind w:left="66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3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7440" w:type="dxa"/>
            <w:vAlign w:val="bottom"/>
            <w:gridSpan w:val="3"/>
            <w:shd w:val="clear" w:color="auto" w:fill="CCEEFF"/>
          </w:tcPr>
          <w:p>
            <w:pPr>
              <w:jc w:val="center"/>
              <w:ind w:left="66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Ratio of Earnings to Fixed Charges</w:t>
              </w:r>
            </w:hyperlink>
          </w:p>
        </w:tc>
        <w:tc>
          <w:tcPr>
            <w:tcW w:w="7440" w:type="dxa"/>
            <w:vAlign w:val="bottom"/>
            <w:gridSpan w:val="3"/>
          </w:tcPr>
          <w:p>
            <w:pPr>
              <w:jc w:val="center"/>
              <w:ind w:left="667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Capitalization</w:t>
              </w:r>
            </w:hyperlink>
          </w:p>
        </w:tc>
        <w:tc>
          <w:tcPr>
            <w:tcW w:w="2960" w:type="dxa"/>
            <w:vAlign w:val="bottom"/>
            <w:tcBorders>
              <w:bottom w:val="single" w:sz="8" w:color="CCEEFF"/>
            </w:tcBorders>
            <w:gridSpan w:val="27"/>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7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Price Range of Ordinary Shares</w:t>
              </w:r>
            </w:hyperlink>
          </w:p>
        </w:tc>
        <w:tc>
          <w:tcPr>
            <w:tcW w:w="7440" w:type="dxa"/>
            <w:vAlign w:val="bottom"/>
            <w:gridSpan w:val="3"/>
          </w:tcPr>
          <w:p>
            <w:pPr>
              <w:jc w:val="center"/>
              <w:ind w:left="667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Use of Proceeds</w:t>
              </w:r>
            </w:hyperlink>
          </w:p>
        </w:tc>
        <w:tc>
          <w:tcPr>
            <w:tcW w:w="2800" w:type="dxa"/>
            <w:vAlign w:val="bottom"/>
            <w:tcBorders>
              <w:bottom w:val="single" w:sz="8" w:color="CCEEFF"/>
            </w:tcBorders>
            <w:gridSpan w:val="25"/>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7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Selling Shareholders</w:t>
              </w:r>
            </w:hyperlink>
          </w:p>
        </w:tc>
        <w:tc>
          <w:tcPr>
            <w:tcW w:w="7440" w:type="dxa"/>
            <w:vAlign w:val="bottom"/>
            <w:gridSpan w:val="3"/>
          </w:tcPr>
          <w:p>
            <w:pPr>
              <w:jc w:val="center"/>
              <w:ind w:left="667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Securities</w:t>
              </w:r>
            </w:hyperlink>
          </w:p>
        </w:tc>
        <w:tc>
          <w:tcPr>
            <w:tcW w:w="2180" w:type="dxa"/>
            <w:vAlign w:val="bottom"/>
            <w:tcBorders>
              <w:bottom w:val="single" w:sz="8" w:color="CCEEFF"/>
            </w:tcBorders>
            <w:gridSpan w:val="16"/>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7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Ordinary Shares</w:t>
              </w:r>
            </w:hyperlink>
          </w:p>
        </w:tc>
        <w:tc>
          <w:tcPr>
            <w:tcW w:w="7440" w:type="dxa"/>
            <w:vAlign w:val="bottom"/>
            <w:gridSpan w:val="3"/>
          </w:tcPr>
          <w:p>
            <w:pPr>
              <w:jc w:val="center"/>
              <w:ind w:left="667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Warrants</w:t>
              </w:r>
            </w:hyperlink>
          </w:p>
        </w:tc>
        <w:tc>
          <w:tcPr>
            <w:tcW w:w="2240" w:type="dxa"/>
            <w:vAlign w:val="bottom"/>
            <w:tcBorders>
              <w:bottom w:val="single" w:sz="8" w:color="CCEEFF"/>
            </w:tcBorders>
            <w:gridSpan w:val="17"/>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70"/>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Rights</w:t>
              </w:r>
            </w:hyperlink>
          </w:p>
        </w:tc>
        <w:tc>
          <w:tcPr>
            <w:tcW w:w="7440" w:type="dxa"/>
            <w:vAlign w:val="bottom"/>
            <w:gridSpan w:val="3"/>
          </w:tcPr>
          <w:p>
            <w:pPr>
              <w:jc w:val="center"/>
              <w:ind w:left="669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Description of Debt Securities</w:t>
              </w:r>
            </w:hyperlink>
          </w:p>
        </w:tc>
        <w:tc>
          <w:tcPr>
            <w:tcW w:w="1780" w:type="dxa"/>
            <w:vAlign w:val="bottom"/>
            <w:tcBorders>
              <w:bottom w:val="single" w:sz="8" w:color="CCEEFF"/>
            </w:tcBorders>
            <w:gridSpan w:val="13"/>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9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Units</w:t>
              </w:r>
            </w:hyperlink>
          </w:p>
        </w:tc>
        <w:tc>
          <w:tcPr>
            <w:tcW w:w="7440" w:type="dxa"/>
            <w:vAlign w:val="bottom"/>
            <w:gridSpan w:val="3"/>
          </w:tcPr>
          <w:p>
            <w:pPr>
              <w:jc w:val="center"/>
              <w:ind w:left="669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Plan of Distribution</w:t>
              </w:r>
            </w:hyperlink>
          </w:p>
        </w:tc>
        <w:tc>
          <w:tcPr>
            <w:tcW w:w="2540" w:type="dxa"/>
            <w:vAlign w:val="bottom"/>
            <w:tcBorders>
              <w:bottom w:val="single" w:sz="8" w:color="CCEEFF"/>
            </w:tcBorders>
            <w:gridSpan w:val="22"/>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9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Expenses Associated with the Registration</w:t>
              </w:r>
            </w:hyperlink>
          </w:p>
        </w:tc>
        <w:tc>
          <w:tcPr>
            <w:tcW w:w="7440" w:type="dxa"/>
            <w:vAlign w:val="bottom"/>
            <w:gridSpan w:val="3"/>
          </w:tcPr>
          <w:p>
            <w:pPr>
              <w:jc w:val="center"/>
              <w:ind w:left="669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Legal Matters</w:t>
              </w:r>
            </w:hyperlink>
          </w:p>
        </w:tc>
        <w:tc>
          <w:tcPr>
            <w:tcW w:w="2960" w:type="dxa"/>
            <w:vAlign w:val="bottom"/>
            <w:tcBorders>
              <w:bottom w:val="single" w:sz="8" w:color="CCEEFF"/>
            </w:tcBorders>
            <w:gridSpan w:val="27"/>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9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7440" w:type="dxa"/>
            <w:vAlign w:val="bottom"/>
            <w:gridSpan w:val="3"/>
          </w:tcPr>
          <w:p>
            <w:pPr>
              <w:jc w:val="center"/>
              <w:ind w:left="669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Where You Can Find More Information</w:t>
              </w:r>
            </w:hyperlink>
          </w:p>
        </w:tc>
        <w:tc>
          <w:tcPr>
            <w:tcW w:w="1100" w:type="dxa"/>
            <w:vAlign w:val="bottom"/>
            <w:tcBorders>
              <w:bottom w:val="single" w:sz="8" w:color="CCEEFF"/>
            </w:tcBorders>
            <w:gridSpan w:val="4"/>
            <w:shd w:val="clear" w:color="auto" w:fill="CCEEFF"/>
          </w:tcPr>
          <w:p>
            <w:pPr>
              <w:spacing w:after="0"/>
              <w:rPr>
                <w:sz w:val="17"/>
                <w:szCs w:val="17"/>
                <w:color w:val="auto"/>
              </w:rPr>
            </w:pPr>
          </w:p>
        </w:tc>
        <w:tc>
          <w:tcPr>
            <w:tcW w:w="7440" w:type="dxa"/>
            <w:vAlign w:val="bottom"/>
            <w:tcBorders>
              <w:bottom w:val="single" w:sz="8" w:color="CCEEFF"/>
            </w:tcBorders>
            <w:gridSpan w:val="3"/>
            <w:shd w:val="clear" w:color="auto" w:fill="CCEEFF"/>
          </w:tcPr>
          <w:p>
            <w:pPr>
              <w:jc w:val="center"/>
              <w:ind w:left="669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4"/>
          </w:tcPr>
          <w:p>
            <w:pPr>
              <w:spacing w:after="0" w:line="176"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Incorporation of Certain Documents By Reference</w:t>
              </w:r>
            </w:hyperlink>
          </w:p>
        </w:tc>
        <w:tc>
          <w:tcPr>
            <w:tcW w:w="7440" w:type="dxa"/>
            <w:vAlign w:val="bottom"/>
            <w:gridSpan w:val="3"/>
          </w:tcPr>
          <w:p>
            <w:pPr>
              <w:jc w:val="center"/>
              <w:ind w:left="669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34"/>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Enforceability of Civil Liabilities</w:t>
              </w:r>
            </w:hyperlink>
          </w:p>
        </w:tc>
        <w:tc>
          <w:tcPr>
            <w:tcW w:w="7440" w:type="dxa"/>
            <w:vAlign w:val="bottom"/>
            <w:gridSpan w:val="3"/>
            <w:shd w:val="clear" w:color="auto" w:fill="CCEEFF"/>
          </w:tcPr>
          <w:p>
            <w:pPr>
              <w:jc w:val="center"/>
              <w:ind w:left="669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The selling shareholder is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and Section 21E of the Securities Exchange Act of 1934, as amended,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647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2175" cy="64789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left="120" w:firstLine="648"/>
        <w:spacing w:after="0" w:line="270"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significant shareholder</w:t>
      </w:r>
    </w:p>
    <w:p>
      <w:pPr>
        <w:spacing w:after="0" w:line="229" w:lineRule="exact"/>
        <w:rPr>
          <w:sz w:val="20"/>
          <w:szCs w:val="20"/>
          <w:color w:val="auto"/>
        </w:rPr>
      </w:pPr>
    </w:p>
    <w:p>
      <w:pPr>
        <w:jc w:val="both"/>
        <w:ind w:left="120" w:firstLine="648"/>
        <w:spacing w:after="0" w:line="264" w:lineRule="auto"/>
        <w:rPr>
          <w:sz w:val="20"/>
          <w:szCs w:val="20"/>
          <w:color w:val="auto"/>
        </w:rPr>
      </w:pPr>
      <w:r>
        <w:rPr>
          <w:rFonts w:ascii="Arial" w:cs="Arial" w:eastAsia="Arial" w:hAnsi="Arial"/>
          <w:sz w:val="18"/>
          <w:szCs w:val="18"/>
          <w:color w:val="auto"/>
        </w:rPr>
        <w:t>As of November 15, 2018, entities affiliated with Fortissimo Capital Fund II (Israel) L.P. (“Fortissimo Capital”), beneficially owned 9.0% of our outstanding shares in the aggregate. Upon the completion of this offering, Fortissimo Capital will no longer beneficially own any of our outstanding shares.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business updates</w:t>
      </w:r>
    </w:p>
    <w:p>
      <w:pPr>
        <w:spacing w:after="0" w:line="229"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8"/>
          <w:szCs w:val="18"/>
          <w:color w:val="auto"/>
        </w:rPr>
        <w:t>Our Sales Representative Agreement with Hirsch International Corporation (“Hirsch”) that covers distribution of our products in the United States and Canada will not be renewed and will terminate as of April 1, 2019. Consistent with our strategy of expanding direct sales in place of indirect sales, we intend to distribute our products directly in these regions. Hirsch is required to act in the ordinary course of business until termination of the agreement and to transition existing customer relationships and existing orders to our direct care, while also ceasing to use our intellectual property and proprietary assets, thereby disassociating itself from our company and our products.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120" w:firstLine="648"/>
        <w:spacing w:after="0" w:line="264" w:lineRule="auto"/>
        <w:rPr>
          <w:sz w:val="20"/>
          <w:szCs w:val="20"/>
          <w:color w:val="auto"/>
        </w:rPr>
      </w:pPr>
      <w:r>
        <w:rPr>
          <w:rFonts w:ascii="Arial" w:cs="Arial" w:eastAsia="Arial" w:hAnsi="Arial"/>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181"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8"/>
          <w:szCs w:val="18"/>
          <w:color w:val="auto"/>
        </w:rPr>
        <w:t>We are subject to the provisions of the Israeli Companies Law, 5759-1999, as amended. Our principal executive offices are located at 12 Ha’Amal Street, Rosh Ha’Ayin 4809246, Israel, and our telephone number is +972-3-908-5800. Our website address is www.kornit.com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(262) 518-0200.</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42175" cy="3185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318579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300"/>
          </w:cols>
          <w:pgMar w:left="240" w:top="226" w:right="359" w:bottom="1440" w:gutter="0" w:footer="0" w:header="0"/>
        </w:sectPr>
      </w:pPr>
    </w:p>
    <w:p>
      <w:pPr>
        <w:spacing w:after="0" w:line="25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Ordinary shares being offered by the selling shareholder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3,132,481 ordinary shares.</w:t>
      </w:r>
    </w:p>
    <w:p>
      <w:pPr>
        <w:spacing w:after="0" w:line="200" w:lineRule="exact"/>
        <w:rPr>
          <w:sz w:val="20"/>
          <w:szCs w:val="20"/>
          <w:color w:val="auto"/>
        </w:rPr>
      </w:pPr>
    </w:p>
    <w:p>
      <w:pPr>
        <w:sectPr>
          <w:pgSz w:w="11900" w:h="16838" w:orient="portrait"/>
          <w:cols w:equalWidth="0" w:num="2">
            <w:col w:w="5640" w:space="720"/>
            <w:col w:w="4940"/>
          </w:cols>
          <w:pgMar w:left="240" w:top="226" w:right="359" w:bottom="1440" w:gutter="0" w:footer="0" w:header="0"/>
          <w:type w:val="continuous"/>
        </w:sectPr>
      </w:pPr>
    </w:p>
    <w:p>
      <w:pPr>
        <w:spacing w:after="0" w:line="4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Ordinary shares outstanding before and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34,837,914 ordinary shares.</w:t>
      </w:r>
    </w:p>
    <w:p>
      <w:pPr>
        <w:spacing w:after="0" w:line="200" w:lineRule="exact"/>
        <w:rPr>
          <w:sz w:val="20"/>
          <w:szCs w:val="20"/>
          <w:color w:val="auto"/>
        </w:rPr>
      </w:pPr>
    </w:p>
    <w:p>
      <w:pPr>
        <w:sectPr>
          <w:pgSz w:w="11900" w:h="16838" w:orient="portrait"/>
          <w:cols w:equalWidth="0" w:num="2">
            <w:col w:w="5640" w:space="720"/>
            <w:col w:w="4940"/>
          </w:cols>
          <w:pgMar w:left="240" w:top="226" w:right="359" w:bottom="1440" w:gutter="0" w:footer="0" w:header="0"/>
          <w:type w:val="continuous"/>
        </w:sectPr>
      </w:pPr>
    </w:p>
    <w:p>
      <w:pPr>
        <w:spacing w:after="0" w:line="48" w:lineRule="exact"/>
        <w:rPr>
          <w:sz w:val="20"/>
          <w:szCs w:val="20"/>
          <w:color w:val="auto"/>
        </w:rPr>
      </w:pPr>
    </w:p>
    <w:p>
      <w:pPr>
        <w:ind w:left="7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will not receive any of the proceeds from the sale of shares by the selling shareholder.</w:t>
      </w:r>
    </w:p>
    <w:p>
      <w:pPr>
        <w:spacing w:after="0" w:line="170" w:lineRule="exact"/>
        <w:rPr>
          <w:sz w:val="20"/>
          <w:szCs w:val="20"/>
          <w:color w:val="auto"/>
        </w:rPr>
      </w:pPr>
    </w:p>
    <w:p>
      <w:pPr>
        <w:sectPr>
          <w:pgSz w:w="11900" w:h="16838" w:orient="portrait"/>
          <w:cols w:equalWidth="0" w:num="2">
            <w:col w:w="5000" w:space="720"/>
            <w:col w:w="5580"/>
          </w:cols>
          <w:pgMar w:left="240" w:top="226" w:right="35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“KRNT”</w:t>
      </w:r>
    </w:p>
    <w:p>
      <w:pPr>
        <w:spacing w:after="0" w:line="200" w:lineRule="exact"/>
        <w:rPr>
          <w:sz w:val="20"/>
          <w:szCs w:val="20"/>
          <w:color w:val="auto"/>
        </w:rPr>
      </w:pPr>
    </w:p>
    <w:p>
      <w:pPr>
        <w:sectPr>
          <w:pgSz w:w="11900" w:h="16838" w:orient="portrait"/>
          <w:cols w:equalWidth="0" w:num="2">
            <w:col w:w="5640" w:space="720"/>
            <w:col w:w="4940"/>
          </w:cols>
          <w:pgMar w:left="240" w:top="226" w:right="359" w:bottom="1440" w:gutter="0" w:footer="0" w:header="0"/>
          <w:type w:val="continuous"/>
        </w:sectPr>
      </w:pPr>
    </w:p>
    <w:p>
      <w:pPr>
        <w:spacing w:after="0" w:line="2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See “Risk Factors” and other information included and incorporated by reference in this prospectus supplement and the accompanying prospectus for a discussion of factors you should carefully consider before deciding to invest in our ordinary shares.</w:t>
      </w:r>
    </w:p>
    <w:p>
      <w:pPr>
        <w:spacing w:after="0" w:line="187" w:lineRule="exact"/>
        <w:rPr>
          <w:sz w:val="20"/>
          <w:szCs w:val="20"/>
          <w:color w:val="auto"/>
        </w:rPr>
      </w:pPr>
    </w:p>
    <w:p>
      <w:pPr>
        <w:sectPr>
          <w:pgSz w:w="11900" w:h="16838" w:orient="portrait"/>
          <w:cols w:equalWidth="0" w:num="2">
            <w:col w:w="5000" w:space="720"/>
            <w:col w:w="5580"/>
          </w:cols>
          <w:pgMar w:left="240" w:top="226" w:right="359" w:bottom="1440" w:gutter="0" w:footer="0" w:header="0"/>
          <w:type w:val="continuous"/>
        </w:sectPr>
      </w:pPr>
    </w:p>
    <w:p>
      <w:pPr>
        <w:jc w:val="both"/>
        <w:ind w:left="120" w:firstLine="648"/>
        <w:spacing w:after="0" w:line="276" w:lineRule="auto"/>
        <w:rPr>
          <w:sz w:val="20"/>
          <w:szCs w:val="20"/>
          <w:color w:val="auto"/>
        </w:rPr>
      </w:pPr>
      <w:r>
        <w:rPr>
          <w:rFonts w:ascii="Arial" w:cs="Arial" w:eastAsia="Arial" w:hAnsi="Arial"/>
          <w:sz w:val="17"/>
          <w:szCs w:val="17"/>
          <w:color w:val="auto"/>
        </w:rPr>
        <w:t>Unless otherwise indicated, the number of ordinary shares outstanding before and after this offering is based on the number of ordinary shares outstanding as of September 30, 2018 and excludes as of that date (1) 1,219,736 ordinary shares reserved for future issuance under our equity incentive plans and an additional 1,971,453 ordinary shares underlying outstanding options at a weighted average exercise price of $13.73 per share, of which 680,197 ordinary shares underlie vested options, (2) 855,210 ordinary shares underlying warrants granted to Amazon.com, Inc., all of which were vested and exercisable at an exercise price of $13.04 per share, and (3) 418,364 restricted share units outstanding.</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4 of our Annual Report on Form 20-F for the year ended December 31, 2017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Ordinary Shares and 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assessing our strategy of indirect and direct sales and intend to move towards a higher proportion of direct sales.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go to market strategy consists of a hybrid model of indirect and direct sales. We continually evaluate this strategy in the geographies we serve in an effort to best serve our direct or indirect customers. As part of this evaluation, we have been assessing the adoption of a direct sales model in one or more of our key markets, including the United States. Our Sales Representative Agreement with Hirsch, our primary distributor in the United States and Canada, which accounted for 18% of our revenues in the year ended December 31, 2017, will not be renewed and will terminate as of April 1, 2019. Consistent with our strategy of expanding direct sales in place of indirect sales, we intend to distribute our products directly in these regions. As we shift towards such a model, we may experience an initial disruption to our sales efforts in those jurisdictions as we transition from our previous sales structure. In addition, a shift to a direct sales model may result in a short-term impact on our results of operations, including due to the acquisition of inventory that might require a step up in basis and other such accounting impacts and costs associated with increased headcount and related expenses. Moreover, the implementation of a direct sales model may require significant management time and attention which could result in an adverse impact on our business and results of operations during the transition period. There is no assurance that a direct sales approach will increase sales. We may be exposed to risks as a result of transitioning from an indirect sales model to a direct sales model, such as difficulties maintaining relationships with specific customers, hiring appropriately trained personnel and ensuring compliance with local product registration requirements, any of which could result in lower revenues than previously received from the distributors in that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will be adversely impacted by our failure to timely introduce new products.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ability to develop innovative new systems and products is important to our business strategy and competitive position. For example, in 2018 we introduced new systems as part of our Avalanche line and are planning to release a new mass production system in the first quarter of 2019 and a new solution for printing on dark polyester in the second quarter of 2019. Difficulties or delays in research, development, production or commercialization of new systems and products could adversely impact our sales and competitive position. If we fail to develop and launch new systems and products, experience cost overruns in connection with such development, or the market does not accept our new systems and products, such as our new mass market production system or dark polyester solutions, our business, results of operations and financial condition would be adversely affected.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concentration of sales with Amazon and any substantial reduction in sales to Amazon or the loss of Amazon as a customer would have a material adverse effect on our results of operations and financial condition.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2017 and the nine months ended September 30, 2018, Amazon Corporate LLC, a subsidiary of Amazon.com, Inc. (“Amazon”), accounted for approximately 13% and 18% of our revenues, respectively. During 2017, we experienced delays in delivery of systems to Amazon due to delays in obtaining certain regulatory permits for Amazon’s facility, which negatively impacted our revenues and profitability. The loss of Amazon as a customer or any significant reduction in orders from, or a shift in revenues from quarter to quarter by, Amazon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warrants that we issued to Amazon on our results of operations increases if our share price increases.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in connection with our entry into a master purchase agreement with Amazon, we issued to an affiliate of Amazon warrants to purchase up to 2,932,176 of our ordinary shares which vest based on payments made by Amazon in connection with the purchase of goods and services from us. Our revenues are presented net of the relative value of the warrants in each particular period related to the revenues recognized. Since the value of the warrants depends, in part, on the price of our ordinary shares, our net revenues fluctuate due to the non-cash impact of the value of the warrants on our gross revenues. Accordingly, the value of the warrants, and their corresponding adverse impact on our net revenues, increases as our share price increases. We are unable to predict with certainty how investors or analysts will assess the impact of the warrants on our results of operations and whether the value attributed to the warrants will adversely impact their perceptions of our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own trademarks that identify “Kornit” “NeoPigment” and the “K” logo among others, and have registered these trademarks in certain key markets. Although we take steps to monitor the possible infringement or misuse of our trademarks, third parties may violate our trademark rights. In addition, we may not have trademark rights in all of the markets in which we may sell our products. Any unauthorized use of our trademarks could harm our reputation or commercial interests. In addition, efforts to enforce our trademarks may be expensive and time-consuming, and may not effectively prevent infringement.</w:t>
      </w:r>
    </w:p>
    <w:p>
      <w:pPr>
        <w:sectPr>
          <w:pgSz w:w="11900" w:h="16838" w:orient="portrait"/>
          <w:cols w:equalWidth="0" w:num="1">
            <w:col w:w="11420"/>
          </w:cols>
          <w:pgMar w:left="240" w:top="226" w:right="239" w:bottom="1108"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108"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2016, we filed an application with the European Union Intellectual Property Office (“EUIPO”) to register the “Kornit” trademark in the European Union. In October 2016, Grupo FB Maquinaria, S.A. (“Grupo”) filed an opposition to our application on the premise that it was identical to an earlier mark, and covered identical goods and/or services, as Grupo’s “Kornit” trademark. Grupo had filed an application to register its “Kornit” trademark in January 2016. We believe that the opposition is meritless and filed an application with EUIPO in July 2017 to declare the Grupo’s registration of the “Kornit” trademark invalid on the basis that the registration was done in bad faith. We are awaiting a ruling by the EUIPO and there can be no assurance that we will prevail. If the EUIPO denies our application to register the “Kornit” trademark, we could be forced to stop using the trademark in the European Union or enter into a license agreement with Grupo to use the mark, which could adversely impact our brand recognition in the European Union and our results of operations.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new Kiryat Gat facility will be constructed on lands leased by the Company from the Israel Lands Administration (“ILA”). If we are unable to continue to use such lands, we would be unable to construct or subsequently use the facility and our results of operations and future prospects will suffer as a result.</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November 2018, we entered into a development agreement (the “Development Agreement”) with the ILA for the construction of our new, modern, manufacturing facility in Kiryat Gat on lands leased from the ILA. Construction is currently expected to begin in 2019 and to be completed by 2021. The Development Agreement provides that if the Company were a “foreign subject,” which includes the Company being under foreign control (i.e., a majority of our ordinary shares are held by non-Israelis), this would constitute a fundamental breach under the agreement. We intend to follow a specific standard process for seeking approval from the ILA in which the ILA approves our entering into the Development Agreement despite our potential status as a “foreign subject,” since our shares are traded on NASDAQ, and we are held by multiple shareholders whose identities are unknown. However, should such approval not be provided, the ILA would be entitled to terminate the Development Agreement if the Company is considered a “foreign subject” under the terms of such agreement. If the Development Agreement were terminated, we would be unable to use the property subject to the Development Agreement for the construction of the new Kiryat Gat facility, which would have a material adverse effect on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tax liabilities in the future as a result of audits of our tax returns.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We are currently subject to a tax audit for the years 2013 to 2016 by the Israeli Tax Authority (“ITA”). The ITA may disagree with our positions taken in our tax returns for these years and we may be subject to additional tax liabilities, which could have a material adverse effect on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the selling shareholder, and our executive officers and directors have agreed with the underwriters that, subject to limited exceptions, for a period of 30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Barclays Capital Inc. and Citigroup Global Markets Inc., who may, in their sole discretion and at any time without notice, release all or any portion of the shares subject to those lock-up agreements. See “Underwriting.”</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Amazon is entitled to certain registration rights, which commenced on January 10, 2018, pursuant to a transaction agreement we entered into with Amazon on January 10, 2017. All shares sold pursuant to an offering covered by a registration statement will be freely transferable except if purchased by an affiliate. See “ITEM 7.B—Related Party Transactions—Investors’ Rights Agreement” and “ITEM 10.C—Material Contracts—Agreements with Amazon” in our annual report on Form 20-F for the year ended December 31, 2017.</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680,197 ordinary shares are issuable under currently vested and exercisable share options granted to employees and office holders as of September 30, 2018. We have filed registration statements on Form S-8 under the U.S. Securities Act of 1933 registering ordinary shares that we may issue under our share incentive plans, of which as of September 30, 2018 there were options, restricted share units and warrants to purchase 3,245,027 shares outstanding. Shares included in such registration statements may be freely sold in the public market upon issuance, except for shares held by affiliates who have certain restrictions on their ability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Fortissimo Capital has, and upon completion of this offering will continue to have, influence over us.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after completion of this offering, Fortissimo Capital will no longer beneficially own any of our outstanding shares, three of its principals will continue to be members of our nine-member board of directors (the “Board”). Our Board has the authority to direct our business and to appoint and remove our officers. Accordingly, Fortissimo Capital will be able to continue to assert influence over our operations and business strategy, including with respect to matters such as approving or rejecting a merger, consolidation or other business combination; raising future capital; and amending our articles, which govern the rights attached to our ordinary shares.</w:t>
      </w:r>
    </w:p>
    <w:p>
      <w:pPr>
        <w:sectPr>
          <w:pgSz w:w="11900" w:h="16838" w:orient="portrait"/>
          <w:cols w:equalWidth="0" w:num="1">
            <w:col w:w="11420"/>
          </w:cols>
          <w:pgMar w:left="240" w:top="226" w:right="239" w:bottom="892"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892"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will not receive any of the proceeds from the sale of shares by the selling shareholder.</w:t>
      </w:r>
    </w:p>
    <w:p>
      <w:pPr>
        <w:spacing w:after="0" w:line="200" w:lineRule="exact"/>
        <w:rPr>
          <w:sz w:val="20"/>
          <w:szCs w:val="20"/>
          <w:color w:val="auto"/>
        </w:rPr>
      </w:pPr>
    </w:p>
    <w:p>
      <w:pPr>
        <w:spacing w:after="0" w:line="257"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cash and cash equivalents, available for sale marketable securities and total capitalization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has been no material change in our capitalization from debt or equity issuances, re-capitalizations or special dividends between September 30, 2018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2017 and our U.S. GAAP financial information contained in the (i) consolidated statements of income, (ii) consolidated balance sheets and (iii) consolidated statement of cash flows for the three months ended September 30, 2018 incorporated by reference from our Current Report on Form 6-K filed on November 13, 2018. See “Where you can find more information.”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deposits and available for 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7" w:lineRule="exact"/>
        <w:rPr>
          <w:sz w:val="20"/>
          <w:szCs w:val="20"/>
          <w:color w:val="auto"/>
        </w:rPr>
      </w:pPr>
    </w:p>
    <w:p>
      <w:pPr>
        <w:ind w:right="957"/>
        <w:spacing w:after="0" w:line="258" w:lineRule="auto"/>
        <w:rPr>
          <w:sz w:val="20"/>
          <w:szCs w:val="20"/>
          <w:color w:val="auto"/>
        </w:rPr>
      </w:pPr>
      <w:r>
        <w:rPr>
          <w:rFonts w:ascii="Arial" w:cs="Arial" w:eastAsia="Arial" w:hAnsi="Arial"/>
          <w:sz w:val="18"/>
          <w:szCs w:val="18"/>
          <w:color w:val="auto"/>
        </w:rPr>
        <w:t>Ordinary shares, NIS 0.01 par value: 200,000,000 shares authorized, actual; 34,837,914 shares issued and outstanding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other comprehensive income (loss)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right="97"/>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2018</w:t>
      </w:r>
    </w:p>
    <w:p>
      <w:pPr>
        <w:spacing w:after="0" w:line="49" w:lineRule="exact"/>
        <w:rPr>
          <w:sz w:val="20"/>
          <w:szCs w:val="20"/>
          <w:color w:val="auto"/>
        </w:rPr>
      </w:pPr>
    </w:p>
    <w:p>
      <w:pPr>
        <w:ind w:left="563" w:hanging="563"/>
        <w:spacing w:after="0"/>
        <w:tabs>
          <w:tab w:leader="none" w:pos="563" w:val="left"/>
        </w:tabs>
        <w:numPr>
          <w:ilvl w:val="0"/>
          <w:numId w:val="1"/>
        </w:numPr>
        <w:rPr>
          <w:rFonts w:ascii="Arial" w:cs="Arial" w:eastAsia="Arial" w:hAnsi="Arial"/>
          <w:sz w:val="16"/>
          <w:szCs w:val="16"/>
          <w:color w:val="auto"/>
        </w:rPr>
      </w:pPr>
      <w:r>
        <w:rPr>
          <w:rFonts w:ascii="Arial" w:cs="Arial" w:eastAsia="Arial" w:hAnsi="Arial"/>
          <w:sz w:val="16"/>
          <w:szCs w:val="16"/>
          <w:color w:val="auto"/>
        </w:rPr>
        <w:t>110,925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200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80" w:lineRule="exact"/>
        <w:rPr>
          <w:sz w:val="20"/>
          <w:szCs w:val="20"/>
          <w:color w:val="auto"/>
        </w:rPr>
      </w:pPr>
    </w:p>
    <w:p>
      <w:pPr>
        <w:ind w:left="963" w:hanging="963"/>
        <w:spacing w:after="0"/>
        <w:tabs>
          <w:tab w:leader="none" w:pos="963" w:val="left"/>
        </w:tabs>
        <w:numPr>
          <w:ilvl w:val="0"/>
          <w:numId w:val="2"/>
        </w:numPr>
        <w:rPr>
          <w:rFonts w:ascii="Arial" w:cs="Arial" w:eastAsia="Arial" w:hAnsi="Arial"/>
          <w:sz w:val="16"/>
          <w:szCs w:val="16"/>
          <w:color w:val="auto"/>
        </w:rPr>
      </w:pPr>
      <w:r>
        <w:rPr>
          <w:rFonts w:ascii="Arial" w:cs="Arial" w:eastAsia="Arial" w:hAnsi="Arial"/>
          <w:sz w:val="16"/>
          <w:szCs w:val="16"/>
          <w:color w:val="auto"/>
        </w:rPr>
        <w:t>96</w:t>
      </w:r>
    </w:p>
    <w:p>
      <w:pPr>
        <w:spacing w:after="0" w:line="46" w:lineRule="exact"/>
        <w:rPr>
          <w:rFonts w:ascii="Arial" w:cs="Arial" w:eastAsia="Arial" w:hAnsi="Arial"/>
          <w:sz w:val="16"/>
          <w:szCs w:val="16"/>
          <w:color w:val="auto"/>
        </w:rPr>
      </w:pPr>
    </w:p>
    <w:p>
      <w:pPr>
        <w:ind w:left="543"/>
        <w:spacing w:after="0"/>
        <w:rPr>
          <w:rFonts w:ascii="Arial" w:cs="Arial" w:eastAsia="Arial" w:hAnsi="Arial"/>
          <w:sz w:val="16"/>
          <w:szCs w:val="16"/>
          <w:color w:val="auto"/>
        </w:rPr>
      </w:pPr>
      <w:r>
        <w:rPr>
          <w:rFonts w:ascii="Arial" w:cs="Arial" w:eastAsia="Arial" w:hAnsi="Arial"/>
          <w:sz w:val="16"/>
          <w:szCs w:val="16"/>
          <w:color w:val="auto"/>
        </w:rPr>
        <w:t>149,231</w:t>
      </w:r>
    </w:p>
    <w:p>
      <w:pPr>
        <w:spacing w:after="0" w:line="32"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263</w:t>
      </w:r>
    </w:p>
    <w:p>
      <w:pPr>
        <w:spacing w:after="0" w:line="49" w:lineRule="exact"/>
        <w:rPr>
          <w:sz w:val="20"/>
          <w:szCs w:val="20"/>
          <w:color w:val="auto"/>
        </w:rPr>
      </w:pPr>
    </w:p>
    <w:p>
      <w:pPr>
        <w:sectPr>
          <w:pgSz w:w="11900" w:h="16838" w:orient="portrait"/>
          <w:cols w:equalWidth="0" w:num="2">
            <w:col w:w="9457" w:space="720"/>
            <w:col w:w="124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15,594</w:t>
            </w:r>
          </w:p>
        </w:tc>
      </w:tr>
      <w:tr>
        <w:trPr>
          <w:trHeight w:val="210"/>
        </w:trPr>
        <w:tc>
          <w:tcPr>
            <w:tcW w:w="61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40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165,184</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4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165,184</w:t>
            </w:r>
          </w:p>
        </w:tc>
      </w:tr>
      <w:tr>
        <w:trPr>
          <w:trHeight w:val="21"/>
        </w:trPr>
        <w:tc>
          <w:tcPr>
            <w:tcW w:w="61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preceding table excludes as of September 30, 2018 (1) 1,219,736 ordinary shares reserved for future issuance under our equity incentive plans and an additional 1,971,453 ordinary shares underlying outstanding options, at a weighted average exercise price of $13.73 per share, of which 680,197 ordinary shares underlie vested options, (2) 855,210 ordinary shares underlying warrants granted to Amazon.com, Inc., all of which were vested and exercisable at an exercise price of $13.04 per share, and (3) 418,364 restricted share units outstanding.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the selling shareholder of our ordinary shares as of November 15, 2018.</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otherwise indicated, to our knowledge, the entity named in the table below has sole voting and investment power with respect to all shares of ordinary shares shown as beneficially owned by it, subject to community property laws, where applicable.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beneficially owned by the selling shareholder is determined pursuant to Rule 13d-3 promulgated by the SEC under the Exchange Act. The information does not necessarily indicate beneficial ownership for any other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percentages of shares outstanding provided in the table are based on a total of 35,001,853 of our ordinary shares outstanding on November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more information regarding our relationships with the entity named below, see “Major Shareholders and Related Party Transactions” in our Annual Report on Form 20-F for the year ended December 31, 2017 filed with the SEC on March 20,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Shares beneficially owned prior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60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Shares beneficially owned after</w:t>
            </w: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to offering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600" w:type="dxa"/>
            <w:vAlign w:val="bottom"/>
            <w:gridSpan w:val="3"/>
          </w:tcPr>
          <w:p>
            <w:pPr>
              <w:ind w:left="940"/>
              <w:spacing w:after="0"/>
              <w:rPr>
                <w:sz w:val="20"/>
                <w:szCs w:val="20"/>
                <w:color w:val="auto"/>
              </w:rPr>
            </w:pPr>
            <w:r>
              <w:rPr>
                <w:rFonts w:ascii="Arial" w:cs="Arial" w:eastAsia="Arial" w:hAnsi="Arial"/>
                <w:sz w:val="18"/>
                <w:szCs w:val="18"/>
                <w:b w:val="1"/>
                <w:bCs w:val="1"/>
                <w:color w:val="auto"/>
                <w:w w:val="95"/>
              </w:rPr>
              <w:t>offering</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offered</w:t>
            </w:r>
          </w:p>
        </w:tc>
        <w:tc>
          <w:tcPr>
            <w:tcW w:w="20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Percent</w:t>
            </w:r>
          </w:p>
        </w:tc>
        <w:tc>
          <w:tcPr>
            <w:tcW w:w="100" w:type="dxa"/>
            <w:vAlign w:val="bottom"/>
            <w:tcBorders>
              <w:bottom w:val="single" w:sz="8" w:color="CCEEFF"/>
            </w:tcBorders>
          </w:tcPr>
          <w:p>
            <w:pPr>
              <w:spacing w:after="0"/>
              <w:rPr>
                <w:sz w:val="20"/>
                <w:szCs w:val="20"/>
                <w:color w:val="auto"/>
              </w:rPr>
            </w:pPr>
          </w:p>
        </w:tc>
      </w:tr>
      <w:tr>
        <w:trPr>
          <w:trHeight w:val="257"/>
        </w:trPr>
        <w:tc>
          <w:tcPr>
            <w:tcW w:w="4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3,132,481</w:t>
            </w: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3,132,481</w:t>
            </w:r>
          </w:p>
        </w:tc>
        <w:tc>
          <w:tcPr>
            <w:tcW w:w="20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660" w:hanging="652"/>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Fortissimo Capital Fund II (GP), L.P., an Israeli limited partnership (“Fortissimo II GP”), serves as the general partner of Fortissimo Capital Fund II (Israel), L.P., a Cayman Islands limited partnership. The general partner of Fortissimo II GP is Fortissimo Capital 2 Management (GP) Ltd., an Israeli company (“Fortissimo Management”). Messrs. Eli Blatt, Yuval Cohen and Marc Lesnick are members of the investment committee of Fortissimo Management and share voting and dispositive power with respect to such shares. The principal address of Fortissimo Capital and of Messrs. Blatt, Cohen and Lesnick is 14 Hamelacha Street, Park Afek, Rosh Ha’Ayin 48091, Israel.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and Israeli tax considerations for our shareholders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consequences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Capital Gains Taxes Applicable to Non-Israeli Resident Shareholders. </w:t>
      </w:r>
      <w:r>
        <w:rPr>
          <w:rFonts w:ascii="Arial" w:cs="Arial" w:eastAsia="Arial" w:hAnsi="Arial"/>
          <w:sz w:val="16"/>
          <w:szCs w:val="16"/>
          <w:color w:val="auto"/>
        </w:rPr>
        <w:t>Generally, a non-Israeli resident (whether an individual or a corporation) who</w:t>
      </w:r>
      <w:r>
        <w:rPr>
          <w:rFonts w:ascii="Arial" w:cs="Arial" w:eastAsia="Arial" w:hAnsi="Arial"/>
          <w:sz w:val="16"/>
          <w:szCs w:val="16"/>
          <w:i w:val="1"/>
          <w:iCs w:val="1"/>
          <w:color w:val="auto"/>
        </w:rPr>
        <w:t xml:space="preserve"> </w:t>
      </w:r>
      <w:r>
        <w:rPr>
          <w:rFonts w:ascii="Arial" w:cs="Arial" w:eastAsia="Arial" w:hAnsi="Arial"/>
          <w:sz w:val="16"/>
          <w:szCs w:val="16"/>
          <w:color w:val="auto"/>
        </w:rPr>
        <w:t>derives capital gains from the sale of shares in an Israeli resident company that were purchased after the company was listed for trading on a stock exchange outside of Israel should be exempt from Israeli capital gains tax so long as (i) the shares were not held through a permanent establishment that the non-resident maintains in Israel, and (ii) neither the shareholder nor the particular capital gain is otherwise subject to the Israeli Income Tax Law (Inflationary Adjustments) 5745-1985. If not exempt, a non-Israeli would generally be subject to tax on capital gain at the ordinary corporate tax rate (23% in 2018 and thereafter), if generated by a company, or at the rate of 25%, if generated by an individual, or 30%, if generated by an individual who is a substantial shareholder (as defined under the Israeli Income Tax Ordinance) at the time of sale or at any time during the preceding 12-month period (or if the shareholder claims a deduction for interest and linkage differences expenses in connection with the purchase and holding of such shares). Individual and corporate shareholders dealing in securities in Israel are taxed at the tax rates applicable to business income (a corporate tax rate for a corporation and a marginal tax rate of up to 47% for an individual in 2018) unless contrary provisions in a relevant tax treaty apply.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if (a) the capital gain arising from such sale, exchange or disposition can be allocated to a permanent establishment that the shareholder maintained in Israel, under certain conditions, (b) the shareholder holds, directly or indirectly, shares representing 10% or more of the voting capital of the company during any part of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1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(whether individuals or corporations) are generally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income tax on the receipt of dividends paid on our ordinary shares at the rate of 25%, unless relief is provided in a treaty between Israel and the shareholder’s country of residence (provided that a certificate from the Israel Tax Authority allowing for a reduced withholding tax rate is obtained in advance).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(provided that a certificate from the Israel Tax Authority allowing for a reduced withholding tax rate is obtained in advance).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(as such terms are defined in the Law for the Encouragement of Capital Investments, 5719-1959), unless a reduced tax rate is provided under an applicable tax treaty (provided that a certificate from the Israel Tax Authority allowing for a reduced withholding tax rate is obtained in advance). We cannot assure you that we will designate the profits that we may distribute in a way that will reduce shareholders’ tax liability.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tax</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Individuals who are subject to tax in Israel are also subject to an additional tax at a rate of 3% (beginning as of 2017) on annual income exceeding NIS 640,000 (which amount is linked to the annual change in the Israeli consumer price index).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discussion of the material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persons that will hold our shares through such an entity;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own directly, indirectly or through attribution 10.0% or more of the voting power or value of our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ectPr>
          <w:pgSz w:w="11900" w:h="16838" w:orient="portrait"/>
          <w:cols w:equalWidth="0" w:num="1">
            <w:col w:w="11420"/>
          </w:cols>
          <w:pgMar w:left="240" w:top="226" w:right="2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this description, a “U.S. Holder” is a beneficial owner of our ordinary shares that, for U.S. federal income tax purposes, is:</w:t>
      </w:r>
    </w:p>
    <w:p>
      <w:pPr>
        <w:spacing w:after="0" w:line="2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“—Sale, exchange, redemption or other taxable disposition of ordinary shares”).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on historic and certain estimates of our gross income, gross assets, and market capitalization (which may fluctuate from time to time) and the nature of our business, we do not believe that we were a PFIC for the taxable year ending December 31, 2017 and we do not expect that we will be classified as a PFIC for the taxable year ending December 31, 2018. However, because PFIC status is based on our income, assets and activities for the entire taxable year, it is not possible to determine whether we will be characterized as a PFIC for the 2018 taxable year until after the close of the year. Moreover, we must determine our PFIC status annually based on tests which are factual in nature, and our status in future years will depend on our income, assets, market capitalization and activities in those years. There can be no assurance that we will not be considered a PFIC for any taxable year.</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U.S. Holders should consult their tax advisors regarding the potential application of the PFIC rules to their investment in our ordinary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Barclays Capital Inc. and Citigroup Global Markets Inc. are acting as underwriters of this offering. Under the terms of an underwriting agreement,</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dated , 2018, each of the underwriters named below has severally agreed to purchase from us and the selling shareholder the respective number of ordinary shares shown opposite its name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Citigroup Global Markets Inc.</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3,132,481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underwriters have advised us that they propose initially to offer the ordinary shares to the public at the public offering price set forth on the</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share. After the initial offering, the public offering price, concession or any other term of this offering may be changed.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shareholder, before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to the public</w:t>
            </w:r>
          </w:p>
        </w:tc>
        <w:tc>
          <w:tcPr>
            <w:tcW w:w="2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68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368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if any of the shares are purchased;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shareholder to the underwriters are true;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the selling shareholder deliver customary closing documents to the underwriters.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that our expenses for the offering, excluding underwriting discounts and commissions, will be approximately $350,000. We will bear $175,000 of the expenses for the offering and the selling shareholder will bear the remaining amount.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all of our directors and executive officers, and the selling shareholder have agreed that, for a period of 30 days after the date of this prospectus supplement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and to contribute to payments that the underwriters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short position involves a sale by the underwriters of shares in excess of the number of shares the underwriters are obligated to purchase in the offering, which creates the syndicate short position. This 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(including the offered shares) are listed on the Nasdaq Global Select Market under the symbol “KRNT.”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is responsible for undertaking its own target market assessment in respect of the securities (by either adopting or refining the manufacturer’s target market assessment) and determining appropriate distribution channels.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distributor subject to MiFID II that is offering, selling or recommending the securities is responsible for undertaking its own target market assessment in respect of the securities and determining its own distribution channels for the purposes of the MiFID product governance rules under Commission Delegated Directive (EU) 2017/593, or the Delegated Directive. None of we, the selling stockholders or any of the underwriters make or makes any representations or warranties as to a distributor’s compliance with the Delegated Directive.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supplement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that no such offer of ordinary shares shall require us, the selling stockholders or any of the underwriters to publish a prospectus pursuant to Article 3 of the Prospectus Directive or supplement a prospectus pursuant to Article 16 of the Prospectus Directive.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purposes of this provision, the expression an “offer of ordinary shares to the public” in relation to the ordinary shares in any Relevant Member State means the communication in any form and by any means of sufficient information on the terms of the offer and the ordinary shares to be offered, so as to enable an investor to decide to purchase or subscribe to the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prospectus supplement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Shenhav &amp; Co., Tel Aviv, Israel, with respect to Israeli law, and by Skadden, Arps, Slate, Meagher &amp; Flom LLP, New York, New York, with respect to U.S.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Kornit Digital Ltd. incorporated by reference in this prospectus supplement by reference to Kornit Digital Ltd.’s Annual Report on Form 20-F for the year ended December 31, 2017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73"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 in the same matter between the same parties;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right="4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237"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67"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http://www.sec.gov.</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maintain a corporate website at www.kornit.com.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spacing w:after="0" w:line="16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spacing w:after="0" w:line="14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2017, filed with the SEC on March 20,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225" w:lineRule="exact"/>
        <w:rPr>
          <w:sz w:val="20"/>
          <w:szCs w:val="20"/>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May 8,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May 10,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May 21,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June 4,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June 12,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June 13,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July 19,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August 6,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September 21, 2018 (solely with respect to the portions specified therein);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November 13, 2018 (solely with respect to the portions specified therein); and</w:t>
      </w:r>
    </w:p>
    <w:p>
      <w:pPr>
        <w:spacing w:after="0" w:line="225" w:lineRule="exact"/>
        <w:rPr>
          <w:rFonts w:ascii="Arial" w:cs="Arial" w:eastAsia="Arial" w:hAnsi="Arial"/>
          <w:sz w:val="18"/>
          <w:szCs w:val="18"/>
          <w:color w:val="auto"/>
        </w:rPr>
      </w:pPr>
    </w:p>
    <w:p>
      <w:pPr>
        <w:ind w:left="660" w:right="5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Any statement contained herein or in a document all or a portion of which is incorporated or deemed to be incorporated by reference herein shall be</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deemed to be modified or superseded for purposes of this registration statement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5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Unless expressly incorporated by reference, nothing in this prospectus supplement and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+972-3-908-5800</w:t>
      </w:r>
    </w:p>
    <w:p>
      <w:pPr>
        <w:sectPr>
          <w:pgSz w:w="11900" w:h="16838" w:orient="portrait"/>
          <w:cols w:equalWidth="0" w:num="1">
            <w:col w:w="11400"/>
          </w:cols>
          <w:pgMar w:left="240" w:top="226" w:right="2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 of Ordinary Shares, Warrants, Rights, Debt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and/or Units Offered by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 to 15,127,481 Ordinary Shares Offered by 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142875</wp:posOffset>
            </wp:positionV>
            <wp:extent cx="2118360" cy="131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1836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2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from time to time in one or more series or issuances ordinary shares, warrants to purchase ordinary shares, rights, debt securities consisting of debentures, notes or other evidences of indebtedness and/or securities and units comprised of, or other combinations of, the foregoing securities. We refer to the ordinary shares, warrants, rights, debt securities and units collectively as “securities” in this prospectus.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selling shareholders identified in this prospectus may offer up to 15,127,481 ordinary shares. We will not receive any of the proceeds from the sale of ordinary shares by the selling shareholders.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time we or the selling shareholders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offer the securities and the selling shareholders may, from time to time, offer the ordinary shares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ordinary shares are traded on the NASDAQ Global Select Market under the symbol “KRNT.” The closing price of our ordinary shares, as reported on the NASDAQ Global Select Market on December 30, 2016 was $12.65.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are an “emerging growth company” as defined under U.S. federal securities laws and, as such, may elect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Investing in these securities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123190</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85725</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January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20" w:type="dxa"/>
            <w:vAlign w:val="bottom"/>
            <w:gridSpan w:val="2"/>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4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64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Kornit Digital Ltd.</w:t>
              </w:r>
            </w:hyperlink>
          </w:p>
        </w:tc>
        <w:tc>
          <w:tcPr>
            <w:tcW w:w="2620" w:type="dxa"/>
            <w:vAlign w:val="bottom"/>
            <w:tcBorders>
              <w:top w:val="single" w:sz="8" w:color="CCEEFF"/>
            </w:tcBorders>
            <w:gridSpan w:val="12"/>
          </w:tcPr>
          <w:p>
            <w:pPr>
              <w:spacing w:after="0"/>
              <w:rPr>
                <w:sz w:val="15"/>
                <w:szCs w:val="15"/>
                <w:color w:val="auto"/>
              </w:rPr>
            </w:pPr>
          </w:p>
        </w:tc>
        <w:tc>
          <w:tcPr>
            <w:tcW w:w="7220" w:type="dxa"/>
            <w:vAlign w:val="bottom"/>
            <w:tcBorders>
              <w:top w:val="single" w:sz="8" w:color="CCEEFF"/>
            </w:tcBorders>
            <w:gridSpan w:val="2"/>
          </w:tcPr>
          <w:p>
            <w:pPr>
              <w:jc w:val="center"/>
              <w:ind w:left="633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3280" w:type="dxa"/>
            <w:vAlign w:val="bottom"/>
            <w:tcBorders>
              <w:bottom w:val="single" w:sz="8" w:color="CCEEFF"/>
            </w:tcBorders>
            <w:gridSpan w:val="20"/>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Offer Statistics and Expected Timetable</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7220" w:type="dxa"/>
            <w:vAlign w:val="bottom"/>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Ratio of Earnings to Fixed Charges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Capitalization</w:t>
              </w:r>
            </w:hyperlink>
          </w:p>
        </w:tc>
        <w:tc>
          <w:tcPr>
            <w:tcW w:w="3180" w:type="dxa"/>
            <w:vAlign w:val="bottom"/>
            <w:tcBorders>
              <w:bottom w:val="single" w:sz="8" w:color="CCEEFF"/>
            </w:tcBorders>
            <w:gridSpan w:val="19"/>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Price Range of Ordinary Shares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Use of Proceeds</w:t>
              </w:r>
            </w:hyperlink>
          </w:p>
        </w:tc>
        <w:tc>
          <w:tcPr>
            <w:tcW w:w="3020" w:type="dxa"/>
            <w:vAlign w:val="bottom"/>
            <w:tcBorders>
              <w:bottom w:val="single" w:sz="8" w:color="CCEEFF"/>
            </w:tcBorders>
            <w:gridSpan w:val="18"/>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Selling Shareholders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Securities</w:t>
              </w:r>
            </w:hyperlink>
          </w:p>
        </w:tc>
        <w:tc>
          <w:tcPr>
            <w:tcW w:w="2400" w:type="dxa"/>
            <w:vAlign w:val="bottom"/>
            <w:tcBorders>
              <w:bottom w:val="single" w:sz="8" w:color="CCEEFF"/>
            </w:tcBorders>
            <w:gridSpan w:val="10"/>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Ordinary Shares</w:t>
              </w:r>
            </w:hyperlink>
          </w:p>
        </w:tc>
        <w:tc>
          <w:tcPr>
            <w:tcW w:w="7220" w:type="dxa"/>
            <w:vAlign w:val="bottom"/>
            <w:gridSpan w:val="2"/>
          </w:tcPr>
          <w:p>
            <w:pPr>
              <w:jc w:val="center"/>
              <w:ind w:left="633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Warrants</w:t>
              </w:r>
            </w:hyperlink>
          </w:p>
        </w:tc>
        <w:tc>
          <w:tcPr>
            <w:tcW w:w="2460" w:type="dxa"/>
            <w:vAlign w:val="bottom"/>
            <w:tcBorders>
              <w:bottom w:val="single" w:sz="8" w:color="CCEEFF"/>
            </w:tcBorders>
            <w:gridSpan w:val="11"/>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30"/>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Rights</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Description of Debt Securities</w:t>
              </w:r>
            </w:hyperlink>
          </w:p>
        </w:tc>
        <w:tc>
          <w:tcPr>
            <w:tcW w:w="2000" w:type="dxa"/>
            <w:vAlign w:val="bottom"/>
            <w:tcBorders>
              <w:bottom w:val="single" w:sz="8" w:color="CCEEFF"/>
            </w:tcBorders>
            <w:gridSpan w:val="8"/>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Units</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Plan of Distribution</w:t>
              </w:r>
            </w:hyperlink>
          </w:p>
        </w:tc>
        <w:tc>
          <w:tcPr>
            <w:tcW w:w="2760" w:type="dxa"/>
            <w:vAlign w:val="bottom"/>
            <w:tcBorders>
              <w:bottom w:val="single" w:sz="8" w:color="CCEEFF"/>
            </w:tcBorders>
            <w:gridSpan w:val="16"/>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Expenses Associated with the Registration</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Legal Matters</w:t>
              </w:r>
            </w:hyperlink>
          </w:p>
        </w:tc>
        <w:tc>
          <w:tcPr>
            <w:tcW w:w="3180" w:type="dxa"/>
            <w:vAlign w:val="bottom"/>
            <w:tcBorders>
              <w:bottom w:val="single" w:sz="8" w:color="CCEEFF"/>
            </w:tcBorders>
            <w:gridSpan w:val="19"/>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Where You Can Find More Information</w:t>
              </w:r>
            </w:hyperlink>
          </w:p>
        </w:tc>
        <w:tc>
          <w:tcPr>
            <w:tcW w:w="1320" w:type="dxa"/>
            <w:vAlign w:val="bottom"/>
            <w:tcBorders>
              <w:bottom w:val="single" w:sz="8" w:color="CCEEFF"/>
            </w:tcBorders>
            <w:gridSpan w:val="3"/>
            <w:shd w:val="clear" w:color="auto" w:fill="CCEEFF"/>
          </w:tcPr>
          <w:p>
            <w:pPr>
              <w:spacing w:after="0"/>
              <w:rPr>
                <w:sz w:val="17"/>
                <w:szCs w:val="17"/>
                <w:color w:val="auto"/>
              </w:rPr>
            </w:pPr>
          </w:p>
        </w:tc>
        <w:tc>
          <w:tcPr>
            <w:tcW w:w="7220" w:type="dxa"/>
            <w:vAlign w:val="bottom"/>
            <w:tcBorders>
              <w:bottom w:val="single" w:sz="8" w:color="CCEEFF"/>
            </w:tcBorders>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2"/>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Incorporation of Certain Documents By Reference</w:t>
              </w:r>
            </w:hyperlink>
          </w:p>
        </w:tc>
        <w:tc>
          <w:tcPr>
            <w:tcW w:w="7220" w:type="dxa"/>
            <w:vAlign w:val="bottom"/>
            <w:gridSpan w:val="2"/>
          </w:tcPr>
          <w:p>
            <w:pPr>
              <w:jc w:val="center"/>
              <w:ind w:left="635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2"/>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Enforceability of Civil Liabilities</w:t>
              </w:r>
            </w:hyperlink>
          </w:p>
        </w:tc>
        <w:tc>
          <w:tcPr>
            <w:tcW w:w="7220" w:type="dxa"/>
            <w:vAlign w:val="bottom"/>
            <w:gridSpan w:val="2"/>
            <w:shd w:val="clear" w:color="auto" w:fill="CCEEFF"/>
          </w:tcPr>
          <w:p>
            <w:pPr>
              <w:jc w:val="center"/>
              <w:ind w:left="635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SEC, utilizing a “shelf” registration process. Under this process, we may offer and sell our securities under this prospectus and the selling shareholders referred to in this prospectus and identified in supplements to this prospectus may also offer and sell our ordinary shares under this prospectus.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this shelf process, we may sell the securities described in this prospectus in one or more offerings up to a total price to the public of $100 million. The selling shareholders may sell up to 15,127,481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prospectus). Our agent for service of process in the United States is Kornit Digital North America Inc., located at 10541-10601 North Commerce Street, Mequon, Wisconsin 53092, and its telephone number is (262) 518-0200.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investment in our securities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under the caption “Risk Factors” in our annual report on Form 20-F for the year ended December 31, 2015 and in any other filings we make with the SEC subsequent to the date of this prospectus which are incorporated herein by reference, and in any supplement to this prospectus, before making your investment decision.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sell from time to time pursuant to this prospectus (as may be detailed in a prospectus supplement) an indeterminate number of ordinary shares, warrants to purchase ordinary shares, rights and/or units comprised of any of the foregoing securities as shall have a maximum aggregate offering price of $100 million. The selling shareholders may sell from time to time pursuant to this prospectus up to 15,127,481 ordinary shares. The actual price per share or per security of the securities that we or the selling shareholders will offer pursuant hereto will depend on a number of factors that may be relevant as of the time of offer. See “Plan of Distribution.”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the periods indicated. The ratio of earnings to fixed charges is computed by dividing fixed charges into earnings before income taxes plus fixed charges.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4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r>
      <w:tr>
        <w:trPr>
          <w:trHeight w:val="255"/>
        </w:trPr>
        <w:tc>
          <w:tcPr>
            <w:tcW w:w="47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47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r>
      <w:tr>
        <w:trPr>
          <w:trHeight w:val="243"/>
        </w:trPr>
        <w:tc>
          <w:tcPr>
            <w:tcW w:w="47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Ratio of earnings to fixed charges</w:t>
            </w:r>
            <w:r>
              <w:rPr>
                <w:rFonts w:ascii="Arial" w:cs="Arial" w:eastAsia="Arial" w:hAnsi="Arial"/>
                <w:sz w:val="28"/>
                <w:szCs w:val="28"/>
                <w:color w:val="auto"/>
                <w:vertAlign w:val="superscript"/>
              </w:rPr>
              <w:t>(1)</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8.78</w:t>
            </w:r>
          </w:p>
        </w:tc>
        <w:tc>
          <w:tcPr>
            <w:tcW w:w="7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5.54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80" w:hanging="372"/>
        <w:spacing w:after="0" w:line="26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ratio of earnings to fixed charges is computed by dividing (i) income before income taxes plus fixed charges by (ii) fixed charges. Fixed charges include the portion of rental expense that management believes is representative of the interest component and amortization of premium. See Exhibit 12.1 of the Registration Statement on Form F-3, of which this prospectus is a part.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prospectus, we have no preferred shares outstanding and have neither declared nor paid any dividends on preferred shares for the periods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capitalization will be set forth in a prospectus supplement to this prospectus or in a report of a foreign private issuer on Form 6-K subsequently furnished to the SEC and specifically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Low</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3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Annual:</w:t>
            </w:r>
          </w:p>
        </w:tc>
        <w:tc>
          <w:tcPr>
            <w:tcW w:w="2140" w:type="dxa"/>
            <w:vAlign w:val="bottom"/>
          </w:tcPr>
          <w:p>
            <w:pPr>
              <w:spacing w:after="0"/>
              <w:rPr>
                <w:sz w:val="20"/>
                <w:szCs w:val="20"/>
                <w:color w:val="auto"/>
              </w:rPr>
            </w:pPr>
          </w:p>
        </w:tc>
        <w:tc>
          <w:tcPr>
            <w:tcW w:w="2500" w:type="dxa"/>
            <w:vAlign w:val="bottom"/>
            <w:tcBorders>
              <w:top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(in U.S. 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8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2015 (beginning April 2,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Fourth Quarter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11.42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Second Quarter 2015</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11.76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December 2016 (through December 30,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11.25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November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October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August 2016</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June 2016</w:t>
            </w:r>
          </w:p>
        </w:tc>
        <w:tc>
          <w:tcPr>
            <w:tcW w:w="2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price of our ordinary shares, as reported on NASDAQ on December 30, 2016, was $12.65.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not receive any proceeds from the sale of ordinary shares by the selling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securities that may be offered by us from time to time, this prospectus relates to the possible offering and sale, from time to time, of up to 15,127,481 ordinary shares by the selling shareholders.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(1) the number and percentage of our ordinary shares that each selling shareholder beneficially owned prior to the offering of the shares; (2) the number of our ordinary shares offered by each selling shareholder from time to time; and (3) the number and percentage of our ordinary shares to be beneficially owned by each selling shareholder assuming the sale of all of the ordinary shares offered by such selling shareholder. The applicable percentages of beneficial ownership are based on an aggregate of 30,989,873 ordinary shares outstanding as of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8"/>
              </w:rPr>
              <w:t>Shares Beneficially Owned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Shares Beneficially Owned</w:t>
            </w:r>
          </w:p>
        </w:tc>
      </w:tr>
      <w:tr>
        <w:trPr>
          <w:trHeight w:val="24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Prior to Offering</w:t>
            </w:r>
          </w:p>
        </w:tc>
        <w:tc>
          <w:tcPr>
            <w:tcW w:w="27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9"/>
              </w:rPr>
              <w:t>Number of Shares to be Offered</w:t>
            </w:r>
          </w:p>
        </w:tc>
        <w:tc>
          <w:tcPr>
            <w:tcW w:w="26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After Offering</w:t>
            </w:r>
          </w:p>
        </w:tc>
      </w:tr>
      <w:tr>
        <w:trPr>
          <w:trHeight w:val="237"/>
        </w:trPr>
        <w:tc>
          <w:tcPr>
            <w:tcW w:w="31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Selling Shareholders</w:t>
            </w:r>
          </w:p>
        </w:tc>
        <w:tc>
          <w:tcPr>
            <w:tcW w:w="10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4"/>
              </w:rPr>
              <w:t>Fortissimo Capital Fund II (Israel), L.P.</w:t>
            </w:r>
            <w:r>
              <w:rPr>
                <w:rFonts w:ascii="Arial" w:cs="Arial" w:eastAsia="Arial" w:hAnsi="Arial"/>
                <w:sz w:val="29"/>
                <w:szCs w:val="29"/>
                <w:color w:val="auto"/>
                <w:w w:val="94"/>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15,037,481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15,037,481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3260" w:type="dxa"/>
            <w:vAlign w:val="bottom"/>
            <w:gridSpan w:val="2"/>
          </w:tcPr>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30"/>
                <w:szCs w:val="30"/>
                <w:color w:val="auto"/>
                <w:vertAlign w:val="superscript"/>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528,914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90,000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438,914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89" w:lineRule="exact"/>
        <w:rPr>
          <w:sz w:val="20"/>
          <w:szCs w:val="20"/>
          <w:color w:val="auto"/>
        </w:rPr>
      </w:pPr>
    </w:p>
    <w:p>
      <w:pPr>
        <w:jc w:val="both"/>
        <w:ind w:left="380" w:hanging="372"/>
        <w:spacing w:after="0" w:line="25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93"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36,357 ordinary shares and options to purchase 492,557 ordinary shares exercisable within 60 days of January 3, 2017. As of January 3, 2017, Mr. Seligsohn also holds additional options to purchase 398,435 ordinary shares that are not exercisable within 60 days of January 3, 2017. Mr. Seligsohn’s address is c/o Kornit Digital Ltd., 12 Ha’Amal Street, Rosh Ha’Ayin 4809246, Israel.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rights and/or units comprising any combination of these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and incorporated by reference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or our articles and the Israeli Companies Law,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authorized share capital consists of 200,000,000 ordinary shares, par value NIS 0.01 per share, of which 30,989,873 shares were issued and outstanding as of December 31, 2016. As of December 31, 2016, no preferred shares were authorized under our articles of association.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is to engage in any lawful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articles of association, our board of directors must consist of not less than five but no more than nine directors, including two external directors 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Israeli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Israeli Companies Law and under our articles, shareholders are not permitted to take action by way of written consent in lieu of a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articles provide that all resolutions of our shareholders require a simple majority vote, unless otherwise required by the Israeli Companies Law or by our articles.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and (iii) approval of certain compensation-related matters requires the approval of special majorities by shareholders.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Under the Israeli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any time, Fortissimo Capital Fund II (Israel), L.P., or Fortissimo Capital, which owns 48.5% of our outstanding shares as of the date of this prospectus,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warrants to purchase our ordinary shares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23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upon exercise of such warrants may be purchased;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such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any material Israeli and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subscription rights to purchase our ordinary shares. Rights may be issued independently or together with any other offered security and may or may not be transferable by the person purchasing or receiving the rights.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applicable, a discussion of the material Israeli and U.S. income tax considerations applicable to the issuance or exercise of such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on which the right to exercise such rights shall commence, and the date on which such rights shall expire (subject to any extension);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or any agency agreement, that we may enter into in connection with the rights offering;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such rights, including terms, procedures and limitations relating to the exchange and exercise of such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right will entitle the holder of the right to purchase for cash such number of ordinary shares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issue debt securities together with other securities or separately, as described in the applicable prospectus supplement, under an indenture to be entered into between Kornit Digital Ltd.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denominations in which such debt securities may be issuable, if other than denomination of $1,000, or any integral multiple of that number;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debt securities or global debt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ordinary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other indebtedness of Kornit Digital Ltd.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our ordinary shares, warrants, rights, debt securities and/or any combination of such securities. The applicable prospectus supplement will describe:</w:t>
      </w:r>
    </w:p>
    <w:p>
      <w:pPr>
        <w:spacing w:after="0" w:line="170" w:lineRule="exact"/>
        <w:rPr>
          <w:sz w:val="20"/>
          <w:szCs w:val="20"/>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warrants, rights and/or debt securities comprising the units, including whether and under what circumstances the securities comprising the units may be traded separately;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or any arrangement with an agent that may act on our behalf in connection with the unit offering;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68"/>
        <w:spacing w:after="0" w:line="277" w:lineRule="auto"/>
        <w:rPr>
          <w:sz w:val="20"/>
          <w:szCs w:val="20"/>
          <w:color w:val="auto"/>
        </w:rPr>
      </w:pPr>
      <w:r>
        <w:rPr>
          <w:rFonts w:ascii="Arial" w:cs="Arial" w:eastAsia="Arial" w:hAnsi="Arial"/>
          <w:sz w:val="18"/>
          <w:szCs w:val="18"/>
          <w:color w:val="auto"/>
        </w:rPr>
        <w:t>We or the selling shareholders may sell the securities included in this prospectus from time to time in one or more transactions, including without limitation:</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one or more underwriters on a firm commitment or agency basis;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on a negotiated basis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dealer is used in the sale of the securities, we,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or the selling shareholders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Agents, underwriters and dealers may be entitled under agreements which may be entered into with us or the selling shareholders to indemnification by us against specified liabilities, including liabilities incurred under the Securities Act, or to contribution by us or the selling shareholders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87" w:lineRule="exact"/>
        <w:rPr>
          <w:sz w:val="20"/>
          <w:szCs w:val="20"/>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transactions may be effected on an exchange, if the securities are listed on that exchange, or in the over-the-counter market or otherwise.</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ordinary shares may be issued upon conversion of or in exchange for debt securities or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securities that qualify for sale pursuant to Rule 144 or Regulation S under the Securities Act may be sold under Rule 144 or Regulation S rather than pursuant to this prospectus.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or the selling shareholders make sales to or through one or more underwriters or agents in at-the-market offerings, we or the selling shareholders will do so pursuant to the terms of a distribution agreement between us or the selling shareholders and the underwriters or agents. If we engage in at-the-market sales pursuant to a distribution agreement, we or the selling shareholders will sell our ordinary shares to or through one or more underwriters or agents, which may act on an agency basis or on a principal basis. During the term of any such agreement, we or the selling shareholders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or the selling shareholders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Offers to purchase the securities offered by this prospectus may be solicited, and sales of the securities may be made, by us or the selling shareholders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offerings made through underwriters or agents, we or the selling shareholders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or the selling shareholders under these arrangements to close out any related open borrowings of securities.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or the selling shareholders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shareholders or borrowed from us, the selling shareholders or others to settle those sales or to close out any related open borrowings of shares, and may use securities received from us or the selling shareholders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or the selling shareholders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ASSOCIATED WITH THE REGISTRATION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FINRA filing fee</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44,613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37"/>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3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20"/>
                <w:szCs w:val="20"/>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r>
      <w:tr>
        <w:trPr>
          <w:trHeight w:val="21"/>
        </w:trPr>
        <w:tc>
          <w:tcPr>
            <w:tcW w:w="62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Liquornik Geva Leshem Tal, Ramat Gan, Israel. Certain legal matters with respect to New York law and the validity of the debt securities under New York law will be passed upon for us by White &amp; Case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consolidated financial statements of Kornit Digital Ltd. incorporated by reference in this prospectus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78"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67"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http://www.sec.gov.</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16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225"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o May 5, 2016 (only the GAAP financial statements with respect to the quarter ended March 31, 2016 attached to the press release annexed as Exhibit 99.1 thereto);</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July 14, 2016;</w:t>
      </w:r>
    </w:p>
    <w:p>
      <w:pPr>
        <w:spacing w:after="0" w:line="225" w:lineRule="exact"/>
        <w:rPr>
          <w:rFonts w:ascii="Arial" w:cs="Arial" w:eastAsia="Arial" w:hAnsi="Arial"/>
          <w:sz w:val="18"/>
          <w:szCs w:val="18"/>
          <w:color w:val="auto"/>
        </w:rPr>
      </w:pPr>
    </w:p>
    <w:p>
      <w:pPr>
        <w:ind w:left="1300"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o August 3, 2016 (only the GAAP financial statements with respect to the quarter and six months ended June 30, 2016 attached to the press release annexed as Exhibit 99.1 thereto);</w:t>
      </w:r>
    </w:p>
    <w:p>
      <w:pPr>
        <w:spacing w:after="0" w:line="170"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o November 9, 2016 (only the GAAP financial statements with respect to the quarter and nine months ended September 30, 2016 attached to the press release annexed as Exhibit 99.1 thereto); and</w:t>
      </w:r>
    </w:p>
    <w:p>
      <w:pPr>
        <w:spacing w:after="0" w:line="170" w:lineRule="exact"/>
        <w:rPr>
          <w:rFonts w:ascii="Arial" w:cs="Arial" w:eastAsia="Arial" w:hAnsi="Arial"/>
          <w:sz w:val="18"/>
          <w:szCs w:val="18"/>
          <w:color w:val="auto"/>
        </w:rPr>
      </w:pPr>
    </w:p>
    <w:p>
      <w:pPr>
        <w:ind w:left="1300" w:hanging="324"/>
        <w:spacing w:after="0" w:line="264" w:lineRule="auto"/>
        <w:rPr>
          <w:rFonts w:ascii="Arial" w:cs="Arial" w:eastAsia="Arial" w:hAnsi="Arial"/>
          <w:sz w:val="18"/>
          <w:szCs w:val="18"/>
          <w:color w:val="auto"/>
        </w:rPr>
      </w:pPr>
      <w:r>
        <w:rPr>
          <w:rFonts w:ascii="Arial" w:cs="Arial" w:eastAsia="Arial" w:hAnsi="Arial"/>
          <w:sz w:val="18"/>
          <w:szCs w:val="18"/>
          <w:color w:val="auto"/>
        </w:rPr>
        <w:t>o January 3, 2017 (including our condensed interim consolidated financial statements as of, and for the nine months ended, September 30, 2016, and our management’s Operating and Financial Review and Prospects for that nine month period appended as Exhibits 99.1 and 99.2 thereto, respectively).</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73"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 in the same matter between the same parties;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3,132,481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154940</wp:posOffset>
            </wp:positionV>
            <wp:extent cx="2118360" cy="131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1836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10360" w:val="left"/>
        </w:tabs>
        <w:rPr>
          <w:sz w:val="20"/>
          <w:szCs w:val="20"/>
          <w:color w:val="auto"/>
        </w:rPr>
      </w:pPr>
      <w:r>
        <w:rPr>
          <w:rFonts w:ascii="Arial" w:cs="Arial" w:eastAsia="Arial" w:hAnsi="Arial"/>
          <w:sz w:val="23"/>
          <w:szCs w:val="23"/>
          <w:b w:val="1"/>
          <w:bCs w:val="1"/>
          <w:color w:val="auto"/>
        </w:rPr>
        <w:t>Barclays</w:t>
      </w:r>
      <w:r>
        <w:rPr>
          <w:sz w:val="20"/>
          <w:szCs w:val="20"/>
          <w:color w:val="auto"/>
        </w:rPr>
        <w:tab/>
      </w:r>
      <w:r>
        <w:rPr>
          <w:rFonts w:ascii="Arial" w:cs="Arial" w:eastAsia="Arial" w:hAnsi="Arial"/>
          <w:sz w:val="23"/>
          <w:szCs w:val="2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1287145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lvl w:ilvl="1">
      <w:lvlJc w:val="left"/>
      <w:lvlText w:val="o"/>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2019-12-08T12:50:40Z</dcterms:created>
  <dcterms:modified xsi:type="dcterms:W3CDTF">2019-12-08T12:50:40Z</dcterms:modified>
</cp:coreProperties>
</file>