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72390</wp:posOffset>
            </wp:positionH>
            <wp:positionV relativeFrom="page">
              <wp:posOffset>434975</wp:posOffset>
            </wp:positionV>
            <wp:extent cx="762508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3619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561340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SCHEDULE 13G</w:t>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Under the Securities Exchange Act of 1934</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 xml:space="preserve">KORNIT DIGITAL </w:t>
      </w:r>
      <w:r>
        <w:rPr>
          <w:rFonts w:ascii="Arial" w:cs="Arial" w:eastAsia="Arial" w:hAnsi="Arial"/>
          <w:sz w:val="19"/>
          <w:szCs w:val="19"/>
          <w:b w:val="1"/>
          <w:bCs w:val="1"/>
          <w:color w:val="auto"/>
        </w:rPr>
        <w:t>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625080"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(Name of Issuer)</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Ordinary Shares, par value NIS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(Title of Class of Securities)</w:t>
      </w: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2531745</wp:posOffset>
            </wp:positionH>
            <wp:positionV relativeFrom="paragraph">
              <wp:posOffset>19050</wp:posOffset>
            </wp:positionV>
            <wp:extent cx="254444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44445" cy="1841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(CUSIP Number)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625080"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95" w:lineRule="exact"/>
        <w:rPr>
          <w:sz w:val="24"/>
          <w:szCs w:val="24"/>
          <w:color w:val="auto"/>
        </w:rPr>
      </w:pPr>
    </w:p>
    <w:p>
      <w:pPr>
        <w:ind w:left="680"/>
        <w:spacing w:after="0"/>
        <w:tabs>
          <w:tab w:leader="none" w:pos="960" w:val="left"/>
        </w:tabs>
        <w:rPr>
          <w:sz w:val="20"/>
          <w:szCs w:val="20"/>
          <w:color w:val="auto"/>
        </w:rPr>
      </w:pPr>
      <w:r>
        <w:rPr>
          <w:rFonts w:ascii="Arial" w:cs="Arial" w:eastAsia="Arial" w:hAnsi="Arial"/>
          <w:sz w:val="19"/>
          <w:szCs w:val="19"/>
          <w:color w:val="auto"/>
        </w:rPr>
        <w:t>â˜</w:t>
        <w:tab/>
        <w:t>Rule 13d-1(b)</w:t>
      </w:r>
    </w:p>
    <w:p>
      <w:pPr>
        <w:spacing w:after="0" w:line="295" w:lineRule="exact"/>
        <w:rPr>
          <w:sz w:val="24"/>
          <w:szCs w:val="24"/>
          <w:color w:val="auto"/>
        </w:rPr>
      </w:pPr>
    </w:p>
    <w:p>
      <w:pPr>
        <w:ind w:left="680"/>
        <w:spacing w:after="0"/>
        <w:tabs>
          <w:tab w:leader="none" w:pos="960" w:val="left"/>
        </w:tabs>
        <w:rPr>
          <w:sz w:val="20"/>
          <w:szCs w:val="20"/>
          <w:color w:val="auto"/>
        </w:rPr>
      </w:pPr>
      <w:r>
        <w:rPr>
          <w:rFonts w:ascii="Arial" w:cs="Arial" w:eastAsia="Arial" w:hAnsi="Arial"/>
          <w:sz w:val="19"/>
          <w:szCs w:val="19"/>
          <w:color w:val="auto"/>
        </w:rPr>
        <w:t>â˜</w:t>
        <w:tab/>
        <w:t>Rule 13d-1(c)</w:t>
      </w:r>
    </w:p>
    <w:p>
      <w:pPr>
        <w:spacing w:after="0" w:line="295" w:lineRule="exact"/>
        <w:rPr>
          <w:sz w:val="24"/>
          <w:szCs w:val="24"/>
          <w:color w:val="auto"/>
        </w:rPr>
      </w:pPr>
    </w:p>
    <w:p>
      <w:pPr>
        <w:ind w:left="680"/>
        <w:spacing w:after="0"/>
        <w:rPr>
          <w:sz w:val="20"/>
          <w:szCs w:val="20"/>
          <w:color w:val="auto"/>
        </w:rPr>
      </w:pPr>
      <w:r>
        <w:rPr>
          <w:rFonts w:ascii="Arial" w:cs="Arial" w:eastAsia="Arial" w:hAnsi="Arial"/>
          <w:sz w:val="19"/>
          <w:szCs w:val="19"/>
          <w:color w:val="auto"/>
        </w:rPr>
        <w:t>â˜’ Rule 13d-1(d)</w:t>
      </w:r>
    </w:p>
    <w:p>
      <w:pPr>
        <w:spacing w:after="0" w:line="295" w:lineRule="exact"/>
        <w:rPr>
          <w:sz w:val="24"/>
          <w:szCs w:val="24"/>
          <w:color w:val="auto"/>
        </w:rPr>
      </w:pPr>
    </w:p>
    <w:p>
      <w:pPr>
        <w:spacing w:after="0" w:line="33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w:t>
      </w:r>
      <w:r>
        <w:rPr>
          <w:rFonts w:ascii="Arial" w:cs="Arial" w:eastAsia="Arial" w:hAnsi="Arial"/>
          <w:sz w:val="17"/>
          <w:szCs w:val="17"/>
          <w:b w:val="1"/>
          <w:bCs w:val="1"/>
          <w:color w:val="auto"/>
        </w:rPr>
        <w:t>Act</w:t>
      </w:r>
      <w:r>
        <w:rPr>
          <w:rFonts w:ascii="Arial" w:cs="Arial" w:eastAsia="Arial" w:hAnsi="Arial"/>
          <w:sz w:val="17"/>
          <w:szCs w:val="17"/>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625080"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1277" w:right="120" w:bottom="1440" w:gutter="0" w:footer="0" w:header="0"/>
        </w:sectPr>
      </w:pPr>
    </w:p>
    <w:bookmarkStart w:id="1" w:name="page2"/>
    <w:bookmarkEnd w:id="1"/>
    <w:p>
      <w:pPr>
        <w:ind w:left="6"/>
        <w:spacing w:after="0"/>
        <w:rPr>
          <w:sz w:val="20"/>
          <w:szCs w:val="20"/>
          <w:color w:val="auto"/>
        </w:rPr>
      </w:pPr>
      <w:r>
        <w:rPr>
          <w:rFonts w:ascii="Arial" w:cs="Arial" w:eastAsia="Arial" w:hAnsi="Arial"/>
          <w:sz w:val="19"/>
          <w:szCs w:val="19"/>
          <w:color w:val="auto"/>
        </w:rPr>
        <w:t xml:space="preserve">CUSIP NO. </w:t>
      </w:r>
      <w:r>
        <w:rPr>
          <w:rFonts w:ascii="Arial" w:cs="Arial" w:eastAsia="Arial" w:hAnsi="Arial"/>
          <w:sz w:val="19"/>
          <w:szCs w:val="19"/>
          <w:b w:val="1"/>
          <w:bCs w:val="1"/>
          <w:color w:val="auto"/>
        </w:rPr>
        <w:t>M6372Q113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7625080" cy="6819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5080" cy="6819265"/>
                    </a:xfrm>
                    <a:prstGeom prst="rect">
                      <a:avLst/>
                    </a:prstGeom>
                    <a:noFill/>
                  </pic:spPr>
                </pic:pic>
              </a:graphicData>
            </a:graphic>
          </wp:anchor>
        </w:drawing>
      </w:r>
    </w:p>
    <w:p>
      <w:pPr>
        <w:spacing w:after="0" w:line="318" w:lineRule="exact"/>
        <w:rPr>
          <w:sz w:val="20"/>
          <w:szCs w:val="20"/>
          <w:color w:val="auto"/>
        </w:rPr>
      </w:pPr>
    </w:p>
    <w:p>
      <w:pPr>
        <w:ind w:left="1506"/>
        <w:spacing w:after="0"/>
        <w:rPr>
          <w:sz w:val="20"/>
          <w:szCs w:val="20"/>
          <w:color w:val="auto"/>
        </w:rPr>
      </w:pPr>
      <w:r>
        <w:rPr>
          <w:rFonts w:ascii="Arial" w:cs="Arial" w:eastAsia="Arial" w:hAnsi="Arial"/>
          <w:sz w:val="19"/>
          <w:szCs w:val="19"/>
          <w:b w:val="1"/>
          <w:bCs w:val="1"/>
          <w:color w:val="auto"/>
        </w:rPr>
        <w:t>NAMES OF REPORTING PERSONS/</w:t>
      </w:r>
    </w:p>
    <w:p>
      <w:pPr>
        <w:spacing w:after="0" w:line="67" w:lineRule="exact"/>
        <w:rPr>
          <w:sz w:val="20"/>
          <w:szCs w:val="20"/>
          <w:color w:val="auto"/>
        </w:rPr>
      </w:pPr>
    </w:p>
    <w:p>
      <w:pPr>
        <w:ind w:left="1506" w:right="4300" w:hanging="857"/>
        <w:spacing w:after="0" w:line="189" w:lineRule="auto"/>
        <w:tabs>
          <w:tab w:leader="none" w:pos="1497" w:val="left"/>
        </w:tabs>
        <w:numPr>
          <w:ilvl w:val="0"/>
          <w:numId w:val="1"/>
        </w:numPr>
        <w:rPr>
          <w:rFonts w:ascii="Arial" w:cs="Arial" w:eastAsia="Arial" w:hAnsi="Arial"/>
          <w:sz w:val="68"/>
          <w:szCs w:val="68"/>
          <w:b w:val="1"/>
          <w:bCs w:val="1"/>
          <w:color w:val="auto"/>
          <w:vertAlign w:val="subscript"/>
        </w:rPr>
      </w:pPr>
      <w:r>
        <w:rPr>
          <w:rFonts w:ascii="Arial" w:cs="Arial" w:eastAsia="Arial" w:hAnsi="Arial"/>
          <w:sz w:val="19"/>
          <w:szCs w:val="19"/>
          <w:b w:val="1"/>
          <w:bCs w:val="1"/>
          <w:color w:val="auto"/>
        </w:rPr>
        <w:t xml:space="preserve">I.R.S. IDENTIFICATION NOS. OF ABOVE PERSONS (ENTITIES ONLY) </w:t>
      </w:r>
      <w:r>
        <w:rPr>
          <w:rFonts w:ascii="Arial" w:cs="Arial" w:eastAsia="Arial" w:hAnsi="Arial"/>
          <w:sz w:val="19"/>
          <w:szCs w:val="19"/>
          <w:color w:val="auto"/>
        </w:rPr>
        <w:t>IDB Development Corporation Ltd.</w:t>
      </w:r>
    </w:p>
    <w:p>
      <w:pPr>
        <w:spacing w:after="0" w:line="78" w:lineRule="exact"/>
        <w:rPr>
          <w:sz w:val="20"/>
          <w:szCs w:val="20"/>
          <w:color w:val="auto"/>
        </w:rPr>
      </w:pPr>
    </w:p>
    <w:p>
      <w:pPr>
        <w:ind w:left="1506"/>
        <w:spacing w:after="0"/>
        <w:rPr>
          <w:sz w:val="20"/>
          <w:szCs w:val="20"/>
          <w:color w:val="auto"/>
        </w:rPr>
      </w:pPr>
      <w:r>
        <w:rPr>
          <w:rFonts w:ascii="Arial" w:cs="Arial" w:eastAsia="Arial" w:hAnsi="Arial"/>
          <w:sz w:val="19"/>
          <w:szCs w:val="19"/>
          <w:b w:val="1"/>
          <w:bCs w:val="1"/>
          <w:color w:val="auto"/>
        </w:rPr>
        <w:t>CHECK THE APPROPRIATE BOX IF A MEMBER OF A GROUP</w:t>
      </w:r>
    </w:p>
    <w:p>
      <w:pPr>
        <w:ind w:left="1506" w:hanging="857"/>
        <w:spacing w:after="0" w:line="195" w:lineRule="auto"/>
        <w:tabs>
          <w:tab w:leader="none" w:pos="1506" w:val="left"/>
        </w:tabs>
        <w:numPr>
          <w:ilvl w:val="0"/>
          <w:numId w:val="2"/>
        </w:numPr>
        <w:rPr>
          <w:rFonts w:ascii="Arial" w:cs="Arial" w:eastAsia="Arial" w:hAnsi="Arial"/>
          <w:sz w:val="34"/>
          <w:szCs w:val="34"/>
          <w:b w:val="1"/>
          <w:bCs w:val="1"/>
          <w:color w:val="auto"/>
        </w:rPr>
      </w:pPr>
      <w:r>
        <w:rPr>
          <w:rFonts w:ascii="Arial" w:cs="Arial" w:eastAsia="Arial" w:hAnsi="Arial"/>
          <w:sz w:val="19"/>
          <w:szCs w:val="19"/>
          <w:color w:val="auto"/>
        </w:rPr>
        <w:t>(a)â˜</w:t>
      </w:r>
    </w:p>
    <w:p>
      <w:pPr>
        <w:spacing w:after="0" w:line="60" w:lineRule="exact"/>
        <w:rPr>
          <w:rFonts w:ascii="Arial" w:cs="Arial" w:eastAsia="Arial" w:hAnsi="Arial"/>
          <w:sz w:val="34"/>
          <w:szCs w:val="34"/>
          <w:b w:val="1"/>
          <w:bCs w:val="1"/>
          <w:color w:val="auto"/>
        </w:rPr>
      </w:pPr>
    </w:p>
    <w:p>
      <w:pPr>
        <w:ind w:left="1506"/>
        <w:spacing w:after="0"/>
        <w:rPr>
          <w:rFonts w:ascii="Arial" w:cs="Arial" w:eastAsia="Arial" w:hAnsi="Arial"/>
          <w:sz w:val="34"/>
          <w:szCs w:val="34"/>
          <w:b w:val="1"/>
          <w:bCs w:val="1"/>
          <w:color w:val="auto"/>
        </w:rPr>
      </w:pPr>
      <w:r>
        <w:rPr>
          <w:rFonts w:ascii="Arial" w:cs="Arial" w:eastAsia="Arial" w:hAnsi="Arial"/>
          <w:sz w:val="19"/>
          <w:szCs w:val="19"/>
          <w:color w:val="auto"/>
        </w:rPr>
        <w:t>(b)â˜</w:t>
      </w:r>
    </w:p>
    <w:p>
      <w:pPr>
        <w:spacing w:after="0" w:line="54" w:lineRule="exact"/>
        <w:rPr>
          <w:rFonts w:ascii="Arial" w:cs="Arial" w:eastAsia="Arial" w:hAnsi="Arial"/>
          <w:sz w:val="34"/>
          <w:szCs w:val="34"/>
          <w:b w:val="1"/>
          <w:bCs w:val="1"/>
          <w:color w:val="auto"/>
        </w:rPr>
      </w:pPr>
    </w:p>
    <w:p>
      <w:pPr>
        <w:ind w:left="1506"/>
        <w:spacing w:after="0"/>
        <w:rPr>
          <w:rFonts w:ascii="Arial" w:cs="Arial" w:eastAsia="Arial" w:hAnsi="Arial"/>
          <w:sz w:val="34"/>
          <w:szCs w:val="34"/>
          <w:b w:val="1"/>
          <w:bCs w:val="1"/>
          <w:color w:val="auto"/>
        </w:rPr>
      </w:pPr>
      <w:r>
        <w:rPr>
          <w:rFonts w:ascii="Arial" w:cs="Arial" w:eastAsia="Arial" w:hAnsi="Arial"/>
          <w:sz w:val="19"/>
          <w:szCs w:val="19"/>
          <w:b w:val="1"/>
          <w:bCs w:val="1"/>
          <w:color w:val="auto"/>
        </w:rPr>
        <w:t>SEC USE ONLY</w:t>
      </w:r>
    </w:p>
    <w:tbl>
      <w:tblPr>
        <w:tblLayout w:type="fixed"/>
        <w:tblInd w:w="6" w:type="dxa"/>
        <w:tblCellMar>
          <w:top w:w="0" w:type="dxa"/>
          <w:left w:w="0" w:type="dxa"/>
          <w:bottom w:w="0" w:type="dxa"/>
          <w:right w:w="0" w:type="dxa"/>
        </w:tblCellMar>
      </w:tblPr>
      <w:tr>
        <w:trPr>
          <w:trHeight w:val="63"/>
        </w:trPr>
        <w:tc>
          <w:tcPr>
            <w:tcW w:w="2160" w:type="dxa"/>
            <w:vAlign w:val="bottom"/>
            <w:vMerge w:val="restart"/>
          </w:tcPr>
          <w:p>
            <w:pPr>
              <w:jc w:val="right"/>
              <w:ind w:right="1228"/>
              <w:spacing w:after="0" w:line="347" w:lineRule="exact"/>
              <w:rPr>
                <w:sz w:val="20"/>
                <w:szCs w:val="20"/>
                <w:color w:val="auto"/>
              </w:rPr>
            </w:pPr>
            <w:r>
              <w:rPr>
                <w:rFonts w:ascii="Arial" w:cs="Arial" w:eastAsia="Arial" w:hAnsi="Arial"/>
                <w:sz w:val="34"/>
                <w:szCs w:val="34"/>
                <w:b w:val="1"/>
                <w:bCs w:val="1"/>
                <w:color w:val="auto"/>
              </w:rPr>
              <w:t>3</w:t>
            </w:r>
          </w:p>
        </w:tc>
        <w:tc>
          <w:tcPr>
            <w:tcW w:w="700" w:type="dxa"/>
            <w:vAlign w:val="bottom"/>
          </w:tcPr>
          <w:p>
            <w:pPr>
              <w:spacing w:after="0"/>
              <w:rPr>
                <w:sz w:val="5"/>
                <w:szCs w:val="5"/>
                <w:color w:val="auto"/>
              </w:rPr>
            </w:pPr>
          </w:p>
        </w:tc>
        <w:tc>
          <w:tcPr>
            <w:tcW w:w="8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21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00" w:type="dxa"/>
            <w:vAlign w:val="bottom"/>
            <w:gridSpan w:val="6"/>
          </w:tcPr>
          <w:p>
            <w:pPr>
              <w:ind w:left="1500"/>
              <w:spacing w:after="0" w:line="194" w:lineRule="exact"/>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357"/>
        </w:trPr>
        <w:tc>
          <w:tcPr>
            <w:tcW w:w="2160" w:type="dxa"/>
            <w:vAlign w:val="bottom"/>
          </w:tcPr>
          <w:p>
            <w:pPr>
              <w:jc w:val="right"/>
              <w:ind w:right="1228"/>
              <w:spacing w:after="0" w:line="356" w:lineRule="exact"/>
              <w:rPr>
                <w:sz w:val="20"/>
                <w:szCs w:val="20"/>
                <w:color w:val="auto"/>
              </w:rPr>
            </w:pPr>
            <w:r>
              <w:rPr>
                <w:rFonts w:ascii="Arial" w:cs="Arial" w:eastAsia="Arial" w:hAnsi="Arial"/>
                <w:sz w:val="34"/>
                <w:szCs w:val="34"/>
                <w:b w:val="1"/>
                <w:bCs w:val="1"/>
                <w:color w:val="auto"/>
              </w:rPr>
              <w:t>4</w:t>
            </w:r>
          </w:p>
        </w:tc>
        <w:tc>
          <w:tcPr>
            <w:tcW w:w="70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160" w:type="dxa"/>
            <w:vAlign w:val="bottom"/>
          </w:tcPr>
          <w:p>
            <w:pPr>
              <w:jc w:val="right"/>
              <w:ind w:right="128"/>
              <w:spacing w:after="0"/>
              <w:rPr>
                <w:sz w:val="20"/>
                <w:szCs w:val="20"/>
                <w:color w:val="auto"/>
              </w:rPr>
            </w:pPr>
            <w:r>
              <w:rPr>
                <w:rFonts w:ascii="Arial" w:cs="Arial" w:eastAsia="Arial" w:hAnsi="Arial"/>
                <w:sz w:val="19"/>
                <w:szCs w:val="19"/>
                <w:color w:val="auto"/>
              </w:rPr>
              <w:t>Israel</w:t>
            </w:r>
          </w:p>
        </w:tc>
        <w:tc>
          <w:tcPr>
            <w:tcW w:w="70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2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16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5</w:t>
            </w:r>
          </w:p>
        </w:tc>
        <w:tc>
          <w:tcPr>
            <w:tcW w:w="9140" w:type="dxa"/>
            <w:vAlign w:val="bottom"/>
            <w:gridSpan w:val="4"/>
          </w:tcPr>
          <w:p>
            <w:pPr>
              <w:ind w:left="2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374"/>
        </w:trPr>
        <w:tc>
          <w:tcPr>
            <w:tcW w:w="21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8900" w:type="dxa"/>
            <w:vAlign w:val="bottom"/>
            <w:vMerge w:val="restart"/>
          </w:tcPr>
          <w:p>
            <w:pPr>
              <w:ind w:left="40"/>
              <w:spacing w:after="0"/>
              <w:rPr>
                <w:sz w:val="20"/>
                <w:szCs w:val="20"/>
                <w:color w:val="auto"/>
              </w:rPr>
            </w:pPr>
            <w:r>
              <w:rPr>
                <w:rFonts w:ascii="Arial" w:cs="Arial" w:eastAsia="Arial" w:hAnsi="Arial"/>
                <w:sz w:val="19"/>
                <w:szCs w:val="19"/>
                <w:color w:val="auto"/>
              </w:rPr>
              <w:t>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16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160" w:type="dxa"/>
            <w:vAlign w:val="bottom"/>
            <w:tcBorders>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8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16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6</w:t>
            </w:r>
          </w:p>
        </w:tc>
        <w:tc>
          <w:tcPr>
            <w:tcW w:w="9140" w:type="dxa"/>
            <w:vAlign w:val="bottom"/>
            <w:gridSpan w:val="4"/>
          </w:tcPr>
          <w:p>
            <w:pPr>
              <w:ind w:left="2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259"/>
        </w:trPr>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9"/>
              </w:rPr>
              <w:t>NUMBER OF SHARES</w:t>
            </w:r>
          </w:p>
        </w:tc>
        <w:tc>
          <w:tcPr>
            <w:tcW w:w="700" w:type="dxa"/>
            <w:vAlign w:val="bottom"/>
            <w:tcBorders>
              <w:right w:val="single" w:sz="8" w:color="auto"/>
            </w:tcBorders>
            <w:vMerge w:val="continue"/>
          </w:tcPr>
          <w:p>
            <w:pPr>
              <w:spacing w:after="0"/>
              <w:rPr>
                <w:sz w:val="22"/>
                <w:szCs w:val="22"/>
                <w:color w:val="auto"/>
              </w:rPr>
            </w:pPr>
          </w:p>
        </w:tc>
        <w:tc>
          <w:tcPr>
            <w:tcW w:w="8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rPr>
              <w:t>BENEFICIALLY</w:t>
            </w:r>
          </w:p>
        </w:tc>
        <w:tc>
          <w:tcPr>
            <w:tcW w:w="700" w:type="dxa"/>
            <w:vAlign w:val="bottom"/>
            <w:tcBorders>
              <w:right w:val="single" w:sz="8" w:color="auto"/>
            </w:tcBorders>
          </w:tcPr>
          <w:p>
            <w:pPr>
              <w:spacing w:after="0"/>
              <w:rPr>
                <w:sz w:val="19"/>
                <w:szCs w:val="19"/>
                <w:color w:val="auto"/>
              </w:rPr>
            </w:pPr>
          </w:p>
        </w:tc>
        <w:tc>
          <w:tcPr>
            <w:tcW w:w="8900" w:type="dxa"/>
            <w:vAlign w:val="bottom"/>
          </w:tcPr>
          <w:p>
            <w:pPr>
              <w:ind w:left="40"/>
              <w:spacing w:after="0"/>
              <w:rPr>
                <w:sz w:val="20"/>
                <w:szCs w:val="20"/>
                <w:color w:val="auto"/>
              </w:rPr>
            </w:pPr>
            <w:r>
              <w:rPr>
                <w:rFonts w:ascii="Arial" w:cs="Arial" w:eastAsia="Arial" w:hAnsi="Arial"/>
                <w:sz w:val="19"/>
                <w:szCs w:val="19"/>
                <w:color w:val="auto"/>
              </w:rPr>
              <w:t>2,610,128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2160" w:type="dxa"/>
            <w:vAlign w:val="bottom"/>
            <w:tcBorders>
              <w:right w:val="single" w:sz="8" w:color="auto"/>
            </w:tcBorders>
            <w:vMerge w:val="restart"/>
          </w:tcPr>
          <w:p>
            <w:pPr>
              <w:jc w:val="center"/>
              <w:spacing w:after="0" w:line="208" w:lineRule="exact"/>
              <w:rPr>
                <w:sz w:val="20"/>
                <w:szCs w:val="20"/>
                <w:color w:val="auto"/>
              </w:rPr>
            </w:pPr>
            <w:r>
              <w:rPr>
                <w:rFonts w:ascii="Arial" w:cs="Arial" w:eastAsia="Arial" w:hAnsi="Arial"/>
                <w:sz w:val="19"/>
                <w:szCs w:val="19"/>
                <w:b w:val="1"/>
                <w:bCs w:val="1"/>
                <w:color w:val="auto"/>
              </w:rPr>
              <w:t>OWNED BY EACH</w:t>
            </w:r>
          </w:p>
        </w:tc>
        <w:tc>
          <w:tcPr>
            <w:tcW w:w="700" w:type="dxa"/>
            <w:vAlign w:val="bottom"/>
            <w:tcBorders>
              <w:bottom w:val="single" w:sz="8" w:color="auto"/>
              <w:right w:val="single" w:sz="8" w:color="auto"/>
            </w:tcBorders>
          </w:tcPr>
          <w:p>
            <w:pPr>
              <w:spacing w:after="0"/>
              <w:rPr>
                <w:sz w:val="9"/>
                <w:szCs w:val="9"/>
                <w:color w:val="auto"/>
              </w:rPr>
            </w:pPr>
          </w:p>
        </w:tc>
        <w:tc>
          <w:tcPr>
            <w:tcW w:w="89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16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9140" w:type="dxa"/>
            <w:vAlign w:val="bottom"/>
            <w:gridSpan w:val="4"/>
            <w:vMerge w:val="restart"/>
          </w:tcPr>
          <w:p>
            <w:pPr>
              <w:ind w:left="20"/>
              <w:spacing w:after="0"/>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176"/>
        </w:trPr>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b w:val="1"/>
                <w:bCs w:val="1"/>
                <w:color w:val="auto"/>
                <w:w w:val="99"/>
              </w:rPr>
              <w:t>REPORTING PERSON</w:t>
            </w:r>
          </w:p>
        </w:tc>
        <w:tc>
          <w:tcPr>
            <w:tcW w:w="70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7</w:t>
            </w:r>
          </w:p>
        </w:tc>
        <w:tc>
          <w:tcPr>
            <w:tcW w:w="91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160" w:type="dxa"/>
            <w:vAlign w:val="bottom"/>
            <w:tcBorders>
              <w:right w:val="single" w:sz="8" w:color="auto"/>
            </w:tcBorders>
            <w:vMerge w:val="continue"/>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8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rPr>
              <w:t>WITH</w:t>
            </w:r>
          </w:p>
        </w:tc>
        <w:tc>
          <w:tcPr>
            <w:tcW w:w="700" w:type="dxa"/>
            <w:vAlign w:val="bottom"/>
            <w:tcBorders>
              <w:right w:val="single" w:sz="8" w:color="auto"/>
            </w:tcBorders>
            <w:vMerge w:val="continue"/>
          </w:tcPr>
          <w:p>
            <w:pPr>
              <w:spacing w:after="0"/>
              <w:rPr>
                <w:sz w:val="24"/>
                <w:szCs w:val="24"/>
                <w:color w:val="auto"/>
              </w:rPr>
            </w:pPr>
          </w:p>
        </w:tc>
        <w:tc>
          <w:tcPr>
            <w:tcW w:w="8900" w:type="dxa"/>
            <w:vAlign w:val="bottom"/>
            <w:vMerge w:val="restart"/>
          </w:tcPr>
          <w:p>
            <w:pPr>
              <w:ind w:left="40"/>
              <w:spacing w:after="0"/>
              <w:rPr>
                <w:sz w:val="20"/>
                <w:szCs w:val="20"/>
                <w:color w:val="auto"/>
              </w:rPr>
            </w:pPr>
            <w:r>
              <w:rPr>
                <w:rFonts w:ascii="Arial" w:cs="Arial" w:eastAsia="Arial" w:hAnsi="Arial"/>
                <w:sz w:val="19"/>
                <w:szCs w:val="19"/>
                <w:color w:val="auto"/>
              </w:rPr>
              <w:t>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16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160" w:type="dxa"/>
            <w:vAlign w:val="bottom"/>
            <w:tcBorders>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8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16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8</w:t>
            </w:r>
          </w:p>
        </w:tc>
        <w:tc>
          <w:tcPr>
            <w:tcW w:w="9140" w:type="dxa"/>
            <w:vAlign w:val="bottom"/>
            <w:gridSpan w:val="4"/>
          </w:tcPr>
          <w:p>
            <w:pPr>
              <w:ind w:left="2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374"/>
        </w:trPr>
        <w:tc>
          <w:tcPr>
            <w:tcW w:w="21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8900" w:type="dxa"/>
            <w:vAlign w:val="bottom"/>
            <w:vMerge w:val="restart"/>
          </w:tcPr>
          <w:p>
            <w:pPr>
              <w:ind w:left="40"/>
              <w:spacing w:after="0"/>
              <w:rPr>
                <w:sz w:val="20"/>
                <w:szCs w:val="20"/>
                <w:color w:val="auto"/>
              </w:rPr>
            </w:pPr>
            <w:r>
              <w:rPr>
                <w:rFonts w:ascii="Arial" w:cs="Arial" w:eastAsia="Arial" w:hAnsi="Arial"/>
                <w:sz w:val="19"/>
                <w:szCs w:val="19"/>
                <w:color w:val="auto"/>
              </w:rPr>
              <w:t>2,610,128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16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16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8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506"/>
        <w:spacing w:after="0"/>
        <w:rPr>
          <w:sz w:val="20"/>
          <w:szCs w:val="20"/>
          <w:color w:val="auto"/>
        </w:rPr>
      </w:pPr>
      <w:r>
        <w:rPr>
          <w:rFonts w:ascii="Arial" w:cs="Arial" w:eastAsia="Arial" w:hAnsi="Arial"/>
          <w:sz w:val="19"/>
          <w:szCs w:val="19"/>
          <w:b w:val="1"/>
          <w:bCs w:val="1"/>
          <w:color w:val="auto"/>
        </w:rPr>
        <w:t>AGGREGATE AMOUNT BENEFICIALLY OWNED BY EACH REPORTING PERSON</w:t>
      </w:r>
    </w:p>
    <w:p>
      <w:pPr>
        <w:ind w:left="646"/>
        <w:spacing w:after="0" w:line="214" w:lineRule="auto"/>
        <w:rPr>
          <w:sz w:val="20"/>
          <w:szCs w:val="20"/>
          <w:color w:val="auto"/>
        </w:rPr>
      </w:pPr>
      <w:r>
        <w:rPr>
          <w:rFonts w:ascii="Arial" w:cs="Arial" w:eastAsia="Arial" w:hAnsi="Arial"/>
          <w:sz w:val="34"/>
          <w:szCs w:val="34"/>
          <w:b w:val="1"/>
          <w:bCs w:val="1"/>
          <w:color w:val="auto"/>
        </w:rPr>
        <w:t>9</w:t>
      </w:r>
    </w:p>
    <w:p>
      <w:pPr>
        <w:spacing w:after="0" w:line="1" w:lineRule="exact"/>
        <w:rPr>
          <w:sz w:val="20"/>
          <w:szCs w:val="20"/>
          <w:color w:val="auto"/>
        </w:rPr>
      </w:pPr>
    </w:p>
    <w:p>
      <w:pPr>
        <w:ind w:left="1506"/>
        <w:spacing w:after="0"/>
        <w:rPr>
          <w:sz w:val="20"/>
          <w:szCs w:val="20"/>
          <w:color w:val="auto"/>
        </w:rPr>
      </w:pPr>
      <w:r>
        <w:rPr>
          <w:rFonts w:ascii="Arial" w:cs="Arial" w:eastAsia="Arial" w:hAnsi="Arial"/>
          <w:sz w:val="19"/>
          <w:szCs w:val="19"/>
          <w:color w:val="auto"/>
        </w:rPr>
        <w:t>2,610,128</w:t>
      </w:r>
    </w:p>
    <w:p>
      <w:pPr>
        <w:spacing w:after="0" w:line="83" w:lineRule="exact"/>
        <w:rPr>
          <w:sz w:val="20"/>
          <w:szCs w:val="20"/>
          <w:color w:val="auto"/>
        </w:rPr>
      </w:pPr>
    </w:p>
    <w:p>
      <w:pPr>
        <w:ind w:left="1506"/>
        <w:spacing w:after="0"/>
        <w:rPr>
          <w:sz w:val="20"/>
          <w:szCs w:val="20"/>
          <w:color w:val="auto"/>
        </w:rPr>
      </w:pPr>
      <w:r>
        <w:rPr>
          <w:rFonts w:ascii="Arial" w:cs="Arial" w:eastAsia="Arial" w:hAnsi="Arial"/>
          <w:sz w:val="19"/>
          <w:szCs w:val="19"/>
          <w:b w:val="1"/>
          <w:bCs w:val="1"/>
          <w:color w:val="auto"/>
        </w:rPr>
        <w:t>CHECK IF THE AGGREGATE AMOUNT IN ROW (9) EXCLUDES CERTAIN SHARES (SEE INSTRUCTIONS)</w:t>
      </w:r>
    </w:p>
    <w:p>
      <w:pPr>
        <w:ind w:left="566"/>
        <w:spacing w:after="0" w:line="214" w:lineRule="auto"/>
        <w:rPr>
          <w:sz w:val="20"/>
          <w:szCs w:val="20"/>
          <w:color w:val="auto"/>
        </w:rPr>
      </w:pPr>
      <w:r>
        <w:rPr>
          <w:rFonts w:ascii="Arial" w:cs="Arial" w:eastAsia="Arial" w:hAnsi="Arial"/>
          <w:sz w:val="34"/>
          <w:szCs w:val="34"/>
          <w:b w:val="1"/>
          <w:bCs w:val="1"/>
          <w:color w:val="auto"/>
        </w:rPr>
        <w:t>10</w:t>
      </w:r>
    </w:p>
    <w:p>
      <w:pPr>
        <w:spacing w:after="0" w:line="1" w:lineRule="exact"/>
        <w:rPr>
          <w:sz w:val="20"/>
          <w:szCs w:val="20"/>
          <w:color w:val="auto"/>
        </w:rPr>
      </w:pPr>
    </w:p>
    <w:p>
      <w:pPr>
        <w:ind w:left="1506"/>
        <w:spacing w:after="0"/>
        <w:rPr>
          <w:sz w:val="20"/>
          <w:szCs w:val="20"/>
          <w:color w:val="auto"/>
        </w:rPr>
      </w:pPr>
      <w:r>
        <w:rPr>
          <w:rFonts w:ascii="Arial" w:cs="Arial" w:eastAsia="Arial" w:hAnsi="Arial"/>
          <w:sz w:val="19"/>
          <w:szCs w:val="19"/>
          <w:color w:val="auto"/>
        </w:rPr>
        <w:t>â˜</w:t>
      </w:r>
    </w:p>
    <w:p>
      <w:pPr>
        <w:spacing w:after="0" w:line="83" w:lineRule="exact"/>
        <w:rPr>
          <w:sz w:val="20"/>
          <w:szCs w:val="20"/>
          <w:color w:val="auto"/>
        </w:rPr>
      </w:pPr>
    </w:p>
    <w:p>
      <w:pPr>
        <w:ind w:left="1506"/>
        <w:spacing w:after="0"/>
        <w:rPr>
          <w:sz w:val="20"/>
          <w:szCs w:val="20"/>
          <w:color w:val="auto"/>
        </w:rPr>
      </w:pPr>
      <w:r>
        <w:rPr>
          <w:rFonts w:ascii="Arial" w:cs="Arial" w:eastAsia="Arial" w:hAnsi="Arial"/>
          <w:sz w:val="19"/>
          <w:szCs w:val="19"/>
          <w:b w:val="1"/>
          <w:bCs w:val="1"/>
          <w:color w:val="auto"/>
        </w:rPr>
        <w:t>PERCENT OF CLASS REPRESENTED BY AMOUNT IN ROW (9)</w:t>
      </w:r>
    </w:p>
    <w:p>
      <w:pPr>
        <w:ind w:left="566"/>
        <w:spacing w:after="0" w:line="214" w:lineRule="auto"/>
        <w:rPr>
          <w:sz w:val="20"/>
          <w:szCs w:val="20"/>
          <w:color w:val="auto"/>
        </w:rPr>
      </w:pPr>
      <w:r>
        <w:rPr>
          <w:rFonts w:ascii="Arial" w:cs="Arial" w:eastAsia="Arial" w:hAnsi="Arial"/>
          <w:sz w:val="34"/>
          <w:szCs w:val="34"/>
          <w:b w:val="1"/>
          <w:bCs w:val="1"/>
          <w:color w:val="auto"/>
        </w:rPr>
        <w:t>11</w:t>
      </w:r>
    </w:p>
    <w:p>
      <w:pPr>
        <w:spacing w:after="0" w:line="1" w:lineRule="exact"/>
        <w:rPr>
          <w:sz w:val="20"/>
          <w:szCs w:val="20"/>
          <w:color w:val="auto"/>
        </w:rPr>
      </w:pPr>
    </w:p>
    <w:p>
      <w:pPr>
        <w:ind w:left="1506"/>
        <w:spacing w:after="0"/>
        <w:rPr>
          <w:sz w:val="20"/>
          <w:szCs w:val="20"/>
          <w:color w:val="auto"/>
        </w:rPr>
      </w:pPr>
      <w:r>
        <w:rPr>
          <w:rFonts w:ascii="Arial" w:cs="Arial" w:eastAsia="Arial" w:hAnsi="Arial"/>
          <w:sz w:val="19"/>
          <w:szCs w:val="19"/>
          <w:color w:val="auto"/>
        </w:rPr>
        <w:t>7.49% *</w:t>
      </w:r>
    </w:p>
    <w:p>
      <w:pPr>
        <w:spacing w:after="0" w:line="83" w:lineRule="exact"/>
        <w:rPr>
          <w:sz w:val="20"/>
          <w:szCs w:val="20"/>
          <w:color w:val="auto"/>
        </w:rPr>
      </w:pPr>
    </w:p>
    <w:p>
      <w:pPr>
        <w:ind w:left="1506"/>
        <w:spacing w:after="0"/>
        <w:rPr>
          <w:sz w:val="20"/>
          <w:szCs w:val="20"/>
          <w:color w:val="auto"/>
        </w:rPr>
      </w:pPr>
      <w:r>
        <w:rPr>
          <w:rFonts w:ascii="Arial" w:cs="Arial" w:eastAsia="Arial" w:hAnsi="Arial"/>
          <w:sz w:val="19"/>
          <w:szCs w:val="19"/>
          <w:b w:val="1"/>
          <w:bCs w:val="1"/>
          <w:color w:val="auto"/>
        </w:rPr>
        <w:t>TYPE OF REPORTING PERSON (SEE INSTRUCTIONS)</w:t>
      </w:r>
    </w:p>
    <w:p>
      <w:pPr>
        <w:ind w:left="566"/>
        <w:spacing w:after="0" w:line="214" w:lineRule="auto"/>
        <w:rPr>
          <w:sz w:val="20"/>
          <w:szCs w:val="20"/>
          <w:color w:val="auto"/>
        </w:rPr>
      </w:pPr>
      <w:r>
        <w:rPr>
          <w:rFonts w:ascii="Arial" w:cs="Arial" w:eastAsia="Arial" w:hAnsi="Arial"/>
          <w:sz w:val="34"/>
          <w:szCs w:val="34"/>
          <w:b w:val="1"/>
          <w:bCs w:val="1"/>
          <w:color w:val="auto"/>
        </w:rPr>
        <w:t>12</w:t>
      </w:r>
    </w:p>
    <w:p>
      <w:pPr>
        <w:spacing w:after="0" w:line="1" w:lineRule="exact"/>
        <w:rPr>
          <w:sz w:val="20"/>
          <w:szCs w:val="20"/>
          <w:color w:val="auto"/>
        </w:rPr>
      </w:pPr>
    </w:p>
    <w:p>
      <w:pPr>
        <w:ind w:left="1506"/>
        <w:spacing w:after="0"/>
        <w:rPr>
          <w:sz w:val="20"/>
          <w:szCs w:val="20"/>
          <w:color w:val="auto"/>
        </w:rPr>
      </w:pPr>
      <w:r>
        <w:rPr>
          <w:rFonts w:ascii="Arial" w:cs="Arial" w:eastAsia="Arial" w:hAnsi="Arial"/>
          <w:sz w:val="19"/>
          <w:szCs w:val="19"/>
          <w:color w:val="auto"/>
        </w:rPr>
        <w:t>CO</w:t>
      </w:r>
    </w:p>
    <w:p>
      <w:pPr>
        <w:spacing w:after="0" w:line="293" w:lineRule="exact"/>
        <w:rPr>
          <w:sz w:val="20"/>
          <w:szCs w:val="20"/>
          <w:color w:val="auto"/>
        </w:rPr>
      </w:pPr>
    </w:p>
    <w:p>
      <w:pPr>
        <w:ind w:left="5326" w:right="4060" w:hanging="5326"/>
        <w:spacing w:after="0" w:line="479" w:lineRule="auto"/>
        <w:tabs>
          <w:tab w:leader="none" w:pos="135" w:val="left"/>
        </w:tabs>
        <w:numPr>
          <w:ilvl w:val="0"/>
          <w:numId w:val="3"/>
        </w:numPr>
        <w:rPr>
          <w:rFonts w:ascii="Arial" w:cs="Arial" w:eastAsia="Arial" w:hAnsi="Arial"/>
          <w:sz w:val="19"/>
          <w:szCs w:val="19"/>
          <w:color w:val="auto"/>
        </w:rPr>
      </w:pPr>
      <w:r>
        <w:rPr>
          <w:rFonts w:ascii="Arial" w:cs="Arial" w:eastAsia="Arial" w:hAnsi="Arial"/>
          <w:sz w:val="19"/>
          <w:szCs w:val="19"/>
          <w:color w:val="auto"/>
        </w:rPr>
        <w:t>Based on 34,837,914 Ordinary Shares outstanding as of December 31, 2018, as provided by the issuer. 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625080"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6"/>
          </w:cols>
          <w:pgMar w:left="114" w:top="264" w:right="120" w:bottom="1440" w:gutter="0" w:footer="0" w:header="0"/>
        </w:sectPr>
      </w:pPr>
    </w:p>
    <w:bookmarkStart w:id="2" w:name="page3"/>
    <w:bookmarkEnd w:id="2"/>
    <w:p>
      <w:pPr>
        <w:ind w:left="6"/>
        <w:spacing w:after="0"/>
        <w:rPr>
          <w:sz w:val="20"/>
          <w:szCs w:val="20"/>
          <w:color w:val="auto"/>
        </w:rPr>
      </w:pPr>
      <w:r>
        <w:rPr>
          <w:rFonts w:ascii="Arial" w:cs="Arial" w:eastAsia="Arial" w:hAnsi="Arial"/>
          <w:sz w:val="19"/>
          <w:szCs w:val="19"/>
          <w:b w:val="1"/>
          <w:bCs w:val="1"/>
          <w:color w:val="auto"/>
        </w:rPr>
        <w:t>CUSIP NO. M6372Q113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7625080" cy="6819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5080" cy="6819265"/>
                    </a:xfrm>
                    <a:prstGeom prst="rect">
                      <a:avLst/>
                    </a:prstGeom>
                    <a:noFill/>
                  </pic:spPr>
                </pic:pic>
              </a:graphicData>
            </a:graphic>
          </wp:anchor>
        </w:drawing>
      </w:r>
    </w:p>
    <w:p>
      <w:pPr>
        <w:spacing w:after="0" w:line="318" w:lineRule="exact"/>
        <w:rPr>
          <w:sz w:val="20"/>
          <w:szCs w:val="20"/>
          <w:color w:val="auto"/>
        </w:rPr>
      </w:pPr>
    </w:p>
    <w:p>
      <w:pPr>
        <w:ind w:left="1506"/>
        <w:spacing w:after="0"/>
        <w:rPr>
          <w:sz w:val="20"/>
          <w:szCs w:val="20"/>
          <w:color w:val="auto"/>
        </w:rPr>
      </w:pPr>
      <w:r>
        <w:rPr>
          <w:rFonts w:ascii="Arial" w:cs="Arial" w:eastAsia="Arial" w:hAnsi="Arial"/>
          <w:sz w:val="19"/>
          <w:szCs w:val="19"/>
          <w:b w:val="1"/>
          <w:bCs w:val="1"/>
          <w:color w:val="auto"/>
        </w:rPr>
        <w:t>NAMES OF REPORTING PERSONS/</w:t>
      </w:r>
    </w:p>
    <w:p>
      <w:pPr>
        <w:spacing w:after="0" w:line="67" w:lineRule="exact"/>
        <w:rPr>
          <w:sz w:val="20"/>
          <w:szCs w:val="20"/>
          <w:color w:val="auto"/>
        </w:rPr>
      </w:pPr>
    </w:p>
    <w:p>
      <w:pPr>
        <w:ind w:left="1506" w:right="4300" w:hanging="857"/>
        <w:spacing w:after="0" w:line="189" w:lineRule="auto"/>
        <w:tabs>
          <w:tab w:leader="none" w:pos="1497" w:val="left"/>
        </w:tabs>
        <w:numPr>
          <w:ilvl w:val="0"/>
          <w:numId w:val="4"/>
        </w:numPr>
        <w:rPr>
          <w:rFonts w:ascii="Arial" w:cs="Arial" w:eastAsia="Arial" w:hAnsi="Arial"/>
          <w:sz w:val="68"/>
          <w:szCs w:val="68"/>
          <w:b w:val="1"/>
          <w:bCs w:val="1"/>
          <w:color w:val="auto"/>
          <w:vertAlign w:val="subscript"/>
        </w:rPr>
      </w:pPr>
      <w:r>
        <w:rPr>
          <w:rFonts w:ascii="Arial" w:cs="Arial" w:eastAsia="Arial" w:hAnsi="Arial"/>
          <w:sz w:val="19"/>
          <w:szCs w:val="19"/>
          <w:b w:val="1"/>
          <w:bCs w:val="1"/>
          <w:color w:val="auto"/>
        </w:rPr>
        <w:t xml:space="preserve">I.R.S. IDENTIFICATION NOS. OF ABOVE PERSONS (ENTITIES ONLY) </w:t>
      </w:r>
      <w:r>
        <w:rPr>
          <w:rFonts w:ascii="Arial" w:cs="Arial" w:eastAsia="Arial" w:hAnsi="Arial"/>
          <w:sz w:val="19"/>
          <w:szCs w:val="19"/>
          <w:color w:val="auto"/>
        </w:rPr>
        <w:t>Eduardo Sergio Elsztain</w:t>
      </w:r>
    </w:p>
    <w:p>
      <w:pPr>
        <w:spacing w:after="0" w:line="78" w:lineRule="exact"/>
        <w:rPr>
          <w:sz w:val="20"/>
          <w:szCs w:val="20"/>
          <w:color w:val="auto"/>
        </w:rPr>
      </w:pPr>
    </w:p>
    <w:p>
      <w:pPr>
        <w:ind w:left="1506"/>
        <w:spacing w:after="0"/>
        <w:rPr>
          <w:sz w:val="20"/>
          <w:szCs w:val="20"/>
          <w:color w:val="auto"/>
        </w:rPr>
      </w:pPr>
      <w:r>
        <w:rPr>
          <w:rFonts w:ascii="Arial" w:cs="Arial" w:eastAsia="Arial" w:hAnsi="Arial"/>
          <w:sz w:val="19"/>
          <w:szCs w:val="19"/>
          <w:b w:val="1"/>
          <w:bCs w:val="1"/>
          <w:color w:val="auto"/>
        </w:rPr>
        <w:t>CHECK THE APPROPRIATE BOX IF A MEMBER OF A GROUP</w:t>
      </w:r>
    </w:p>
    <w:p>
      <w:pPr>
        <w:ind w:left="1506" w:hanging="857"/>
        <w:spacing w:after="0" w:line="195" w:lineRule="auto"/>
        <w:tabs>
          <w:tab w:leader="none" w:pos="1506" w:val="left"/>
        </w:tabs>
        <w:numPr>
          <w:ilvl w:val="0"/>
          <w:numId w:val="5"/>
        </w:numPr>
        <w:rPr>
          <w:rFonts w:ascii="Arial" w:cs="Arial" w:eastAsia="Arial" w:hAnsi="Arial"/>
          <w:sz w:val="34"/>
          <w:szCs w:val="34"/>
          <w:b w:val="1"/>
          <w:bCs w:val="1"/>
          <w:color w:val="auto"/>
        </w:rPr>
      </w:pPr>
      <w:r>
        <w:rPr>
          <w:rFonts w:ascii="Arial" w:cs="Arial" w:eastAsia="Arial" w:hAnsi="Arial"/>
          <w:sz w:val="19"/>
          <w:szCs w:val="19"/>
          <w:color w:val="auto"/>
        </w:rPr>
        <w:t>(a)â˜</w:t>
      </w:r>
    </w:p>
    <w:p>
      <w:pPr>
        <w:spacing w:after="0" w:line="60" w:lineRule="exact"/>
        <w:rPr>
          <w:rFonts w:ascii="Arial" w:cs="Arial" w:eastAsia="Arial" w:hAnsi="Arial"/>
          <w:sz w:val="34"/>
          <w:szCs w:val="34"/>
          <w:b w:val="1"/>
          <w:bCs w:val="1"/>
          <w:color w:val="auto"/>
        </w:rPr>
      </w:pPr>
    </w:p>
    <w:p>
      <w:pPr>
        <w:ind w:left="1506"/>
        <w:spacing w:after="0"/>
        <w:rPr>
          <w:rFonts w:ascii="Arial" w:cs="Arial" w:eastAsia="Arial" w:hAnsi="Arial"/>
          <w:sz w:val="34"/>
          <w:szCs w:val="34"/>
          <w:b w:val="1"/>
          <w:bCs w:val="1"/>
          <w:color w:val="auto"/>
        </w:rPr>
      </w:pPr>
      <w:r>
        <w:rPr>
          <w:rFonts w:ascii="Arial" w:cs="Arial" w:eastAsia="Arial" w:hAnsi="Arial"/>
          <w:sz w:val="19"/>
          <w:szCs w:val="19"/>
          <w:color w:val="auto"/>
        </w:rPr>
        <w:t>(b)â˜</w:t>
      </w:r>
    </w:p>
    <w:p>
      <w:pPr>
        <w:spacing w:after="0" w:line="54" w:lineRule="exact"/>
        <w:rPr>
          <w:rFonts w:ascii="Arial" w:cs="Arial" w:eastAsia="Arial" w:hAnsi="Arial"/>
          <w:sz w:val="34"/>
          <w:szCs w:val="34"/>
          <w:b w:val="1"/>
          <w:bCs w:val="1"/>
          <w:color w:val="auto"/>
        </w:rPr>
      </w:pPr>
    </w:p>
    <w:p>
      <w:pPr>
        <w:ind w:left="1506"/>
        <w:spacing w:after="0"/>
        <w:rPr>
          <w:rFonts w:ascii="Arial" w:cs="Arial" w:eastAsia="Arial" w:hAnsi="Arial"/>
          <w:sz w:val="34"/>
          <w:szCs w:val="34"/>
          <w:b w:val="1"/>
          <w:bCs w:val="1"/>
          <w:color w:val="auto"/>
        </w:rPr>
      </w:pPr>
      <w:r>
        <w:rPr>
          <w:rFonts w:ascii="Arial" w:cs="Arial" w:eastAsia="Arial" w:hAnsi="Arial"/>
          <w:sz w:val="19"/>
          <w:szCs w:val="19"/>
          <w:b w:val="1"/>
          <w:bCs w:val="1"/>
          <w:color w:val="auto"/>
        </w:rPr>
        <w:t>SEC USE ONLY</w:t>
      </w:r>
    </w:p>
    <w:tbl>
      <w:tblPr>
        <w:tblLayout w:type="fixed"/>
        <w:tblInd w:w="6" w:type="dxa"/>
        <w:tblCellMar>
          <w:top w:w="0" w:type="dxa"/>
          <w:left w:w="0" w:type="dxa"/>
          <w:bottom w:w="0" w:type="dxa"/>
          <w:right w:w="0" w:type="dxa"/>
        </w:tblCellMar>
      </w:tblPr>
      <w:tr>
        <w:trPr>
          <w:trHeight w:val="63"/>
        </w:trPr>
        <w:tc>
          <w:tcPr>
            <w:tcW w:w="2160" w:type="dxa"/>
            <w:vAlign w:val="bottom"/>
            <w:vMerge w:val="restart"/>
          </w:tcPr>
          <w:p>
            <w:pPr>
              <w:jc w:val="right"/>
              <w:ind w:right="1228"/>
              <w:spacing w:after="0" w:line="347" w:lineRule="exact"/>
              <w:rPr>
                <w:sz w:val="20"/>
                <w:szCs w:val="20"/>
                <w:color w:val="auto"/>
              </w:rPr>
            </w:pPr>
            <w:r>
              <w:rPr>
                <w:rFonts w:ascii="Arial" w:cs="Arial" w:eastAsia="Arial" w:hAnsi="Arial"/>
                <w:sz w:val="34"/>
                <w:szCs w:val="34"/>
                <w:b w:val="1"/>
                <w:bCs w:val="1"/>
                <w:color w:val="auto"/>
              </w:rPr>
              <w:t>3</w:t>
            </w:r>
          </w:p>
        </w:tc>
        <w:tc>
          <w:tcPr>
            <w:tcW w:w="700" w:type="dxa"/>
            <w:vAlign w:val="bottom"/>
          </w:tcPr>
          <w:p>
            <w:pPr>
              <w:spacing w:after="0"/>
              <w:rPr>
                <w:sz w:val="5"/>
                <w:szCs w:val="5"/>
                <w:color w:val="auto"/>
              </w:rPr>
            </w:pPr>
          </w:p>
        </w:tc>
        <w:tc>
          <w:tcPr>
            <w:tcW w:w="8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21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00" w:type="dxa"/>
            <w:vAlign w:val="bottom"/>
            <w:gridSpan w:val="6"/>
          </w:tcPr>
          <w:p>
            <w:pPr>
              <w:ind w:left="1500"/>
              <w:spacing w:after="0" w:line="194" w:lineRule="exact"/>
              <w:rPr>
                <w:sz w:val="20"/>
                <w:szCs w:val="20"/>
                <w:color w:val="auto"/>
              </w:rPr>
            </w:pPr>
            <w:r>
              <w:rPr>
                <w:rFonts w:ascii="Arial" w:cs="Arial" w:eastAsia="Arial" w:hAnsi="Arial"/>
                <w:sz w:val="19"/>
                <w:szCs w:val="19"/>
                <w:b w:val="1"/>
                <w:bCs w:val="1"/>
                <w:color w:val="auto"/>
              </w:rPr>
              <w:t>CITIZENSHIP OR PLACE OF ORGANIZATION</w:t>
            </w:r>
          </w:p>
        </w:tc>
        <w:tc>
          <w:tcPr>
            <w:tcW w:w="0" w:type="dxa"/>
            <w:vAlign w:val="bottom"/>
          </w:tcPr>
          <w:p>
            <w:pPr>
              <w:spacing w:after="0"/>
              <w:rPr>
                <w:sz w:val="1"/>
                <w:szCs w:val="1"/>
                <w:color w:val="auto"/>
              </w:rPr>
            </w:pPr>
          </w:p>
        </w:tc>
      </w:tr>
      <w:tr>
        <w:trPr>
          <w:trHeight w:val="357"/>
        </w:trPr>
        <w:tc>
          <w:tcPr>
            <w:tcW w:w="2160" w:type="dxa"/>
            <w:vAlign w:val="bottom"/>
          </w:tcPr>
          <w:p>
            <w:pPr>
              <w:jc w:val="right"/>
              <w:ind w:right="1228"/>
              <w:spacing w:after="0" w:line="356" w:lineRule="exact"/>
              <w:rPr>
                <w:sz w:val="20"/>
                <w:szCs w:val="20"/>
                <w:color w:val="auto"/>
              </w:rPr>
            </w:pPr>
            <w:r>
              <w:rPr>
                <w:rFonts w:ascii="Arial" w:cs="Arial" w:eastAsia="Arial" w:hAnsi="Arial"/>
                <w:sz w:val="34"/>
                <w:szCs w:val="34"/>
                <w:b w:val="1"/>
                <w:bCs w:val="1"/>
                <w:color w:val="auto"/>
              </w:rPr>
              <w:t>4</w:t>
            </w:r>
          </w:p>
        </w:tc>
        <w:tc>
          <w:tcPr>
            <w:tcW w:w="70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160" w:type="dxa"/>
            <w:vAlign w:val="bottom"/>
          </w:tcPr>
          <w:p>
            <w:pPr>
              <w:jc w:val="right"/>
              <w:ind w:right="128"/>
              <w:spacing w:after="0"/>
              <w:rPr>
                <w:sz w:val="20"/>
                <w:szCs w:val="20"/>
                <w:color w:val="auto"/>
              </w:rPr>
            </w:pPr>
            <w:r>
              <w:rPr>
                <w:rFonts w:ascii="Arial" w:cs="Arial" w:eastAsia="Arial" w:hAnsi="Arial"/>
                <w:sz w:val="19"/>
                <w:szCs w:val="19"/>
                <w:color w:val="auto"/>
              </w:rPr>
              <w:t>Israel</w:t>
            </w:r>
          </w:p>
        </w:tc>
        <w:tc>
          <w:tcPr>
            <w:tcW w:w="70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2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16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5</w:t>
            </w:r>
          </w:p>
        </w:tc>
        <w:tc>
          <w:tcPr>
            <w:tcW w:w="9140" w:type="dxa"/>
            <w:vAlign w:val="bottom"/>
            <w:gridSpan w:val="4"/>
          </w:tcPr>
          <w:p>
            <w:pPr>
              <w:ind w:left="2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374"/>
        </w:trPr>
        <w:tc>
          <w:tcPr>
            <w:tcW w:w="21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8900" w:type="dxa"/>
            <w:vAlign w:val="bottom"/>
            <w:vMerge w:val="restart"/>
          </w:tcPr>
          <w:p>
            <w:pPr>
              <w:ind w:left="40"/>
              <w:spacing w:after="0"/>
              <w:rPr>
                <w:sz w:val="20"/>
                <w:szCs w:val="20"/>
                <w:color w:val="auto"/>
              </w:rPr>
            </w:pPr>
            <w:r>
              <w:rPr>
                <w:rFonts w:ascii="Arial" w:cs="Arial" w:eastAsia="Arial" w:hAnsi="Arial"/>
                <w:sz w:val="19"/>
                <w:szCs w:val="19"/>
                <w:color w:val="auto"/>
              </w:rPr>
              <w:t>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16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160" w:type="dxa"/>
            <w:vAlign w:val="bottom"/>
            <w:tcBorders>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8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16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6</w:t>
            </w:r>
          </w:p>
        </w:tc>
        <w:tc>
          <w:tcPr>
            <w:tcW w:w="9140" w:type="dxa"/>
            <w:vAlign w:val="bottom"/>
            <w:gridSpan w:val="4"/>
          </w:tcPr>
          <w:p>
            <w:pPr>
              <w:ind w:left="2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259"/>
        </w:trPr>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9"/>
              </w:rPr>
              <w:t>NUMBER OF SHARES</w:t>
            </w:r>
          </w:p>
        </w:tc>
        <w:tc>
          <w:tcPr>
            <w:tcW w:w="700" w:type="dxa"/>
            <w:vAlign w:val="bottom"/>
            <w:tcBorders>
              <w:right w:val="single" w:sz="8" w:color="auto"/>
            </w:tcBorders>
            <w:vMerge w:val="continue"/>
          </w:tcPr>
          <w:p>
            <w:pPr>
              <w:spacing w:after="0"/>
              <w:rPr>
                <w:sz w:val="22"/>
                <w:szCs w:val="22"/>
                <w:color w:val="auto"/>
              </w:rPr>
            </w:pPr>
          </w:p>
        </w:tc>
        <w:tc>
          <w:tcPr>
            <w:tcW w:w="8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rPr>
              <w:t>BENEFICIALLY</w:t>
            </w:r>
          </w:p>
        </w:tc>
        <w:tc>
          <w:tcPr>
            <w:tcW w:w="700" w:type="dxa"/>
            <w:vAlign w:val="bottom"/>
            <w:tcBorders>
              <w:right w:val="single" w:sz="8" w:color="auto"/>
            </w:tcBorders>
          </w:tcPr>
          <w:p>
            <w:pPr>
              <w:spacing w:after="0"/>
              <w:rPr>
                <w:sz w:val="19"/>
                <w:szCs w:val="19"/>
                <w:color w:val="auto"/>
              </w:rPr>
            </w:pPr>
          </w:p>
        </w:tc>
        <w:tc>
          <w:tcPr>
            <w:tcW w:w="8900" w:type="dxa"/>
            <w:vAlign w:val="bottom"/>
          </w:tcPr>
          <w:p>
            <w:pPr>
              <w:ind w:left="40"/>
              <w:spacing w:after="0"/>
              <w:rPr>
                <w:sz w:val="20"/>
                <w:szCs w:val="20"/>
                <w:color w:val="auto"/>
              </w:rPr>
            </w:pPr>
            <w:r>
              <w:rPr>
                <w:rFonts w:ascii="Arial" w:cs="Arial" w:eastAsia="Arial" w:hAnsi="Arial"/>
                <w:sz w:val="19"/>
                <w:szCs w:val="19"/>
                <w:color w:val="auto"/>
              </w:rPr>
              <w:t>2,610,268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2160" w:type="dxa"/>
            <w:vAlign w:val="bottom"/>
            <w:tcBorders>
              <w:right w:val="single" w:sz="8" w:color="auto"/>
            </w:tcBorders>
            <w:vMerge w:val="restart"/>
          </w:tcPr>
          <w:p>
            <w:pPr>
              <w:jc w:val="center"/>
              <w:spacing w:after="0" w:line="208" w:lineRule="exact"/>
              <w:rPr>
                <w:sz w:val="20"/>
                <w:szCs w:val="20"/>
                <w:color w:val="auto"/>
              </w:rPr>
            </w:pPr>
            <w:r>
              <w:rPr>
                <w:rFonts w:ascii="Arial" w:cs="Arial" w:eastAsia="Arial" w:hAnsi="Arial"/>
                <w:sz w:val="19"/>
                <w:szCs w:val="19"/>
                <w:b w:val="1"/>
                <w:bCs w:val="1"/>
                <w:color w:val="auto"/>
              </w:rPr>
              <w:t>OWNED BY EACH</w:t>
            </w:r>
          </w:p>
        </w:tc>
        <w:tc>
          <w:tcPr>
            <w:tcW w:w="700" w:type="dxa"/>
            <w:vAlign w:val="bottom"/>
            <w:tcBorders>
              <w:bottom w:val="single" w:sz="8" w:color="auto"/>
              <w:right w:val="single" w:sz="8" w:color="auto"/>
            </w:tcBorders>
          </w:tcPr>
          <w:p>
            <w:pPr>
              <w:spacing w:after="0"/>
              <w:rPr>
                <w:sz w:val="9"/>
                <w:szCs w:val="9"/>
                <w:color w:val="auto"/>
              </w:rPr>
            </w:pPr>
          </w:p>
        </w:tc>
        <w:tc>
          <w:tcPr>
            <w:tcW w:w="89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16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9140" w:type="dxa"/>
            <w:vAlign w:val="bottom"/>
            <w:gridSpan w:val="4"/>
            <w:vMerge w:val="restart"/>
          </w:tcPr>
          <w:p>
            <w:pPr>
              <w:ind w:left="20"/>
              <w:spacing w:after="0"/>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176"/>
        </w:trPr>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b w:val="1"/>
                <w:bCs w:val="1"/>
                <w:color w:val="auto"/>
                <w:w w:val="99"/>
              </w:rPr>
              <w:t>REPORTING PERSON</w:t>
            </w:r>
          </w:p>
        </w:tc>
        <w:tc>
          <w:tcPr>
            <w:tcW w:w="70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7</w:t>
            </w:r>
          </w:p>
        </w:tc>
        <w:tc>
          <w:tcPr>
            <w:tcW w:w="91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160" w:type="dxa"/>
            <w:vAlign w:val="bottom"/>
            <w:tcBorders>
              <w:right w:val="single" w:sz="8" w:color="auto"/>
            </w:tcBorders>
            <w:vMerge w:val="continue"/>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8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rPr>
              <w:t>WITH</w:t>
            </w:r>
          </w:p>
        </w:tc>
        <w:tc>
          <w:tcPr>
            <w:tcW w:w="700" w:type="dxa"/>
            <w:vAlign w:val="bottom"/>
            <w:tcBorders>
              <w:right w:val="single" w:sz="8" w:color="auto"/>
            </w:tcBorders>
            <w:vMerge w:val="continue"/>
          </w:tcPr>
          <w:p>
            <w:pPr>
              <w:spacing w:after="0"/>
              <w:rPr>
                <w:sz w:val="24"/>
                <w:szCs w:val="24"/>
                <w:color w:val="auto"/>
              </w:rPr>
            </w:pPr>
          </w:p>
        </w:tc>
        <w:tc>
          <w:tcPr>
            <w:tcW w:w="8900" w:type="dxa"/>
            <w:vAlign w:val="bottom"/>
            <w:vMerge w:val="restart"/>
          </w:tcPr>
          <w:p>
            <w:pPr>
              <w:ind w:left="40"/>
              <w:spacing w:after="0"/>
              <w:rPr>
                <w:sz w:val="20"/>
                <w:szCs w:val="20"/>
                <w:color w:val="auto"/>
              </w:rPr>
            </w:pPr>
            <w:r>
              <w:rPr>
                <w:rFonts w:ascii="Arial" w:cs="Arial" w:eastAsia="Arial" w:hAnsi="Arial"/>
                <w:sz w:val="19"/>
                <w:szCs w:val="19"/>
                <w:color w:val="auto"/>
              </w:rPr>
              <w:t>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16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160" w:type="dxa"/>
            <w:vAlign w:val="bottom"/>
            <w:tcBorders>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8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16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8</w:t>
            </w:r>
          </w:p>
        </w:tc>
        <w:tc>
          <w:tcPr>
            <w:tcW w:w="9140" w:type="dxa"/>
            <w:vAlign w:val="bottom"/>
            <w:gridSpan w:val="4"/>
          </w:tcPr>
          <w:p>
            <w:pPr>
              <w:ind w:left="2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374"/>
        </w:trPr>
        <w:tc>
          <w:tcPr>
            <w:tcW w:w="21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8900" w:type="dxa"/>
            <w:vAlign w:val="bottom"/>
            <w:vMerge w:val="restart"/>
          </w:tcPr>
          <w:p>
            <w:pPr>
              <w:ind w:left="40"/>
              <w:spacing w:after="0"/>
              <w:rPr>
                <w:sz w:val="20"/>
                <w:szCs w:val="20"/>
                <w:color w:val="auto"/>
              </w:rPr>
            </w:pPr>
            <w:r>
              <w:rPr>
                <w:rFonts w:ascii="Arial" w:cs="Arial" w:eastAsia="Arial" w:hAnsi="Arial"/>
                <w:sz w:val="19"/>
                <w:szCs w:val="19"/>
                <w:color w:val="auto"/>
              </w:rPr>
              <w:t>2,610,268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16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16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8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506"/>
        <w:spacing w:after="0"/>
        <w:rPr>
          <w:sz w:val="20"/>
          <w:szCs w:val="20"/>
          <w:color w:val="auto"/>
        </w:rPr>
      </w:pPr>
      <w:r>
        <w:rPr>
          <w:rFonts w:ascii="Arial" w:cs="Arial" w:eastAsia="Arial" w:hAnsi="Arial"/>
          <w:sz w:val="19"/>
          <w:szCs w:val="19"/>
          <w:b w:val="1"/>
          <w:bCs w:val="1"/>
          <w:color w:val="auto"/>
        </w:rPr>
        <w:t>AGGREGATE AMOUNT BENEFICIALLY OWNED BY EACH REPORTING PERSON</w:t>
      </w:r>
    </w:p>
    <w:p>
      <w:pPr>
        <w:ind w:left="646"/>
        <w:spacing w:after="0" w:line="214" w:lineRule="auto"/>
        <w:rPr>
          <w:sz w:val="20"/>
          <w:szCs w:val="20"/>
          <w:color w:val="auto"/>
        </w:rPr>
      </w:pPr>
      <w:r>
        <w:rPr>
          <w:rFonts w:ascii="Arial" w:cs="Arial" w:eastAsia="Arial" w:hAnsi="Arial"/>
          <w:sz w:val="34"/>
          <w:szCs w:val="34"/>
          <w:b w:val="1"/>
          <w:bCs w:val="1"/>
          <w:color w:val="auto"/>
        </w:rPr>
        <w:t>9</w:t>
      </w:r>
    </w:p>
    <w:p>
      <w:pPr>
        <w:spacing w:after="0" w:line="1" w:lineRule="exact"/>
        <w:rPr>
          <w:sz w:val="20"/>
          <w:szCs w:val="20"/>
          <w:color w:val="auto"/>
        </w:rPr>
      </w:pPr>
    </w:p>
    <w:p>
      <w:pPr>
        <w:ind w:left="1506"/>
        <w:spacing w:after="0"/>
        <w:rPr>
          <w:sz w:val="20"/>
          <w:szCs w:val="20"/>
          <w:color w:val="auto"/>
        </w:rPr>
      </w:pPr>
      <w:r>
        <w:rPr>
          <w:rFonts w:ascii="Arial" w:cs="Arial" w:eastAsia="Arial" w:hAnsi="Arial"/>
          <w:sz w:val="19"/>
          <w:szCs w:val="19"/>
          <w:color w:val="auto"/>
        </w:rPr>
        <w:t>2,610,268 *</w:t>
      </w:r>
    </w:p>
    <w:p>
      <w:pPr>
        <w:spacing w:after="0" w:line="83" w:lineRule="exact"/>
        <w:rPr>
          <w:sz w:val="20"/>
          <w:szCs w:val="20"/>
          <w:color w:val="auto"/>
        </w:rPr>
      </w:pPr>
    </w:p>
    <w:p>
      <w:pPr>
        <w:ind w:left="1506"/>
        <w:spacing w:after="0"/>
        <w:rPr>
          <w:sz w:val="20"/>
          <w:szCs w:val="20"/>
          <w:color w:val="auto"/>
        </w:rPr>
      </w:pPr>
      <w:r>
        <w:rPr>
          <w:rFonts w:ascii="Arial" w:cs="Arial" w:eastAsia="Arial" w:hAnsi="Arial"/>
          <w:sz w:val="19"/>
          <w:szCs w:val="19"/>
          <w:b w:val="1"/>
          <w:bCs w:val="1"/>
          <w:color w:val="auto"/>
        </w:rPr>
        <w:t>CHECK IF THE AGGREGATE AMOUNT IN ROW (9) EXCLUDES CERTAIN SHARES (SEE INSTRUCTIONS)</w:t>
      </w:r>
    </w:p>
    <w:p>
      <w:pPr>
        <w:ind w:left="566"/>
        <w:spacing w:after="0" w:line="214" w:lineRule="auto"/>
        <w:rPr>
          <w:sz w:val="20"/>
          <w:szCs w:val="20"/>
          <w:color w:val="auto"/>
        </w:rPr>
      </w:pPr>
      <w:r>
        <w:rPr>
          <w:rFonts w:ascii="Arial" w:cs="Arial" w:eastAsia="Arial" w:hAnsi="Arial"/>
          <w:sz w:val="34"/>
          <w:szCs w:val="34"/>
          <w:b w:val="1"/>
          <w:bCs w:val="1"/>
          <w:color w:val="auto"/>
        </w:rPr>
        <w:t>10</w:t>
      </w:r>
    </w:p>
    <w:p>
      <w:pPr>
        <w:spacing w:after="0" w:line="1" w:lineRule="exact"/>
        <w:rPr>
          <w:sz w:val="20"/>
          <w:szCs w:val="20"/>
          <w:color w:val="auto"/>
        </w:rPr>
      </w:pPr>
    </w:p>
    <w:p>
      <w:pPr>
        <w:ind w:left="1506"/>
        <w:spacing w:after="0"/>
        <w:rPr>
          <w:sz w:val="20"/>
          <w:szCs w:val="20"/>
          <w:color w:val="auto"/>
        </w:rPr>
      </w:pPr>
      <w:r>
        <w:rPr>
          <w:rFonts w:ascii="Arial" w:cs="Arial" w:eastAsia="Arial" w:hAnsi="Arial"/>
          <w:sz w:val="19"/>
          <w:szCs w:val="19"/>
          <w:color w:val="auto"/>
        </w:rPr>
        <w:t>â˜</w:t>
      </w:r>
    </w:p>
    <w:p>
      <w:pPr>
        <w:spacing w:after="0" w:line="83" w:lineRule="exact"/>
        <w:rPr>
          <w:sz w:val="20"/>
          <w:szCs w:val="20"/>
          <w:color w:val="auto"/>
        </w:rPr>
      </w:pPr>
    </w:p>
    <w:p>
      <w:pPr>
        <w:ind w:left="1506"/>
        <w:spacing w:after="0"/>
        <w:rPr>
          <w:sz w:val="20"/>
          <w:szCs w:val="20"/>
          <w:color w:val="auto"/>
        </w:rPr>
      </w:pPr>
      <w:r>
        <w:rPr>
          <w:rFonts w:ascii="Arial" w:cs="Arial" w:eastAsia="Arial" w:hAnsi="Arial"/>
          <w:sz w:val="19"/>
          <w:szCs w:val="19"/>
          <w:b w:val="1"/>
          <w:bCs w:val="1"/>
          <w:color w:val="auto"/>
        </w:rPr>
        <w:t>PERCENT OF CLASS REPRESENTED BY AMOUNT IN ROW (9)</w:t>
      </w:r>
    </w:p>
    <w:p>
      <w:pPr>
        <w:ind w:left="566"/>
        <w:spacing w:after="0" w:line="214" w:lineRule="auto"/>
        <w:rPr>
          <w:sz w:val="20"/>
          <w:szCs w:val="20"/>
          <w:color w:val="auto"/>
        </w:rPr>
      </w:pPr>
      <w:r>
        <w:rPr>
          <w:rFonts w:ascii="Arial" w:cs="Arial" w:eastAsia="Arial" w:hAnsi="Arial"/>
          <w:sz w:val="34"/>
          <w:szCs w:val="34"/>
          <w:b w:val="1"/>
          <w:bCs w:val="1"/>
          <w:color w:val="auto"/>
        </w:rPr>
        <w:t>11</w:t>
      </w:r>
    </w:p>
    <w:p>
      <w:pPr>
        <w:spacing w:after="0" w:line="1" w:lineRule="exact"/>
        <w:rPr>
          <w:sz w:val="20"/>
          <w:szCs w:val="20"/>
          <w:color w:val="auto"/>
        </w:rPr>
      </w:pPr>
    </w:p>
    <w:p>
      <w:pPr>
        <w:ind w:left="1506"/>
        <w:spacing w:after="0"/>
        <w:rPr>
          <w:sz w:val="20"/>
          <w:szCs w:val="20"/>
          <w:color w:val="auto"/>
        </w:rPr>
      </w:pPr>
      <w:r>
        <w:rPr>
          <w:rFonts w:ascii="Arial" w:cs="Arial" w:eastAsia="Arial" w:hAnsi="Arial"/>
          <w:sz w:val="19"/>
          <w:szCs w:val="19"/>
          <w:color w:val="auto"/>
        </w:rPr>
        <w:t>7.49% **</w:t>
      </w:r>
    </w:p>
    <w:p>
      <w:pPr>
        <w:spacing w:after="0" w:line="83" w:lineRule="exact"/>
        <w:rPr>
          <w:sz w:val="20"/>
          <w:szCs w:val="20"/>
          <w:color w:val="auto"/>
        </w:rPr>
      </w:pPr>
    </w:p>
    <w:p>
      <w:pPr>
        <w:ind w:left="1506"/>
        <w:spacing w:after="0"/>
        <w:rPr>
          <w:sz w:val="20"/>
          <w:szCs w:val="20"/>
          <w:color w:val="auto"/>
        </w:rPr>
      </w:pPr>
      <w:r>
        <w:rPr>
          <w:rFonts w:ascii="Arial" w:cs="Arial" w:eastAsia="Arial" w:hAnsi="Arial"/>
          <w:sz w:val="19"/>
          <w:szCs w:val="19"/>
          <w:b w:val="1"/>
          <w:bCs w:val="1"/>
          <w:color w:val="auto"/>
        </w:rPr>
        <w:t>TYPE OF REPORTING PERSON (SEE INSTRUCTIONS)</w:t>
      </w:r>
    </w:p>
    <w:p>
      <w:pPr>
        <w:ind w:left="566"/>
        <w:spacing w:after="0" w:line="214" w:lineRule="auto"/>
        <w:rPr>
          <w:sz w:val="20"/>
          <w:szCs w:val="20"/>
          <w:color w:val="auto"/>
        </w:rPr>
      </w:pPr>
      <w:r>
        <w:rPr>
          <w:rFonts w:ascii="Arial" w:cs="Arial" w:eastAsia="Arial" w:hAnsi="Arial"/>
          <w:sz w:val="34"/>
          <w:szCs w:val="34"/>
          <w:b w:val="1"/>
          <w:bCs w:val="1"/>
          <w:color w:val="auto"/>
        </w:rPr>
        <w:t>12</w:t>
      </w:r>
    </w:p>
    <w:p>
      <w:pPr>
        <w:spacing w:after="0" w:line="1" w:lineRule="exact"/>
        <w:rPr>
          <w:sz w:val="20"/>
          <w:szCs w:val="20"/>
          <w:color w:val="auto"/>
        </w:rPr>
      </w:pPr>
    </w:p>
    <w:p>
      <w:pPr>
        <w:ind w:left="1506"/>
        <w:spacing w:after="0"/>
        <w:rPr>
          <w:sz w:val="20"/>
          <w:szCs w:val="20"/>
          <w:color w:val="auto"/>
        </w:rPr>
      </w:pPr>
      <w:r>
        <w:rPr>
          <w:rFonts w:ascii="Arial" w:cs="Arial" w:eastAsia="Arial" w:hAnsi="Arial"/>
          <w:sz w:val="19"/>
          <w:szCs w:val="19"/>
          <w:color w:val="auto"/>
        </w:rPr>
        <w:t>IN</w:t>
      </w:r>
    </w:p>
    <w:p>
      <w:pPr>
        <w:spacing w:after="0" w:line="293" w:lineRule="exact"/>
        <w:rPr>
          <w:sz w:val="20"/>
          <w:szCs w:val="20"/>
          <w:color w:val="auto"/>
        </w:rPr>
      </w:pPr>
    </w:p>
    <w:p>
      <w:pPr>
        <w:jc w:val="both"/>
        <w:ind w:left="6"/>
        <w:spacing w:after="0" w:line="298" w:lineRule="auto"/>
        <w:rPr>
          <w:sz w:val="20"/>
          <w:szCs w:val="20"/>
          <w:color w:val="auto"/>
        </w:rPr>
      </w:pPr>
      <w:r>
        <w:rPr>
          <w:rFonts w:ascii="Arial" w:cs="Arial" w:eastAsia="Arial" w:hAnsi="Arial"/>
          <w:sz w:val="17"/>
          <w:szCs w:val="17"/>
          <w:color w:val="auto"/>
        </w:rPr>
        <w:t>*See Item 4. The 2,610,268 Ordinary Shares consist of (i) 2,610,128 Ordinary Shares held directly by Clal Insurance Enterprises Holdings Ltd. ("CIEH" and the "</w:t>
      </w:r>
      <w:r>
        <w:rPr>
          <w:rFonts w:ascii="Arial" w:cs="Arial" w:eastAsia="Arial" w:hAnsi="Arial"/>
          <w:sz w:val="17"/>
          <w:szCs w:val="17"/>
          <w:b w:val="1"/>
          <w:bCs w:val="1"/>
          <w:color w:val="auto"/>
        </w:rPr>
        <w:t>CIEH Shares</w:t>
      </w:r>
      <w:r>
        <w:rPr>
          <w:rFonts w:ascii="Arial" w:cs="Arial" w:eastAsia="Arial" w:hAnsi="Arial"/>
          <w:sz w:val="17"/>
          <w:szCs w:val="17"/>
          <w:color w:val="auto"/>
        </w:rPr>
        <w:t>", respectively), an affiliate of IDB Development Corporation Ltd., an Israeli corporation, whose debentures are traded in the Tel Aviv Stock Exchange ("</w:t>
      </w:r>
      <w:r>
        <w:rPr>
          <w:rFonts w:ascii="Arial" w:cs="Arial" w:eastAsia="Arial" w:hAnsi="Arial"/>
          <w:sz w:val="17"/>
          <w:szCs w:val="17"/>
          <w:b w:val="1"/>
          <w:bCs w:val="1"/>
          <w:color w:val="auto"/>
        </w:rPr>
        <w:t>IDB Development</w:t>
      </w:r>
      <w:r>
        <w:rPr>
          <w:rFonts w:ascii="Arial" w:cs="Arial" w:eastAsia="Arial" w:hAnsi="Arial"/>
          <w:sz w:val="17"/>
          <w:szCs w:val="17"/>
          <w:color w:val="auto"/>
        </w:rPr>
        <w:t>"); and (ii) 140 Ordinary Shares held directly by Epsilon Investment House Ltd. ("</w:t>
      </w:r>
      <w:r>
        <w:rPr>
          <w:rFonts w:ascii="Arial" w:cs="Arial" w:eastAsia="Arial" w:hAnsi="Arial"/>
          <w:sz w:val="17"/>
          <w:szCs w:val="17"/>
          <w:b w:val="1"/>
          <w:bCs w:val="1"/>
          <w:color w:val="auto"/>
        </w:rPr>
        <w:t>Epsilon</w:t>
      </w:r>
      <w:r>
        <w:rPr>
          <w:rFonts w:ascii="Arial" w:cs="Arial" w:eastAsia="Arial" w:hAnsi="Arial"/>
          <w:sz w:val="17"/>
          <w:szCs w:val="17"/>
          <w:color w:val="auto"/>
        </w:rPr>
        <w:t>" and the â€œ</w:t>
      </w:r>
      <w:r>
        <w:rPr>
          <w:rFonts w:ascii="Arial" w:cs="Arial" w:eastAsia="Arial" w:hAnsi="Arial"/>
          <w:sz w:val="17"/>
          <w:szCs w:val="17"/>
          <w:b w:val="1"/>
          <w:bCs w:val="1"/>
          <w:color w:val="auto"/>
        </w:rPr>
        <w:t>Epsilon</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â€ , respectively), an indirect subsidiary of Discount Investment Corporation Ltd., an Israeli public corporation (â€œ</w:t>
      </w:r>
      <w:r>
        <w:rPr>
          <w:rFonts w:ascii="Arial" w:cs="Arial" w:eastAsia="Arial" w:hAnsi="Arial"/>
          <w:sz w:val="17"/>
          <w:szCs w:val="17"/>
          <w:b w:val="1"/>
          <w:bCs w:val="1"/>
          <w:color w:val="auto"/>
        </w:rPr>
        <w:t>Discount Investment</w:t>
      </w:r>
      <w:r>
        <w:rPr>
          <w:rFonts w:ascii="Arial" w:cs="Arial" w:eastAsia="Arial" w:hAnsi="Arial"/>
          <w:sz w:val="17"/>
          <w:szCs w:val="17"/>
          <w:color w:val="auto"/>
        </w:rPr>
        <w:t>â€ ).</w:t>
      </w:r>
    </w:p>
    <w:p>
      <w:pPr>
        <w:spacing w:after="0" w:line="170" w:lineRule="exact"/>
        <w:rPr>
          <w:sz w:val="20"/>
          <w:szCs w:val="20"/>
          <w:color w:val="auto"/>
        </w:rPr>
      </w:pPr>
    </w:p>
    <w:p>
      <w:pPr>
        <w:ind w:left="5326" w:right="3960" w:hanging="5326"/>
        <w:spacing w:after="0" w:line="792" w:lineRule="auto"/>
        <w:tabs>
          <w:tab w:leader="none" w:pos="230" w:val="left"/>
        </w:tabs>
        <w:numPr>
          <w:ilvl w:val="0"/>
          <w:numId w:val="6"/>
        </w:numPr>
        <w:rPr>
          <w:rFonts w:ascii="Arial" w:cs="Arial" w:eastAsia="Arial" w:hAnsi="Arial"/>
          <w:sz w:val="19"/>
          <w:szCs w:val="19"/>
          <w:color w:val="auto"/>
        </w:rPr>
      </w:pPr>
      <w:r>
        <w:rPr>
          <w:rFonts w:ascii="Arial" w:cs="Arial" w:eastAsia="Arial" w:hAnsi="Arial"/>
          <w:sz w:val="19"/>
          <w:szCs w:val="19"/>
          <w:color w:val="auto"/>
        </w:rPr>
        <w:t>Based on 34,837,914 Ordinary Shares outstanding as of December 31, 2018, as provided by the issuer. 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-281305</wp:posOffset>
            </wp:positionV>
            <wp:extent cx="7625080"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6"/>
          </w:cols>
          <w:pgMar w:left="114" w:top="264" w:right="120" w:bottom="941" w:gutter="0" w:footer="0" w:header="0"/>
        </w:sectPr>
      </w:pPr>
    </w:p>
    <w:bookmarkStart w:id="3" w:name="page4"/>
    <w:bookmarkEnd w:id="3"/>
    <w:p>
      <w:pPr>
        <w:ind w:left="6"/>
        <w:spacing w:after="0"/>
        <w:rPr>
          <w:sz w:val="20"/>
          <w:szCs w:val="20"/>
          <w:color w:val="auto"/>
        </w:rPr>
      </w:pPr>
      <w:r>
        <w:rPr>
          <w:rFonts w:ascii="Arial" w:cs="Arial" w:eastAsia="Arial" w:hAnsi="Arial"/>
          <w:sz w:val="19"/>
          <w:szCs w:val="19"/>
          <w:b w:val="1"/>
          <w:bCs w:val="1"/>
          <w:color w:val="auto"/>
        </w:rPr>
        <w:t>Item 1.</w:t>
      </w:r>
    </w:p>
    <w:p>
      <w:pPr>
        <w:spacing w:after="0" w:line="29" w:lineRule="exact"/>
        <w:rPr>
          <w:sz w:val="20"/>
          <w:szCs w:val="20"/>
          <w:color w:val="auto"/>
        </w:rPr>
      </w:pPr>
    </w:p>
    <w:p>
      <w:pPr>
        <w:ind w:left="806" w:hanging="407"/>
        <w:spacing w:after="0"/>
        <w:tabs>
          <w:tab w:leader="none" w:pos="806" w:val="left"/>
        </w:tabs>
        <w:numPr>
          <w:ilvl w:val="0"/>
          <w:numId w:val="7"/>
        </w:numPr>
        <w:rPr>
          <w:rFonts w:ascii="Arial" w:cs="Arial" w:eastAsia="Arial" w:hAnsi="Arial"/>
          <w:sz w:val="19"/>
          <w:szCs w:val="19"/>
          <w:color w:val="auto"/>
        </w:rPr>
      </w:pPr>
      <w:r>
        <w:rPr>
          <w:rFonts w:ascii="Arial" w:cs="Arial" w:eastAsia="Arial" w:hAnsi="Arial"/>
          <w:sz w:val="19"/>
          <w:szCs w:val="19"/>
          <w:color w:val="auto"/>
        </w:rPr>
        <w:t>Name of Issuer:  Kornit Digital Ltd. (the "Issuer").</w:t>
      </w:r>
    </w:p>
    <w:p>
      <w:pPr>
        <w:spacing w:after="0" w:line="281" w:lineRule="exact"/>
        <w:rPr>
          <w:rFonts w:ascii="Arial" w:cs="Arial" w:eastAsia="Arial" w:hAnsi="Arial"/>
          <w:sz w:val="19"/>
          <w:szCs w:val="19"/>
          <w:color w:val="auto"/>
        </w:rPr>
      </w:pPr>
    </w:p>
    <w:p>
      <w:pPr>
        <w:ind w:left="806" w:hanging="407"/>
        <w:spacing w:after="0"/>
        <w:tabs>
          <w:tab w:leader="none" w:pos="806" w:val="left"/>
        </w:tabs>
        <w:numPr>
          <w:ilvl w:val="0"/>
          <w:numId w:val="7"/>
        </w:numPr>
        <w:rPr>
          <w:rFonts w:ascii="Arial" w:cs="Arial" w:eastAsia="Arial" w:hAnsi="Arial"/>
          <w:sz w:val="19"/>
          <w:szCs w:val="19"/>
          <w:color w:val="auto"/>
        </w:rPr>
      </w:pPr>
      <w:r>
        <w:rPr>
          <w:rFonts w:ascii="Arial" w:cs="Arial" w:eastAsia="Arial" w:hAnsi="Arial"/>
          <w:sz w:val="19"/>
          <w:szCs w:val="19"/>
          <w:color w:val="auto"/>
        </w:rPr>
        <w:t>Address of Issuerâ€™s Principal Executive Offices:</w:t>
      </w:r>
    </w:p>
    <w:p>
      <w:pPr>
        <w:spacing w:after="0" w:line="295" w:lineRule="exact"/>
        <w:rPr>
          <w:sz w:val="20"/>
          <w:szCs w:val="20"/>
          <w:color w:val="auto"/>
        </w:rPr>
      </w:pPr>
    </w:p>
    <w:p>
      <w:pPr>
        <w:ind w:left="806"/>
        <w:spacing w:after="0"/>
        <w:rPr>
          <w:sz w:val="20"/>
          <w:szCs w:val="20"/>
          <w:color w:val="auto"/>
        </w:rPr>
      </w:pPr>
      <w:r>
        <w:rPr>
          <w:rFonts w:ascii="Arial" w:cs="Arial" w:eastAsia="Arial" w:hAnsi="Arial"/>
          <w:sz w:val="19"/>
          <w:szCs w:val="19"/>
          <w:color w:val="auto"/>
        </w:rPr>
        <w:t>12 Haâ€™Amal Street, Park Afek, Rosh Haâ€™Ayin 4824096, Israel</w:t>
      </w:r>
    </w:p>
    <w:p>
      <w:pPr>
        <w:spacing w:after="0" w:line="260"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2.</w:t>
      </w:r>
    </w:p>
    <w:p>
      <w:pPr>
        <w:spacing w:after="0" w:line="344" w:lineRule="exact"/>
        <w:rPr>
          <w:sz w:val="20"/>
          <w:szCs w:val="20"/>
          <w:color w:val="auto"/>
        </w:rPr>
      </w:pPr>
    </w:p>
    <w:p>
      <w:pPr>
        <w:ind w:left="786" w:hanging="786"/>
        <w:spacing w:after="0"/>
        <w:tabs>
          <w:tab w:leader="none" w:pos="786"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Name of Person Filings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6" w:hanging="666"/>
        <w:spacing w:after="0"/>
        <w:tabs>
          <w:tab w:leader="none" w:pos="666"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Address of Principal Business Offices or, if none, Residence</w:t>
      </w:r>
      <w:r>
        <w:rPr>
          <w:rFonts w:ascii="Arial" w:cs="Arial" w:eastAsia="Arial" w:hAnsi="Arial"/>
          <w:sz w:val="19"/>
          <w:szCs w:val="19"/>
          <w:color w:val="auto"/>
        </w:rPr>
        <w:t>:</w:t>
      </w:r>
    </w:p>
    <w:p>
      <w:pPr>
        <w:spacing w:after="0" w:line="294" w:lineRule="exact"/>
        <w:rPr>
          <w:rFonts w:ascii="Arial" w:cs="Arial" w:eastAsia="Arial" w:hAnsi="Arial"/>
          <w:sz w:val="19"/>
          <w:szCs w:val="19"/>
          <w:color w:val="auto"/>
        </w:rPr>
      </w:pPr>
    </w:p>
    <w:p>
      <w:pPr>
        <w:ind w:left="686"/>
        <w:spacing w:after="0"/>
        <w:rPr>
          <w:rFonts w:ascii="Arial" w:cs="Arial" w:eastAsia="Arial" w:hAnsi="Arial"/>
          <w:sz w:val="19"/>
          <w:szCs w:val="19"/>
          <w:color w:val="auto"/>
        </w:rPr>
      </w:pPr>
      <w:r>
        <w:rPr>
          <w:rFonts w:ascii="Arial" w:cs="Arial" w:eastAsia="Arial" w:hAnsi="Arial"/>
          <w:sz w:val="19"/>
          <w:szCs w:val="19"/>
          <w:color w:val="auto"/>
        </w:rPr>
        <w:t>Eduardo Sergio Elsztain - 108 Bolivar St. (C1006AAD) Ciudad AutÃ³noma de Buenos Aires, Argentina.</w:t>
      </w:r>
    </w:p>
    <w:p>
      <w:pPr>
        <w:spacing w:after="0" w:line="282" w:lineRule="exact"/>
        <w:rPr>
          <w:rFonts w:ascii="Arial" w:cs="Arial" w:eastAsia="Arial" w:hAnsi="Arial"/>
          <w:sz w:val="19"/>
          <w:szCs w:val="19"/>
          <w:color w:val="auto"/>
        </w:rPr>
      </w:pPr>
    </w:p>
    <w:p>
      <w:pPr>
        <w:ind w:left="666"/>
        <w:spacing w:after="0"/>
        <w:rPr>
          <w:rFonts w:ascii="Arial" w:cs="Arial" w:eastAsia="Arial" w:hAnsi="Arial"/>
          <w:sz w:val="19"/>
          <w:szCs w:val="19"/>
          <w:color w:val="auto"/>
        </w:rPr>
      </w:pPr>
      <w:r>
        <w:rPr>
          <w:rFonts w:ascii="Arial" w:cs="Arial" w:eastAsia="Arial" w:hAnsi="Arial"/>
          <w:sz w:val="19"/>
          <w:szCs w:val="19"/>
          <w:color w:val="auto"/>
        </w:rPr>
        <w:t>IDB Development Corporation Ltd. â€“ 3 Azrieli Center Triangular Tower 44</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floor, Tel Aviv 6602301, Israel</w:t>
      </w:r>
    </w:p>
    <w:p>
      <w:pPr>
        <w:spacing w:after="0" w:line="169" w:lineRule="exact"/>
        <w:rPr>
          <w:rFonts w:ascii="Arial" w:cs="Arial" w:eastAsia="Arial" w:hAnsi="Arial"/>
          <w:sz w:val="19"/>
          <w:szCs w:val="19"/>
          <w:color w:val="auto"/>
        </w:rPr>
      </w:pPr>
    </w:p>
    <w:p>
      <w:pPr>
        <w:ind w:left="686" w:right="8460" w:hanging="686"/>
        <w:spacing w:after="0" w:line="630" w:lineRule="auto"/>
        <w:tabs>
          <w:tab w:leader="none" w:pos="672"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Citizenship or Place of Incorporation</w:t>
      </w:r>
      <w:r>
        <w:rPr>
          <w:rFonts w:ascii="Arial" w:cs="Arial" w:eastAsia="Arial" w:hAnsi="Arial"/>
          <w:sz w:val="17"/>
          <w:szCs w:val="17"/>
          <w:color w:val="auto"/>
        </w:rPr>
        <w:t>: Mr. Elsztain - Argentina</w:t>
      </w:r>
    </w:p>
    <w:p>
      <w:pPr>
        <w:ind w:left="686"/>
        <w:spacing w:after="0"/>
        <w:rPr>
          <w:rFonts w:ascii="Arial" w:cs="Arial" w:eastAsia="Arial" w:hAnsi="Arial"/>
          <w:sz w:val="17"/>
          <w:szCs w:val="17"/>
          <w:color w:val="auto"/>
        </w:rPr>
      </w:pPr>
      <w:r>
        <w:rPr>
          <w:rFonts w:ascii="Arial" w:cs="Arial" w:eastAsia="Arial" w:hAnsi="Arial"/>
          <w:sz w:val="19"/>
          <w:szCs w:val="19"/>
          <w:color w:val="auto"/>
        </w:rPr>
        <w:t>IDB Development Corporation Ltd. â€“ Israel</w:t>
      </w:r>
    </w:p>
    <w:p>
      <w:pPr>
        <w:spacing w:after="0" w:line="294" w:lineRule="exact"/>
        <w:rPr>
          <w:rFonts w:ascii="Arial" w:cs="Arial" w:eastAsia="Arial" w:hAnsi="Arial"/>
          <w:sz w:val="17"/>
          <w:szCs w:val="17"/>
          <w:color w:val="auto"/>
        </w:rPr>
      </w:pPr>
    </w:p>
    <w:p>
      <w:pPr>
        <w:ind w:left="666" w:hanging="666"/>
        <w:spacing w:after="0"/>
        <w:tabs>
          <w:tab w:leader="none" w:pos="666"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Title of Class of Securities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86" w:right="10080" w:hanging="686"/>
        <w:spacing w:after="0" w:line="626" w:lineRule="auto"/>
        <w:tabs>
          <w:tab w:leader="none" w:pos="672"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CUSIP Number</w:t>
      </w:r>
      <w:r>
        <w:rPr>
          <w:rFonts w:ascii="Arial" w:cs="Arial" w:eastAsia="Arial" w:hAnsi="Arial"/>
          <w:sz w:val="17"/>
          <w:szCs w:val="17"/>
          <w:color w:val="auto"/>
        </w:rPr>
        <w:t>: M6372Q113</w:t>
      </w:r>
    </w:p>
    <w:p>
      <w:pPr>
        <w:spacing w:after="0" w:line="1"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3. If this statement is filed pursuant to Rules 13d-1(b), or 13d-2(b) or (c), check whether the person filing is a:</w:t>
      </w:r>
    </w:p>
    <w:p>
      <w:pPr>
        <w:spacing w:after="0" w:line="301" w:lineRule="exact"/>
        <w:rPr>
          <w:sz w:val="20"/>
          <w:szCs w:val="20"/>
          <w:color w:val="auto"/>
        </w:rPr>
      </w:pPr>
    </w:p>
    <w:p>
      <w:pPr>
        <w:ind w:left="686"/>
        <w:spacing w:after="0"/>
        <w:rPr>
          <w:sz w:val="20"/>
          <w:szCs w:val="20"/>
          <w:color w:val="auto"/>
        </w:rPr>
      </w:pPr>
      <w:r>
        <w:rPr>
          <w:rFonts w:ascii="Arial" w:cs="Arial" w:eastAsia="Arial" w:hAnsi="Arial"/>
          <w:sz w:val="19"/>
          <w:szCs w:val="19"/>
          <w:color w:val="auto"/>
        </w:rPr>
        <w:t>Not applicable.</w:t>
      </w:r>
    </w:p>
    <w:p>
      <w:pPr>
        <w:spacing w:after="0" w:line="289"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4. Ownership</w:t>
      </w:r>
    </w:p>
    <w:p>
      <w:pPr>
        <w:spacing w:after="0" w:line="301" w:lineRule="exact"/>
        <w:rPr>
          <w:sz w:val="20"/>
          <w:szCs w:val="20"/>
          <w:color w:val="auto"/>
        </w:rPr>
      </w:pPr>
    </w:p>
    <w:p>
      <w:pPr>
        <w:jc w:val="both"/>
        <w:ind w:left="6" w:firstLine="685"/>
        <w:spacing w:after="0" w:line="308" w:lineRule="auto"/>
        <w:rPr>
          <w:sz w:val="20"/>
          <w:szCs w:val="20"/>
          <w:color w:val="auto"/>
        </w:rPr>
      </w:pPr>
      <w:r>
        <w:rPr>
          <w:rFonts w:ascii="Arial" w:cs="Arial" w:eastAsia="Arial" w:hAnsi="Arial"/>
          <w:sz w:val="17"/>
          <w:szCs w:val="17"/>
          <w:color w:val="auto"/>
        </w:rPr>
        <w:t>Mr. Elsztain holds indirectly through companies in his control (i) 100% of the shares of IDB Development, and (ii) 78.22% of the shares of Discount Investment. IDB Development holds 25.3% of the shares of CIEH of which approximately 20.3% of the shares are held by a Trustee as described in the next paragraph. Discount Investment holds 100% of the shares of Koor Industries Ltd. which in turn holds 68.75% of the shares of Epsilon.</w:t>
      </w:r>
    </w:p>
    <w:p>
      <w:pPr>
        <w:spacing w:after="0" w:line="217" w:lineRule="exact"/>
        <w:rPr>
          <w:sz w:val="20"/>
          <w:szCs w:val="20"/>
          <w:color w:val="auto"/>
        </w:rPr>
      </w:pPr>
    </w:p>
    <w:p>
      <w:pPr>
        <w:jc w:val="both"/>
        <w:ind w:left="6" w:firstLine="685"/>
        <w:spacing w:after="0" w:line="277" w:lineRule="auto"/>
        <w:rPr>
          <w:sz w:val="20"/>
          <w:szCs w:val="20"/>
          <w:color w:val="auto"/>
        </w:rPr>
      </w:pPr>
      <w:r>
        <w:rPr>
          <w:rFonts w:ascii="Arial" w:cs="Arial" w:eastAsia="Arial" w:hAnsi="Arial"/>
          <w:sz w:val="18"/>
          <w:szCs w:val="18"/>
          <w:color w:val="auto"/>
        </w:rPr>
        <w:t>While Mr. Elsztain is the Reporting Person herein, Mr. Elsztain disclaims beneficial ownership of the Ordinary Shares reported as held by CIEH herein, primarily as a result of the following: On August 21, 2013, the Israeli Supervisor of Capital Markets, Insurance and Savings (the "Commissioner of Insurance") appointed Mr. Moshe Terry (the "Trustee") to hold, as trustee, IDB Development means of control in CIEH, including the voting power, except for 5% which remains held by IDB Development, and instructed IDB Development to dispose of its interest in CIEH.</w:t>
      </w:r>
    </w:p>
    <w:p>
      <w:pPr>
        <w:spacing w:after="0" w:line="242" w:lineRule="exact"/>
        <w:rPr>
          <w:sz w:val="20"/>
          <w:szCs w:val="20"/>
          <w:color w:val="auto"/>
        </w:rPr>
      </w:pPr>
    </w:p>
    <w:p>
      <w:pPr>
        <w:jc w:val="both"/>
        <w:ind w:left="6" w:firstLine="685"/>
        <w:spacing w:after="0" w:line="263" w:lineRule="auto"/>
        <w:rPr>
          <w:sz w:val="20"/>
          <w:szCs w:val="20"/>
          <w:color w:val="auto"/>
        </w:rPr>
      </w:pPr>
      <w:r>
        <w:rPr>
          <w:rFonts w:ascii="Arial" w:cs="Arial" w:eastAsia="Arial" w:hAnsi="Arial"/>
          <w:sz w:val="19"/>
          <w:szCs w:val="19"/>
          <w:color w:val="auto"/>
        </w:rPr>
        <w:t>All of the CIEH Shares are held for members of the public through, among others, provident funds and/or pension funds and/or insurance policies, which are managed by subsidiaries of CIEH. Consequently, this Statement shall not be construed as an admission by Mr. Elsztain that he is the beneficial owner of any Ordinary Shares held by CIEH covered by this Statement.</w:t>
      </w:r>
    </w:p>
    <w:p>
      <w:pPr>
        <w:spacing w:after="0" w:line="251" w:lineRule="exact"/>
        <w:rPr>
          <w:sz w:val="20"/>
          <w:szCs w:val="20"/>
          <w:color w:val="auto"/>
        </w:rPr>
      </w:pPr>
    </w:p>
    <w:p>
      <w:pPr>
        <w:jc w:val="both"/>
        <w:ind w:left="6" w:firstLine="746"/>
        <w:spacing w:after="0" w:line="274" w:lineRule="auto"/>
        <w:rPr>
          <w:sz w:val="20"/>
          <w:szCs w:val="20"/>
          <w:color w:val="auto"/>
        </w:rPr>
      </w:pPr>
      <w:r>
        <w:rPr>
          <w:rFonts w:ascii="Arial" w:cs="Arial" w:eastAsia="Arial" w:hAnsi="Arial"/>
          <w:sz w:val="18"/>
          <w:szCs w:val="18"/>
          <w:color w:val="auto"/>
        </w:rPr>
        <w:t>All of the Epsilon Shares are held by portfolio management and/or mutual funds, which are managed by Epsilon Investment House Ltd. and/or Epsilon Mutual Funds Management (1991) Ltd. for the accounts of third-party clients. Epsilon Investment House Ltd. and Epsilon Mutual Funds Management (1991) Ltd. each operates under independent management and makes independent investment decisions and has no voting power in the securities held in such client accounts. Consequently, this Statement shall not be construed as an admission by Mr. Elsztain that he is the beneficial owner of Ordinary Shares held by Epsilon covered by this Statement and disclaims beneficial ownership of such shares.</w:t>
      </w:r>
    </w:p>
    <w:p>
      <w:pPr>
        <w:spacing w:after="0" w:line="287" w:lineRule="exact"/>
        <w:rPr>
          <w:sz w:val="20"/>
          <w:szCs w:val="20"/>
          <w:color w:val="auto"/>
        </w:rPr>
      </w:pPr>
    </w:p>
    <w:p>
      <w:pPr>
        <w:ind w:left="1666" w:hanging="791"/>
        <w:spacing w:after="0"/>
        <w:tabs>
          <w:tab w:leader="none" w:pos="1666" w:val="left"/>
        </w:tabs>
        <w:numPr>
          <w:ilvl w:val="0"/>
          <w:numId w:val="11"/>
        </w:numPr>
        <w:rPr>
          <w:rFonts w:ascii="Arial" w:cs="Arial" w:eastAsia="Arial" w:hAnsi="Arial"/>
          <w:sz w:val="19"/>
          <w:szCs w:val="19"/>
          <w:b w:val="1"/>
          <w:bCs w:val="1"/>
          <w:color w:val="auto"/>
        </w:rPr>
      </w:pPr>
      <w:r>
        <w:rPr>
          <w:rFonts w:ascii="Arial" w:cs="Arial" w:eastAsia="Arial" w:hAnsi="Arial"/>
          <w:sz w:val="19"/>
          <w:szCs w:val="19"/>
          <w:color w:val="auto"/>
        </w:rPr>
        <w:t>Amount beneficially owned:  see row 9 of cover page of the reporting persons.</w:t>
      </w:r>
    </w:p>
    <w:p>
      <w:pPr>
        <w:sectPr>
          <w:pgSz w:w="12240" w:h="15840" w:orient="portrait"/>
          <w:cols w:equalWidth="0" w:num="1">
            <w:col w:w="12006"/>
          </w:cols>
          <w:pgMar w:left="114" w:top="236" w:right="120" w:bottom="0" w:gutter="0" w:footer="0" w:header="0"/>
        </w:sectPr>
      </w:pPr>
    </w:p>
    <w:bookmarkStart w:id="4" w:name="page5"/>
    <w:bookmarkEnd w:id="4"/>
    <w:p>
      <w:pPr>
        <w:ind w:left="4527" w:right="4020" w:hanging="4527"/>
        <w:spacing w:after="0" w:line="967" w:lineRule="auto"/>
        <w:tabs>
          <w:tab w:leader="none" w:pos="662"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Percent of class: see row 11 of cover page of the reporting persons Page 4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-316230</wp:posOffset>
            </wp:positionV>
            <wp:extent cx="7625080"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9887"/>
          </w:cols>
          <w:pgMar w:left="913" w:top="0" w:right="1440" w:bottom="1440" w:gutter="0" w:footer="0" w:header="0"/>
        </w:sectPr>
      </w:pPr>
    </w:p>
    <w:bookmarkStart w:id="5" w:name="page6"/>
    <w:bookmarkEnd w:id="5"/>
    <w:p>
      <w:pPr>
        <w:ind w:left="1460" w:hanging="667"/>
        <w:spacing w:after="0"/>
        <w:tabs>
          <w:tab w:leader="none" w:pos="14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223" w:lineRule="exact"/>
        <w:rPr>
          <w:rFonts w:ascii="Arial" w:cs="Arial" w:eastAsia="Arial" w:hAnsi="Arial"/>
          <w:sz w:val="19"/>
          <w:szCs w:val="19"/>
          <w:color w:val="auto"/>
        </w:rPr>
      </w:pPr>
    </w:p>
    <w:p>
      <w:pPr>
        <w:ind w:left="2000" w:hanging="537"/>
        <w:spacing w:after="0"/>
        <w:tabs>
          <w:tab w:leader="none" w:pos="2000" w:val="left"/>
        </w:tabs>
        <w:numPr>
          <w:ilvl w:val="1"/>
          <w:numId w:val="13"/>
        </w:numPr>
        <w:rPr>
          <w:rFonts w:ascii="Arial" w:cs="Arial" w:eastAsia="Arial" w:hAnsi="Arial"/>
          <w:sz w:val="19"/>
          <w:szCs w:val="19"/>
          <w:color w:val="auto"/>
        </w:rPr>
      </w:pPr>
      <w:r>
        <w:rPr>
          <w:rFonts w:ascii="Arial" w:cs="Arial" w:eastAsia="Arial" w:hAnsi="Arial"/>
          <w:sz w:val="19"/>
          <w:szCs w:val="19"/>
          <w:color w:val="auto"/>
        </w:rPr>
        <w:t>Sole power to vote or to direct the vote:  see row 5 of cover page of the reporting persons</w:t>
      </w:r>
    </w:p>
    <w:p>
      <w:pPr>
        <w:spacing w:after="0" w:line="294" w:lineRule="exact"/>
        <w:rPr>
          <w:rFonts w:ascii="Arial" w:cs="Arial" w:eastAsia="Arial" w:hAnsi="Arial"/>
          <w:sz w:val="19"/>
          <w:szCs w:val="19"/>
          <w:color w:val="auto"/>
        </w:rPr>
      </w:pPr>
    </w:p>
    <w:p>
      <w:pPr>
        <w:ind w:left="2000" w:hanging="537"/>
        <w:spacing w:after="0"/>
        <w:tabs>
          <w:tab w:leader="none" w:pos="2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see row 6 of cover page of the reporting persons and note in Item 4 above.</w:t>
      </w:r>
    </w:p>
    <w:p>
      <w:pPr>
        <w:spacing w:after="0" w:line="306" w:lineRule="exact"/>
        <w:rPr>
          <w:rFonts w:ascii="Arial" w:cs="Arial" w:eastAsia="Arial" w:hAnsi="Arial"/>
          <w:sz w:val="18"/>
          <w:szCs w:val="18"/>
          <w:color w:val="auto"/>
        </w:rPr>
      </w:pPr>
    </w:p>
    <w:p>
      <w:pPr>
        <w:ind w:left="2000" w:hanging="537"/>
        <w:spacing w:after="0"/>
        <w:tabs>
          <w:tab w:leader="none" w:pos="2000" w:val="left"/>
        </w:tabs>
        <w:numPr>
          <w:ilvl w:val="1"/>
          <w:numId w:val="13"/>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see row 7 of cover page of the reporting persons</w:t>
      </w:r>
    </w:p>
    <w:p>
      <w:pPr>
        <w:spacing w:after="0" w:line="294" w:lineRule="exact"/>
        <w:rPr>
          <w:rFonts w:ascii="Arial" w:cs="Arial" w:eastAsia="Arial" w:hAnsi="Arial"/>
          <w:sz w:val="19"/>
          <w:szCs w:val="19"/>
          <w:color w:val="auto"/>
        </w:rPr>
      </w:pPr>
    </w:p>
    <w:p>
      <w:pPr>
        <w:ind w:left="2000" w:hanging="537"/>
        <w:spacing w:after="0"/>
        <w:tabs>
          <w:tab w:leader="none" w:pos="20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Shared power to dispose or to direct the disposition of:  see row 8 of cover page of the reporting persons and note in Item 4 above</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Ownership of 5 Percent or Less of a Class</w:t>
      </w:r>
    </w:p>
    <w:p>
      <w:pPr>
        <w:spacing w:after="0" w:line="244" w:lineRule="exact"/>
        <w:rPr>
          <w:sz w:val="20"/>
          <w:szCs w:val="20"/>
          <w:color w:val="auto"/>
        </w:rPr>
      </w:pPr>
    </w:p>
    <w:p>
      <w:pPr>
        <w:ind w:left="680" w:right="80"/>
        <w:spacing w:after="0" w:line="275"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5 percent of the class of securities, check the following â˜ .</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Ownership of More than 5 Percent on Behalf of Another Person</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Not applicable.</w:t>
      </w:r>
    </w:p>
    <w:p>
      <w:pPr>
        <w:spacing w:after="0" w:line="289" w:lineRule="exact"/>
        <w:rPr>
          <w:sz w:val="20"/>
          <w:szCs w:val="20"/>
          <w:color w:val="auto"/>
        </w:rPr>
      </w:pPr>
    </w:p>
    <w:p>
      <w:pPr>
        <w:ind w:left="680" w:right="260" w:hanging="684"/>
        <w:spacing w:after="0" w:line="282" w:lineRule="auto"/>
        <w:rPr>
          <w:sz w:val="20"/>
          <w:szCs w:val="20"/>
          <w:color w:val="auto"/>
        </w:rPr>
      </w:pPr>
      <w:r>
        <w:rPr>
          <w:rFonts w:ascii="Arial" w:cs="Arial" w:eastAsia="Arial" w:hAnsi="Arial"/>
          <w:sz w:val="19"/>
          <w:szCs w:val="19"/>
          <w:b w:val="1"/>
          <w:bCs w:val="1"/>
          <w:color w:val="auto"/>
        </w:rPr>
        <w:t>Item 7. Identification and Classification of the Subsidiary Which Acquired the Security Being Reported on by the Parent Holding Company or Control Person</w:t>
      </w:r>
    </w:p>
    <w:p>
      <w:pPr>
        <w:spacing w:after="0" w:line="23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Clal Insurance Enterprises Holdings Ltd.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9"/>
          <w:szCs w:val="19"/>
          <w:color w:val="auto"/>
        </w:rPr>
        <w:t>Discount Investment Corporation Ltd.</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Koor Industries Ltd.</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Epsilon Investment House Ltd.</w:t>
      </w:r>
    </w:p>
    <w:p>
      <w:pPr>
        <w:spacing w:after="0" w:line="2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 Identification and Classification of Members of the Group</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Not applicable.</w:t>
      </w: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 Notice of Dissolution of Group</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Not applicable.</w:t>
      </w: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 Certifications</w:t>
      </w:r>
    </w:p>
    <w:p>
      <w:pPr>
        <w:spacing w:after="0" w:line="301" w:lineRule="exact"/>
        <w:rPr>
          <w:sz w:val="20"/>
          <w:szCs w:val="20"/>
          <w:color w:val="auto"/>
        </w:rPr>
      </w:pPr>
    </w:p>
    <w:p>
      <w:pPr>
        <w:ind w:left="680" w:right="140"/>
        <w:spacing w:after="0" w:line="263"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Page 5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625080"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1860"/>
          </w:cols>
          <w:pgMar w:left="120" w:top="0" w:right="260" w:bottom="1440" w:gutter="0" w:footer="0" w:header="0"/>
        </w:sectPr>
      </w:pPr>
    </w:p>
    <w:bookmarkStart w:id="6" w:name="page7"/>
    <w:bookmarkEnd w:id="6"/>
    <w:p>
      <w:pPr>
        <w:jc w:val="center"/>
        <w:spacing w:after="0"/>
        <w:rPr>
          <w:sz w:val="20"/>
          <w:szCs w:val="20"/>
          <w:color w:val="auto"/>
        </w:rPr>
      </w:pPr>
      <w:r>
        <w:rPr>
          <w:rFonts w:ascii="Arial" w:cs="Arial" w:eastAsia="Arial" w:hAnsi="Arial"/>
          <w:sz w:val="19"/>
          <w:szCs w:val="19"/>
          <w:b w:val="1"/>
          <w:bCs w:val="1"/>
          <w:color w:val="auto"/>
        </w:rPr>
        <w:t>SIGNATURES</w:t>
      </w:r>
    </w:p>
    <w:p>
      <w:pPr>
        <w:spacing w:after="0" w:line="301" w:lineRule="exact"/>
        <w:rPr>
          <w:sz w:val="20"/>
          <w:szCs w:val="20"/>
          <w:color w:val="auto"/>
        </w:rPr>
      </w:pPr>
    </w:p>
    <w:p>
      <w:pPr>
        <w:ind w:firstLine="342"/>
        <w:spacing w:after="0" w:line="275" w:lineRule="auto"/>
        <w:rPr>
          <w:sz w:val="20"/>
          <w:szCs w:val="20"/>
          <w:color w:val="auto"/>
        </w:rPr>
      </w:pPr>
      <w:r>
        <w:rPr>
          <w:rFonts w:ascii="Arial" w:cs="Arial" w:eastAsia="Arial" w:hAnsi="Arial"/>
          <w:sz w:val="19"/>
          <w:szCs w:val="19"/>
          <w:color w:val="auto"/>
        </w:rPr>
        <w:t>After reasonable inquiry and to the best of my knowledge and belief, I certify that the information set forth in this statement is true, complete and correct.</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February 14, 2019</w:t>
      </w:r>
    </w:p>
    <w:p>
      <w:pPr>
        <w:spacing w:after="0" w:line="295"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BY: IDB DEVELOPMENT CORPORATION</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LTD. for itself</w:t>
      </w:r>
    </w:p>
    <w:p>
      <w:pPr>
        <w:spacing w:after="0" w:line="10"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and on behalf of EDUARDO SERGIO ELSZTAIN</w:t>
      </w:r>
    </w:p>
    <w:p>
      <w:pPr>
        <w:spacing w:after="0" w:line="225"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i w:val="1"/>
          <w:iCs w:val="1"/>
          <w:color w:val="auto"/>
        </w:rPr>
        <w:t>/s/ Sholem Lapidot /s/ Aaron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15240</wp:posOffset>
            </wp:positionV>
            <wp:extent cx="2282190"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82190" cy="18415"/>
                    </a:xfrm>
                    <a:prstGeom prst="rect">
                      <a:avLst/>
                    </a:prstGeom>
                    <a:noFill/>
                  </pic:spPr>
                </pic:pic>
              </a:graphicData>
            </a:graphic>
          </wp:anchor>
        </w:drawing>
      </w:r>
    </w:p>
    <w:p>
      <w:pPr>
        <w:spacing w:after="0" w:line="18"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Sholem Lapidot and Aaron Kaufman,</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authorized signatories of  IDB</w:t>
      </w:r>
    </w:p>
    <w:p>
      <w:pPr>
        <w:spacing w:after="0" w:line="10"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DEVELOPMENT CORPORATION LTD., on</w:t>
      </w:r>
    </w:p>
    <w:p>
      <w:pPr>
        <w:spacing w:after="0" w:line="10"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behalf of Eduardo Sergio Elsztain, pursuant to</w:t>
      </w:r>
    </w:p>
    <w:p>
      <w:pPr>
        <w:spacing w:after="0" w:line="10"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an agreement annexed as Exhibit 1 to this</w:t>
      </w:r>
    </w:p>
    <w:p>
      <w:pPr>
        <w:spacing w:after="0" w:line="10"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Schedule 13G.</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6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625080"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264" w:right="12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7"/>
        </w:trPr>
        <w:tc>
          <w:tcPr>
            <w:tcW w:w="1280" w:type="dxa"/>
            <w:vAlign w:val="bottom"/>
          </w:tcPr>
          <w:p>
            <w:pPr>
              <w:spacing w:after="0"/>
              <w:rPr>
                <w:sz w:val="20"/>
                <w:szCs w:val="20"/>
                <w:color w:val="auto"/>
              </w:rPr>
            </w:pPr>
            <w:r>
              <w:rPr>
                <w:rFonts w:ascii="Arial" w:cs="Arial" w:eastAsia="Arial" w:hAnsi="Arial"/>
                <w:sz w:val="19"/>
                <w:szCs w:val="19"/>
                <w:b w:val="1"/>
                <w:bCs w:val="1"/>
                <w:color w:val="auto"/>
              </w:rPr>
              <w:t>EXHIBIT NO.</w:t>
            </w:r>
          </w:p>
        </w:tc>
        <w:tc>
          <w:tcPr>
            <w:tcW w:w="10720" w:type="dxa"/>
            <w:vAlign w:val="bottom"/>
          </w:tcPr>
          <w:p>
            <w:pPr>
              <w:ind w:left="140"/>
              <w:spacing w:after="0"/>
              <w:rPr>
                <w:sz w:val="20"/>
                <w:szCs w:val="20"/>
                <w:color w:val="auto"/>
              </w:rPr>
            </w:pPr>
            <w:r>
              <w:rPr>
                <w:rFonts w:ascii="Arial" w:cs="Arial" w:eastAsia="Arial" w:hAnsi="Arial"/>
                <w:sz w:val="19"/>
                <w:szCs w:val="19"/>
                <w:b w:val="1"/>
                <w:bCs w:val="1"/>
                <w:color w:val="auto"/>
              </w:rPr>
              <w:t>DESCRIPTION</w:t>
            </w:r>
          </w:p>
        </w:tc>
      </w:tr>
      <w:tr>
        <w:trPr>
          <w:trHeight w:val="514"/>
        </w:trPr>
        <w:tc>
          <w:tcPr>
            <w:tcW w:w="1280" w:type="dxa"/>
            <w:vAlign w:val="bottom"/>
          </w:tcPr>
          <w:p>
            <w:pPr>
              <w:spacing w:after="0"/>
              <w:rPr>
                <w:sz w:val="20"/>
                <w:szCs w:val="20"/>
                <w:color w:val="auto"/>
              </w:rPr>
            </w:pPr>
            <w:r>
              <w:rPr>
                <w:rFonts w:ascii="Arial" w:cs="Arial" w:eastAsia="Arial" w:hAnsi="Arial"/>
                <w:sz w:val="19"/>
                <w:szCs w:val="19"/>
                <w:color w:val="auto"/>
              </w:rPr>
              <w:t>Exhibit 1</w:t>
            </w:r>
          </w:p>
        </w:tc>
        <w:tc>
          <w:tcPr>
            <w:tcW w:w="10720" w:type="dxa"/>
            <w:vAlign w:val="bottom"/>
          </w:tcPr>
          <w:p>
            <w:pPr>
              <w:ind w:left="80"/>
              <w:spacing w:after="0"/>
              <w:rPr>
                <w:sz w:val="20"/>
                <w:szCs w:val="20"/>
                <w:color w:val="auto"/>
              </w:rPr>
            </w:pPr>
            <w:r>
              <w:rPr>
                <w:rFonts w:ascii="Arial" w:cs="Arial" w:eastAsia="Arial" w:hAnsi="Arial"/>
                <w:sz w:val="19"/>
                <w:szCs w:val="19"/>
                <w:color w:val="auto"/>
                <w:w w:val="94"/>
              </w:rPr>
              <w:t>Authorization letter dated February 14, 2019 authorizing IDB Development Corporation Ltd. to file this Statement on Schedule 13G on</w:t>
            </w:r>
          </w:p>
        </w:tc>
      </w:tr>
      <w:tr>
        <w:trPr>
          <w:trHeight w:val="241"/>
        </w:trPr>
        <w:tc>
          <w:tcPr>
            <w:tcW w:w="1280" w:type="dxa"/>
            <w:vAlign w:val="bottom"/>
          </w:tcPr>
          <w:p>
            <w:pPr>
              <w:spacing w:after="0"/>
              <w:rPr>
                <w:sz w:val="20"/>
                <w:szCs w:val="20"/>
                <w:color w:val="auto"/>
              </w:rPr>
            </w:pPr>
          </w:p>
        </w:tc>
        <w:tc>
          <w:tcPr>
            <w:tcW w:w="10720" w:type="dxa"/>
            <w:vAlign w:val="bottom"/>
          </w:tcPr>
          <w:p>
            <w:pPr>
              <w:ind w:left="80"/>
              <w:spacing w:after="0"/>
              <w:rPr>
                <w:sz w:val="20"/>
                <w:szCs w:val="20"/>
                <w:color w:val="auto"/>
              </w:rPr>
            </w:pPr>
            <w:r>
              <w:rPr>
                <w:rFonts w:ascii="Arial" w:cs="Arial" w:eastAsia="Arial" w:hAnsi="Arial"/>
                <w:sz w:val="19"/>
                <w:szCs w:val="19"/>
                <w:color w:val="auto"/>
              </w:rPr>
              <w:t>behalf of the Reporting Person.</w:t>
            </w:r>
          </w:p>
        </w:tc>
      </w:tr>
      <w:tr>
        <w:trPr>
          <w:trHeight w:val="456"/>
        </w:trPr>
        <w:tc>
          <w:tcPr>
            <w:tcW w:w="1280" w:type="dxa"/>
            <w:vAlign w:val="bottom"/>
          </w:tcPr>
          <w:p>
            <w:pPr>
              <w:spacing w:after="0"/>
              <w:rPr>
                <w:sz w:val="24"/>
                <w:szCs w:val="24"/>
                <w:color w:val="auto"/>
              </w:rPr>
            </w:pPr>
          </w:p>
        </w:tc>
        <w:tc>
          <w:tcPr>
            <w:tcW w:w="10720" w:type="dxa"/>
            <w:vAlign w:val="bottom"/>
          </w:tcPr>
          <w:p>
            <w:pPr>
              <w:ind w:left="4040"/>
              <w:spacing w:after="0"/>
              <w:rPr>
                <w:sz w:val="20"/>
                <w:szCs w:val="20"/>
                <w:color w:val="auto"/>
              </w:rPr>
            </w:pPr>
            <w:r>
              <w:rPr>
                <w:rFonts w:ascii="Arial" w:cs="Arial" w:eastAsia="Arial" w:hAnsi="Arial"/>
                <w:sz w:val="19"/>
                <w:szCs w:val="19"/>
                <w:color w:val="auto"/>
              </w:rPr>
              <w:t>Page 7 of 7 pages</w:t>
            </w:r>
          </w:p>
        </w:tc>
      </w:tr>
      <w:tr>
        <w:trPr>
          <w:trHeight w:val="115"/>
        </w:trPr>
        <w:tc>
          <w:tcPr>
            <w:tcW w:w="1280" w:type="dxa"/>
            <w:vAlign w:val="bottom"/>
            <w:tcBorders>
              <w:bottom w:val="single" w:sz="8" w:color="auto"/>
            </w:tcBorders>
          </w:tcPr>
          <w:p>
            <w:pPr>
              <w:spacing w:after="0"/>
              <w:rPr>
                <w:sz w:val="10"/>
                <w:szCs w:val="10"/>
                <w:color w:val="auto"/>
              </w:rPr>
            </w:pPr>
          </w:p>
        </w:tc>
        <w:tc>
          <w:tcPr>
            <w:tcW w:w="10720" w:type="dxa"/>
            <w:vAlign w:val="bottom"/>
            <w:tcBorders>
              <w:bottom w:val="single" w:sz="8" w:color="auto"/>
            </w:tcBorders>
          </w:tcPr>
          <w:p>
            <w:pPr>
              <w:spacing w:after="0"/>
              <w:rPr>
                <w:sz w:val="10"/>
                <w:szCs w:val="10"/>
                <w:color w:val="auto"/>
              </w:rPr>
            </w:pPr>
          </w:p>
        </w:tc>
      </w:tr>
      <w:tr>
        <w:trPr>
          <w:trHeight w:val="174"/>
        </w:trPr>
        <w:tc>
          <w:tcPr>
            <w:tcW w:w="1280" w:type="dxa"/>
            <w:vAlign w:val="bottom"/>
            <w:tcBorders>
              <w:bottom w:val="single" w:sz="8" w:color="auto"/>
            </w:tcBorders>
          </w:tcPr>
          <w:p>
            <w:pPr>
              <w:spacing w:after="0"/>
              <w:rPr>
                <w:sz w:val="15"/>
                <w:szCs w:val="15"/>
                <w:color w:val="auto"/>
              </w:rPr>
            </w:pPr>
          </w:p>
        </w:tc>
        <w:tc>
          <w:tcPr>
            <w:tcW w:w="10720" w:type="dxa"/>
            <w:vAlign w:val="bottom"/>
            <w:tcBorders>
              <w:bottom w:val="single" w:sz="8" w:color="auto"/>
            </w:tcBorders>
          </w:tcPr>
          <w:p>
            <w:pPr>
              <w:spacing w:after="0"/>
              <w:rPr>
                <w:sz w:val="15"/>
                <w:szCs w:val="15"/>
                <w:color w:val="auto"/>
              </w:rPr>
            </w:pPr>
          </w:p>
        </w:tc>
      </w:tr>
    </w:tbl>
    <w:p>
      <w:pPr>
        <w:sectPr>
          <w:pgSz w:w="12240" w:h="15840" w:orient="portrait"/>
          <w:cols w:equalWidth="0" w:num="1">
            <w:col w:w="12000"/>
          </w:cols>
          <w:pgMar w:left="120" w:top="307" w:right="120" w:bottom="1440" w:gutter="0" w:footer="0" w:header="0"/>
        </w:sectPr>
      </w:pPr>
    </w:p>
    <w:bookmarkStart w:id="8" w:name="page9"/>
    <w:bookmarkEnd w:id="8"/>
    <w:p>
      <w:pPr>
        <w:jc w:val="right"/>
        <w:spacing w:after="0"/>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72390</wp:posOffset>
            </wp:positionH>
            <wp:positionV relativeFrom="page">
              <wp:posOffset>0</wp:posOffset>
            </wp:positionV>
            <wp:extent cx="7625080" cy="36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5080" cy="3619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127000</wp:posOffset>
            </wp:positionV>
            <wp:extent cx="7625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5080" cy="8890"/>
                    </a:xfrm>
                    <a:prstGeom prst="rect">
                      <a:avLst/>
                    </a:prstGeom>
                    <a:noFill/>
                  </pic:spPr>
                </pic:pic>
              </a:graphicData>
            </a:graphic>
          </wp:anchor>
        </w:drawing>
        <w:t>EXHIBIT 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February 14, 2019</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IDB DEVELOPMENT CORPORATION LTD.</w:t>
      </w:r>
    </w:p>
    <w:p>
      <w:pPr>
        <w:spacing w:after="0" w:line="182" w:lineRule="auto"/>
        <w:rPr>
          <w:sz w:val="20"/>
          <w:szCs w:val="20"/>
          <w:color w:val="auto"/>
        </w:rPr>
      </w:pPr>
      <w:r>
        <w:rPr>
          <w:rFonts w:ascii="Arial" w:cs="Arial" w:eastAsia="Arial" w:hAnsi="Arial"/>
          <w:sz w:val="18"/>
          <w:szCs w:val="18"/>
          <w:color w:val="auto"/>
        </w:rPr>
        <w:t>3 Azrieli Center Triangular Tower 44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Tel Aviv 6602301</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Israel</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color w:val="auto"/>
        </w:rPr>
        <w:t>Gentlemen,</w:t>
      </w:r>
    </w:p>
    <w:p>
      <w:pPr>
        <w:spacing w:after="0" w:line="29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Pursuant to Rule 13d-1(k)(1)(iii) promulgated under the Securities Exchange Act of 1934, as amended, the undersigned hereby agrees that IDB DEVELOPMENT CORPORATION LTD.(â€œIDBâ€ ) may file as necessary on behalf of the undersigned with the Securities and Exchange Commission a Schedule 13G or Schedule 13D and any amendments thereto in respect of shares of KORNIT DIGITAL LTD. purchased, owned or sold from time to time by the undersigned.</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color w:val="auto"/>
        </w:rPr>
        <w:t>IDB is hereby authorized to file a copy of this letter as an exhibit to said Schedule 13D or Schedule 13G or any amendments thereto.</w:t>
      </w:r>
    </w:p>
    <w:p>
      <w:pPr>
        <w:spacing w:after="0" w:line="295"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Very truly yours,</w:t>
      </w:r>
    </w:p>
    <w:p>
      <w:pPr>
        <w:spacing w:after="0" w:line="238" w:lineRule="exact"/>
        <w:rPr>
          <w:sz w:val="20"/>
          <w:szCs w:val="20"/>
          <w:color w:val="auto"/>
        </w:rPr>
      </w:pPr>
    </w:p>
    <w:p>
      <w:pPr>
        <w:ind w:left="6000"/>
        <w:spacing w:after="0"/>
        <w:rPr>
          <w:sz w:val="20"/>
          <w:szCs w:val="20"/>
          <w:color w:val="auto"/>
        </w:rPr>
      </w:pPr>
      <w:r>
        <w:rPr>
          <w:rFonts w:ascii="Arial" w:cs="Arial" w:eastAsia="Arial" w:hAnsi="Arial"/>
          <w:sz w:val="19"/>
          <w:szCs w:val="19"/>
          <w:i w:val="1"/>
          <w:iCs w:val="1"/>
          <w:u w:val="single" w:color="auto"/>
          <w:color w:val="auto"/>
        </w:rPr>
        <w:t>/s/ Eduardo Sergio Elsztain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EDUARDO SERGIO ELSZTAIN</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color w:val="auto"/>
        </w:rPr>
        <w:t>Agreed:</w:t>
      </w:r>
    </w:p>
    <w:p>
      <w:pPr>
        <w:spacing w:after="0" w:line="295" w:lineRule="exact"/>
        <w:rPr>
          <w:sz w:val="20"/>
          <w:szCs w:val="20"/>
          <w:color w:val="auto"/>
        </w:rPr>
      </w:pPr>
    </w:p>
    <w:p>
      <w:pPr>
        <w:spacing w:after="0"/>
        <w:tabs>
          <w:tab w:leader="none" w:pos="2120" w:val="left"/>
        </w:tabs>
        <w:rPr>
          <w:sz w:val="20"/>
          <w:szCs w:val="20"/>
          <w:color w:val="auto"/>
        </w:rPr>
      </w:pPr>
      <w:r>
        <w:rPr>
          <w:rFonts w:ascii="Arial" w:cs="Arial" w:eastAsia="Arial" w:hAnsi="Arial"/>
          <w:sz w:val="19"/>
          <w:szCs w:val="19"/>
          <w:i w:val="1"/>
          <w:iCs w:val="1"/>
          <w:color w:val="auto"/>
        </w:rPr>
        <w:t>/s/ Sholem Lapidot</w:t>
      </w:r>
      <w:r>
        <w:rPr>
          <w:sz w:val="20"/>
          <w:szCs w:val="20"/>
          <w:color w:val="auto"/>
        </w:rPr>
        <w:tab/>
      </w:r>
      <w:r>
        <w:rPr>
          <w:rFonts w:ascii="Arial" w:cs="Arial" w:eastAsia="Arial" w:hAnsi="Arial"/>
          <w:sz w:val="17"/>
          <w:szCs w:val="17"/>
          <w:i w:val="1"/>
          <w:iCs w:val="1"/>
          <w:color w:val="auto"/>
        </w:rPr>
        <w:t>/s/ Aaron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22720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720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IDB DEVELOPMENT CORPORATION LTD.</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19"/>
          <w:szCs w:val="19"/>
          <w:color w:val="auto"/>
        </w:rPr>
        <w:t>By: Sholem Lapidot, Aaron Kaufman</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9"/>
          <w:szCs w:val="19"/>
          <w:color w:val="auto"/>
        </w:rPr>
        <w:t>Title: CEO; VP &amp;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260350</wp:posOffset>
            </wp:positionV>
            <wp:extent cx="7625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360045</wp:posOffset>
            </wp:positionV>
            <wp:extent cx="7625080" cy="36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25080" cy="36195"/>
                    </a:xfrm>
                    <a:prstGeom prst="rect">
                      <a:avLst/>
                    </a:prstGeom>
                    <a:noFill/>
                  </pic:spPr>
                </pic:pic>
              </a:graphicData>
            </a:graphic>
          </wp:anchor>
        </w:drawing>
      </w:r>
    </w:p>
    <w:sectPr>
      <w:pgSz w:w="12240" w:h="15840" w:orient="portrait"/>
      <w:cols w:equalWidth="0" w:num="1">
        <w:col w:w="12000"/>
      </w:cols>
      <w:pgMar w:left="120" w:top="313"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2019-12-15T17:47:49Z</dcterms:created>
  <dcterms:modified xsi:type="dcterms:W3CDTF">2019-12-15T17:47:49Z</dcterms:modified>
</cp:coreProperties>
</file>