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20"/>
          <w:szCs w:val="20"/>
          <w:b w:val="1"/>
          <w:bCs w:val="1"/>
          <w:color w:val="auto"/>
        </w:rPr>
        <w:t>Filed pursuant to Rule 424(b)(5)</w:t>
      </w:r>
    </w:p>
    <w:p>
      <w:pPr>
        <w:spacing w:after="0" w:line="8" w:lineRule="exact"/>
        <w:rPr>
          <w:sz w:val="24"/>
          <w:szCs w:val="24"/>
          <w:color w:val="auto"/>
        </w:rPr>
      </w:pPr>
    </w:p>
    <w:p>
      <w:pPr>
        <w:jc w:val="right"/>
        <w:ind w:right="459"/>
        <w:spacing w:after="0"/>
        <w:rPr>
          <w:sz w:val="20"/>
          <w:szCs w:val="20"/>
          <w:color w:val="auto"/>
        </w:rPr>
      </w:pPr>
      <w:r>
        <w:rPr>
          <w:rFonts w:ascii="Arial" w:cs="Arial" w:eastAsia="Arial" w:hAnsi="Arial"/>
          <w:sz w:val="20"/>
          <w:szCs w:val="20"/>
          <w:b w:val="1"/>
          <w:bCs w:val="1"/>
          <w:color w:val="auto"/>
        </w:rPr>
        <w:t>Registration No. 333-215404</w:t>
      </w:r>
    </w:p>
    <w:p>
      <w:pPr>
        <w:spacing w:after="0" w:line="72" w:lineRule="exact"/>
        <w:rPr>
          <w:sz w:val="24"/>
          <w:szCs w:val="24"/>
          <w:color w:val="auto"/>
        </w:rPr>
      </w:pPr>
    </w:p>
    <w:p>
      <w:pPr>
        <w:ind w:left="460"/>
        <w:spacing w:after="0"/>
        <w:rPr>
          <w:sz w:val="20"/>
          <w:szCs w:val="20"/>
          <w:color w:val="auto"/>
        </w:rPr>
      </w:pPr>
      <w:r>
        <w:rPr>
          <w:rFonts w:ascii="Arial" w:cs="Arial" w:eastAsia="Arial" w:hAnsi="Arial"/>
          <w:sz w:val="20"/>
          <w:szCs w:val="20"/>
          <w:b w:val="1"/>
          <w:bCs w:val="1"/>
          <w:color w:val="auto"/>
        </w:rPr>
        <w:t>Prospectus supplement</w:t>
      </w:r>
    </w:p>
    <w:p>
      <w:pPr>
        <w:spacing w:after="0" w:line="8" w:lineRule="exact"/>
        <w:rPr>
          <w:sz w:val="24"/>
          <w:szCs w:val="24"/>
          <w:color w:val="auto"/>
        </w:rPr>
      </w:pPr>
    </w:p>
    <w:p>
      <w:pPr>
        <w:ind w:left="460"/>
        <w:spacing w:after="0"/>
        <w:rPr>
          <w:sz w:val="20"/>
          <w:szCs w:val="20"/>
          <w:color w:val="auto"/>
        </w:rPr>
      </w:pPr>
      <w:r>
        <w:rPr>
          <w:rFonts w:ascii="Arial" w:cs="Arial" w:eastAsia="Arial" w:hAnsi="Arial"/>
          <w:sz w:val="20"/>
          <w:szCs w:val="20"/>
          <w:i w:val="1"/>
          <w:iCs w:val="1"/>
          <w:color w:val="auto"/>
        </w:rPr>
        <w:t>(To prospectus dated January 3, 2017)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7,500,000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1755775</wp:posOffset>
            </wp:positionH>
            <wp:positionV relativeFrom="paragraph">
              <wp:posOffset>31750</wp:posOffset>
            </wp:positionV>
            <wp:extent cx="2221230" cy="1372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Ordinary Shares</w:t>
      </w:r>
    </w:p>
    <w:p>
      <w:pPr>
        <w:spacing w:after="0" w:line="94" w:lineRule="exact"/>
        <w:rPr>
          <w:sz w:val="24"/>
          <w:szCs w:val="24"/>
          <w:color w:val="auto"/>
        </w:rPr>
      </w:pPr>
    </w:p>
    <w:p>
      <w:pPr>
        <w:ind w:left="3380"/>
        <w:spacing w:after="0"/>
        <w:rPr>
          <w:sz w:val="20"/>
          <w:szCs w:val="20"/>
          <w:color w:val="auto"/>
        </w:rPr>
      </w:pPr>
      <w:r>
        <w:rPr>
          <w:rFonts w:ascii="Arial" w:cs="Arial" w:eastAsia="Arial" w:hAnsi="Arial"/>
          <w:sz w:val="11"/>
          <w:szCs w:val="11"/>
          <w:color w:val="auto"/>
        </w:rPr>
        <w:t>__________________________________________</w:t>
      </w:r>
    </w:p>
    <w:p>
      <w:pPr>
        <w:spacing w:after="0" w:line="123" w:lineRule="exact"/>
        <w:rPr>
          <w:sz w:val="24"/>
          <w:szCs w:val="24"/>
          <w:color w:val="auto"/>
        </w:rPr>
      </w:pPr>
    </w:p>
    <w:p>
      <w:pPr>
        <w:jc w:val="both"/>
        <w:ind w:left="460" w:right="459" w:firstLine="432"/>
        <w:spacing w:after="0" w:line="246" w:lineRule="auto"/>
        <w:rPr>
          <w:sz w:val="20"/>
          <w:szCs w:val="20"/>
          <w:color w:val="auto"/>
        </w:rPr>
      </w:pPr>
      <w:r>
        <w:rPr>
          <w:rFonts w:ascii="Arial" w:cs="Arial" w:eastAsia="Arial" w:hAnsi="Arial"/>
          <w:sz w:val="19"/>
          <w:szCs w:val="19"/>
          <w:color w:val="auto"/>
        </w:rPr>
        <w:t>We are offering 2,000,000 ordinary shares and the selling shareholders identified in this prospectus supplement, including our chief executive officer, are offering an additional 5,500,000 ordinary shares. The ordinary shares being sold by our chief executive officer represent less than 10% of his shares and vested and unvested options. We will not receive any of the proceeds from the sale of shares being offered by the selling shareholders.</w:t>
      </w:r>
    </w:p>
    <w:p>
      <w:pPr>
        <w:spacing w:after="0" w:line="55" w:lineRule="exact"/>
        <w:rPr>
          <w:sz w:val="24"/>
          <w:szCs w:val="24"/>
          <w:color w:val="auto"/>
        </w:rPr>
      </w:pPr>
    </w:p>
    <w:p>
      <w:pPr>
        <w:jc w:val="both"/>
        <w:ind w:left="460" w:right="459" w:firstLine="432"/>
        <w:spacing w:after="0" w:line="237" w:lineRule="auto"/>
        <w:rPr>
          <w:sz w:val="20"/>
          <w:szCs w:val="20"/>
          <w:color w:val="auto"/>
        </w:rPr>
      </w:pPr>
      <w:r>
        <w:rPr>
          <w:rFonts w:ascii="Arial" w:cs="Arial" w:eastAsia="Arial" w:hAnsi="Arial"/>
          <w:sz w:val="20"/>
          <w:szCs w:val="20"/>
          <w:color w:val="auto"/>
        </w:rPr>
        <w:t>Our ordinary shares are listed on the NASDAQ Global Select Market under the symbol “KRNT.” On January 25, 2017, the last reported sales price of our ordinary shares was $17.35 per share.</w:t>
      </w:r>
    </w:p>
    <w:p>
      <w:pPr>
        <w:spacing w:after="0" w:line="28" w:lineRule="exact"/>
        <w:rPr>
          <w:sz w:val="24"/>
          <w:szCs w:val="24"/>
          <w:color w:val="auto"/>
        </w:rPr>
      </w:pPr>
    </w:p>
    <w:tbl>
      <w:tblPr>
        <w:tblLayout w:type="fixed"/>
        <w:tblInd w:w="460" w:type="dxa"/>
        <w:tblCellMar>
          <w:top w:w="0" w:type="dxa"/>
          <w:left w:w="0" w:type="dxa"/>
          <w:bottom w:w="0" w:type="dxa"/>
          <w:right w:w="0" w:type="dxa"/>
        </w:tblCellMar>
      </w:tblPr>
      <w:tr>
        <w:trPr>
          <w:trHeight w:val="136"/>
        </w:trPr>
        <w:tc>
          <w:tcPr>
            <w:tcW w:w="5460" w:type="dxa"/>
            <w:vAlign w:val="bottom"/>
          </w:tcPr>
          <w:p>
            <w:pPr>
              <w:ind w:left="2920"/>
              <w:spacing w:after="0"/>
              <w:rPr>
                <w:sz w:val="20"/>
                <w:szCs w:val="20"/>
                <w:color w:val="auto"/>
              </w:rPr>
            </w:pPr>
            <w:r>
              <w:rPr>
                <w:rFonts w:ascii="Arial" w:cs="Arial" w:eastAsia="Arial" w:hAnsi="Arial"/>
                <w:sz w:val="11"/>
                <w:szCs w:val="11"/>
                <w:color w:val="auto"/>
                <w:w w:val="98"/>
              </w:rPr>
              <w:t>__________________________________________</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468"/>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Per Share</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64"/>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123,750,000</w:t>
            </w:r>
          </w:p>
        </w:tc>
      </w:tr>
      <w:tr>
        <w:trPr>
          <w:trHeight w:val="270"/>
        </w:trPr>
        <w:tc>
          <w:tcPr>
            <w:tcW w:w="5460" w:type="dxa"/>
            <w:vAlign w:val="bottom"/>
          </w:tcPr>
          <w:p>
            <w:pPr>
              <w:spacing w:after="0"/>
              <w:rPr>
                <w:sz w:val="20"/>
                <w:szCs w:val="20"/>
                <w:color w:val="auto"/>
              </w:rPr>
            </w:pPr>
            <w:r>
              <w:rPr>
                <w:rFonts w:ascii="Arial" w:cs="Arial" w:eastAsia="Arial" w:hAnsi="Arial"/>
                <w:sz w:val="20"/>
                <w:szCs w:val="20"/>
                <w:color w:val="auto"/>
              </w:rPr>
              <w:t>Underwriting discounts and commissions</w:t>
            </w:r>
            <w:r>
              <w:rPr>
                <w:rFonts w:ascii="Arial" w:cs="Arial" w:eastAsia="Arial" w:hAnsi="Arial"/>
                <w:sz w:val="20"/>
                <w:szCs w:val="20"/>
                <w:color w:val="auto"/>
                <w:vertAlign w:val="superscript"/>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6,187,500</w:t>
            </w:r>
          </w:p>
        </w:tc>
      </w:tr>
      <w:tr>
        <w:trPr>
          <w:trHeight w:val="270"/>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Proceeds, before expenses, to us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31,350,000</w:t>
            </w:r>
          </w:p>
        </w:tc>
      </w:tr>
      <w:tr>
        <w:trPr>
          <w:trHeight w:val="250"/>
        </w:trPr>
        <w:tc>
          <w:tcPr>
            <w:tcW w:w="5460" w:type="dxa"/>
            <w:vAlign w:val="bottom"/>
          </w:tcPr>
          <w:p>
            <w:pPr>
              <w:spacing w:after="0"/>
              <w:rPr>
                <w:sz w:val="20"/>
                <w:szCs w:val="20"/>
                <w:color w:val="auto"/>
              </w:rPr>
            </w:pPr>
            <w:r>
              <w:rPr>
                <w:rFonts w:ascii="Arial" w:cs="Arial" w:eastAsia="Arial" w:hAnsi="Arial"/>
                <w:sz w:val="20"/>
                <w:szCs w:val="20"/>
                <w:color w:val="auto"/>
              </w:rPr>
              <w:t>Proceeds to the selling shareholders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86,212,500</w:t>
            </w:r>
          </w:p>
        </w:tc>
      </w:tr>
      <w:tr>
        <w:trPr>
          <w:trHeight w:val="248"/>
        </w:trPr>
        <w:tc>
          <w:tcPr>
            <w:tcW w:w="5460" w:type="dxa"/>
            <w:vAlign w:val="bottom"/>
          </w:tcPr>
          <w:p>
            <w:pPr>
              <w:spacing w:after="0"/>
              <w:rPr>
                <w:sz w:val="20"/>
                <w:szCs w:val="20"/>
                <w:color w:val="auto"/>
              </w:rPr>
            </w:pPr>
            <w:r>
              <w:rPr>
                <w:rFonts w:ascii="Arial" w:cs="Arial" w:eastAsia="Arial" w:hAnsi="Arial"/>
                <w:sz w:val="20"/>
                <w:szCs w:val="20"/>
                <w:color w:val="auto"/>
              </w:rPr>
              <w:t>____________</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ind w:left="460"/>
        <w:spacing w:after="0"/>
        <w:tabs>
          <w:tab w:leader="none" w:pos="860" w:val="left"/>
        </w:tabs>
        <w:rPr>
          <w:sz w:val="20"/>
          <w:szCs w:val="20"/>
          <w:color w:val="auto"/>
        </w:rPr>
      </w:pPr>
      <w:r>
        <w:rPr>
          <w:rFonts w:ascii="Arial" w:cs="Arial" w:eastAsia="Arial" w:hAnsi="Arial"/>
          <w:sz w:val="20"/>
          <w:szCs w:val="20"/>
          <w:color w:val="auto"/>
        </w:rPr>
        <w:t>(1)</w:t>
        <w:tab/>
        <w:t>See “Underwriting” for a description of the compensation payable to the underwriters.</w:t>
      </w:r>
    </w:p>
    <w:p>
      <w:pPr>
        <w:spacing w:after="0" w:line="65" w:lineRule="exact"/>
        <w:rPr>
          <w:sz w:val="24"/>
          <w:szCs w:val="24"/>
          <w:color w:val="auto"/>
        </w:rPr>
      </w:pPr>
    </w:p>
    <w:p>
      <w:pPr>
        <w:jc w:val="both"/>
        <w:ind w:left="460" w:right="459" w:firstLine="432"/>
        <w:spacing w:after="0" w:line="234" w:lineRule="auto"/>
        <w:rPr>
          <w:sz w:val="20"/>
          <w:szCs w:val="20"/>
          <w:color w:val="auto"/>
        </w:rPr>
      </w:pPr>
      <w:r>
        <w:rPr>
          <w:rFonts w:ascii="Arial" w:cs="Arial" w:eastAsia="Arial" w:hAnsi="Arial"/>
          <w:sz w:val="20"/>
          <w:szCs w:val="20"/>
          <w:color w:val="auto"/>
        </w:rPr>
        <w:t>The underwriters may also exercise their option to purchase up to an additional 300,000 ordinary shares from us and up to an additional 825,000 ordinary shares from one of the selling shareholders, in each case at the public offering price, less underwriting discounts and commissions, for 30 days after the date of this prospectus supplement.</w:t>
      </w:r>
    </w:p>
    <w:p>
      <w:pPr>
        <w:spacing w:after="0" w:line="38" w:lineRule="exact"/>
        <w:rPr>
          <w:sz w:val="24"/>
          <w:szCs w:val="24"/>
          <w:color w:val="auto"/>
        </w:rPr>
      </w:pPr>
    </w:p>
    <w:p>
      <w:pPr>
        <w:jc w:val="both"/>
        <w:ind w:left="460" w:right="459" w:firstLine="432"/>
        <w:spacing w:after="0" w:line="225" w:lineRule="auto"/>
        <w:rPr>
          <w:sz w:val="20"/>
          <w:szCs w:val="20"/>
          <w:color w:val="auto"/>
        </w:rPr>
      </w:pPr>
      <w:r>
        <w:rPr>
          <w:rFonts w:ascii="Arial" w:cs="Arial" w:eastAsia="Arial" w:hAnsi="Arial"/>
          <w:sz w:val="22"/>
          <w:szCs w:val="22"/>
          <w:b w:val="1"/>
          <w:bCs w:val="1"/>
          <w:color w:val="auto"/>
        </w:rPr>
        <w:t>We are an “emerging growth company” as defined under federal securities laws and, as such, may elect to comply with certain reduced public company reporting requirements.</w:t>
      </w:r>
    </w:p>
    <w:p>
      <w:pPr>
        <w:spacing w:after="0" w:line="31" w:lineRule="exact"/>
        <w:rPr>
          <w:sz w:val="24"/>
          <w:szCs w:val="24"/>
          <w:color w:val="auto"/>
        </w:rPr>
      </w:pPr>
    </w:p>
    <w:p>
      <w:pPr>
        <w:jc w:val="both"/>
        <w:ind w:left="460" w:right="459" w:firstLine="432"/>
        <w:spacing w:after="0" w:line="225" w:lineRule="auto"/>
        <w:rPr>
          <w:sz w:val="20"/>
          <w:szCs w:val="20"/>
          <w:color w:val="auto"/>
        </w:rPr>
      </w:pPr>
      <w:r>
        <w:rPr>
          <w:rFonts w:ascii="Arial" w:cs="Arial" w:eastAsia="Arial" w:hAnsi="Arial"/>
          <w:sz w:val="22"/>
          <w:szCs w:val="22"/>
          <w:b w:val="1"/>
          <w:bCs w:val="1"/>
          <w:color w:val="auto"/>
        </w:rPr>
        <w:t>Investing in our ordinary shares involves risks that are described in the “Risk Factors” section beginning on page S-14 of this prospectus supplement and in the documents incorporated by reference.</w:t>
      </w:r>
    </w:p>
    <w:p>
      <w:pPr>
        <w:spacing w:after="0" w:line="18" w:lineRule="exact"/>
        <w:rPr>
          <w:sz w:val="24"/>
          <w:szCs w:val="24"/>
          <w:color w:val="auto"/>
        </w:rPr>
      </w:pPr>
    </w:p>
    <w:p>
      <w:pPr>
        <w:jc w:val="both"/>
        <w:ind w:left="460" w:right="459" w:firstLine="432"/>
        <w:spacing w:after="0" w:line="217"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49" w:lineRule="exact"/>
        <w:rPr>
          <w:sz w:val="24"/>
          <w:szCs w:val="24"/>
          <w:color w:val="auto"/>
        </w:rPr>
      </w:pPr>
    </w:p>
    <w:p>
      <w:pPr>
        <w:ind w:left="3380"/>
        <w:spacing w:after="0"/>
        <w:rPr>
          <w:sz w:val="20"/>
          <w:szCs w:val="20"/>
          <w:color w:val="auto"/>
        </w:rPr>
      </w:pPr>
      <w:r>
        <w:rPr>
          <w:rFonts w:ascii="Arial" w:cs="Arial" w:eastAsia="Arial" w:hAnsi="Arial"/>
          <w:sz w:val="11"/>
          <w:szCs w:val="11"/>
          <w:color w:val="auto"/>
        </w:rPr>
        <w:t>__________________________________________</w:t>
      </w:r>
    </w:p>
    <w:p>
      <w:pPr>
        <w:spacing w:after="0" w:line="110" w:lineRule="exact"/>
        <w:rPr>
          <w:sz w:val="24"/>
          <w:szCs w:val="24"/>
          <w:color w:val="auto"/>
        </w:rPr>
      </w:pPr>
    </w:p>
    <w:p>
      <w:pPr>
        <w:jc w:val="both"/>
        <w:ind w:left="460" w:right="459" w:firstLine="432"/>
        <w:spacing w:after="0" w:line="246" w:lineRule="auto"/>
        <w:rPr>
          <w:sz w:val="20"/>
          <w:szCs w:val="20"/>
          <w:color w:val="auto"/>
        </w:rPr>
      </w:pPr>
      <w:r>
        <w:rPr>
          <w:rFonts w:ascii="Arial" w:cs="Arial" w:eastAsia="Arial" w:hAnsi="Arial"/>
          <w:sz w:val="20"/>
          <w:szCs w:val="20"/>
          <w:color w:val="auto"/>
        </w:rPr>
        <w:t>The underwriters expect to deliver the ordinary shares to purchasers on or about January 31, 2017.</w:t>
      </w:r>
    </w:p>
    <w:p>
      <w:pPr>
        <w:spacing w:after="0" w:line="49" w:lineRule="exact"/>
        <w:rPr>
          <w:sz w:val="24"/>
          <w:szCs w:val="24"/>
          <w:color w:val="auto"/>
        </w:rPr>
      </w:pPr>
    </w:p>
    <w:p>
      <w:pPr>
        <w:ind w:left="3380"/>
        <w:spacing w:after="0"/>
        <w:rPr>
          <w:sz w:val="20"/>
          <w:szCs w:val="20"/>
          <w:color w:val="auto"/>
        </w:rPr>
      </w:pPr>
      <w:r>
        <w:rPr>
          <w:rFonts w:ascii="Arial" w:cs="Arial" w:eastAsia="Arial" w:hAnsi="Arial"/>
          <w:sz w:val="11"/>
          <w:szCs w:val="11"/>
          <w:color w:val="auto"/>
        </w:rPr>
        <w:t>__________________________________________</w:t>
      </w:r>
    </w:p>
    <w:p>
      <w:pPr>
        <w:sectPr>
          <w:pgSz w:w="11900" w:h="16838" w:orient="portrait"/>
          <w:cols w:equalWidth="0" w:num="1">
            <w:col w:w="9019"/>
          </w:cols>
          <w:pgMar w:left="1440" w:top="400" w:right="1440" w:bottom="557" w:gutter="0" w:footer="0" w:header="0"/>
        </w:sectPr>
      </w:pPr>
    </w:p>
    <w:p>
      <w:pPr>
        <w:spacing w:after="0" w:line="211"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Citigroup</w:t>
      </w:r>
    </w:p>
    <w:p>
      <w:pPr>
        <w:spacing w:after="0" w:line="200" w:lineRule="exact"/>
        <w:rPr>
          <w:sz w:val="24"/>
          <w:szCs w:val="24"/>
          <w:color w:val="auto"/>
        </w:rPr>
      </w:pPr>
    </w:p>
    <w:p>
      <w:pPr>
        <w:sectPr>
          <w:pgSz w:w="11900" w:h="16838" w:orient="portrait"/>
          <w:cols w:equalWidth="0" w:num="2">
            <w:col w:w="6800" w:space="720"/>
            <w:col w:w="1499"/>
          </w:cols>
          <w:pgMar w:left="1440" w:top="400" w:right="1440" w:bottom="557" w:gutter="0" w:footer="0" w:header="0"/>
          <w:type w:val="continuous"/>
        </w:sectPr>
      </w:pPr>
    </w:p>
    <w:p>
      <w:pPr>
        <w:spacing w:after="0" w:line="71"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William Blair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Stifel</w:t>
      </w:r>
    </w:p>
    <w:p>
      <w:pPr>
        <w:spacing w:after="0" w:line="200" w:lineRule="exact"/>
        <w:rPr>
          <w:sz w:val="24"/>
          <w:szCs w:val="24"/>
          <w:color w:val="auto"/>
        </w:rPr>
      </w:pPr>
    </w:p>
    <w:p>
      <w:pPr>
        <w:sectPr>
          <w:pgSz w:w="11900" w:h="16838" w:orient="portrait"/>
          <w:cols w:equalWidth="0" w:num="2">
            <w:col w:w="7360" w:space="720"/>
            <w:col w:w="939"/>
          </w:cols>
          <w:pgMar w:left="1440" w:top="400" w:right="1440" w:bottom="557" w:gutter="0" w:footer="0" w:header="0"/>
          <w:type w:val="continuous"/>
        </w:sectPr>
      </w:pPr>
    </w:p>
    <w:p>
      <w:pPr>
        <w:spacing w:after="0" w:line="68"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Canaccord Genuity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Needham &amp; Company</w:t>
      </w:r>
    </w:p>
    <w:p>
      <w:pPr>
        <w:spacing w:after="0" w:line="200" w:lineRule="exact"/>
        <w:rPr>
          <w:sz w:val="24"/>
          <w:szCs w:val="24"/>
          <w:color w:val="auto"/>
        </w:rPr>
      </w:pPr>
    </w:p>
    <w:p>
      <w:pPr>
        <w:sectPr>
          <w:pgSz w:w="11900" w:h="16838" w:orient="portrait"/>
          <w:cols w:equalWidth="0" w:num="2">
            <w:col w:w="5780" w:space="720"/>
            <w:col w:w="2519"/>
          </w:cols>
          <w:pgMar w:left="1440" w:top="400" w:right="1440" w:bottom="557" w:gutter="0" w:footer="0" w:header="0"/>
          <w:type w:val="continuous"/>
        </w:sectPr>
      </w:pPr>
    </w:p>
    <w:p>
      <w:pPr>
        <w:spacing w:after="0" w:line="72" w:lineRule="exact"/>
        <w:rPr>
          <w:sz w:val="24"/>
          <w:szCs w:val="24"/>
          <w:color w:val="auto"/>
        </w:rPr>
      </w:pPr>
    </w:p>
    <w:p>
      <w:pPr>
        <w:ind w:left="3380"/>
        <w:spacing w:after="0"/>
        <w:rPr>
          <w:sz w:val="20"/>
          <w:szCs w:val="20"/>
          <w:color w:val="auto"/>
        </w:rPr>
      </w:pPr>
      <w:r>
        <w:rPr>
          <w:rFonts w:ascii="Arial" w:cs="Arial" w:eastAsia="Arial" w:hAnsi="Arial"/>
          <w:sz w:val="9"/>
          <w:szCs w:val="9"/>
          <w:color w:val="auto"/>
        </w:rPr>
        <w:t>__________________________________________</w:t>
      </w:r>
    </w:p>
    <w:p>
      <w:pPr>
        <w:sectPr>
          <w:pgSz w:w="11900" w:h="16838" w:orient="portrait"/>
          <w:cols w:equalWidth="0" w:num="1">
            <w:col w:w="9019"/>
          </w:cols>
          <w:pgMar w:left="1440" w:top="400" w:right="1440" w:bottom="557" w:gutter="0" w:footer="0" w:header="0"/>
          <w:type w:val="continuous"/>
        </w:sectPr>
      </w:pP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date of this Prospectus Supplement is January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280035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00" w:right="1440" w:bottom="557" w:gutter="0" w:footer="0" w:header="0"/>
          <w:type w:val="continuous"/>
        </w:sectPr>
      </w:pPr>
    </w:p>
    <w:bookmarkStart w:id="1" w:name="page2"/>
    <w:bookmarkEnd w:id="1"/>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Prospectus supplement</w:t>
            </w:r>
          </w:p>
        </w:tc>
        <w:tc>
          <w:tcPr>
            <w:tcW w:w="14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Prospectus supplement summary</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The offering</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Summary consolidated financial and other data</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Risk factors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Capitalization</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and selling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Industry</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Management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S-56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and Israeli tax consequences for our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Underwriting</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Experts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S-73</w:t>
            </w:r>
          </w:p>
        </w:tc>
        <w:tc>
          <w:tcPr>
            <w:tcW w:w="0" w:type="dxa"/>
            <w:vAlign w:val="bottom"/>
          </w:tcPr>
          <w:p>
            <w:pPr>
              <w:spacing w:after="0"/>
              <w:rPr>
                <w:sz w:val="1"/>
                <w:szCs w:val="1"/>
                <w:color w:val="auto"/>
              </w:rPr>
            </w:pPr>
          </w:p>
        </w:tc>
      </w:tr>
      <w:tr>
        <w:trPr>
          <w:trHeight w:val="804"/>
        </w:trPr>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Prospectus</w:t>
            </w:r>
          </w:p>
        </w:tc>
        <w:tc>
          <w:tcPr>
            <w:tcW w:w="140" w:type="dxa"/>
            <w:vAlign w:val="bottom"/>
          </w:tcPr>
          <w:p>
            <w:pPr>
              <w:spacing w:after="0"/>
              <w:rPr>
                <w:sz w:val="24"/>
                <w:szCs w:val="2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Kornit Digital Ltd.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Selling Shareholders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Rights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Units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Experts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we or the selling shareholders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9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The selling shareholders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1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09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8809355"/>
                    </a:xfrm>
                    <a:prstGeom prst="rect">
                      <a:avLst/>
                    </a:prstGeom>
                    <a:noFill/>
                  </pic:spPr>
                </pic:pic>
              </a:graphicData>
            </a:graphic>
          </wp:anchor>
        </w:drawing>
        <w:t>Prospectus supplement summary</w:t>
      </w:r>
    </w:p>
    <w:p>
      <w:pPr>
        <w:spacing w:after="0" w:line="148"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jc w:val="both"/>
        <w:ind w:left="560" w:right="539" w:firstLine="432"/>
        <w:spacing w:after="0" w:line="268"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18" w:lineRule="exact"/>
        <w:rPr>
          <w:sz w:val="20"/>
          <w:szCs w:val="20"/>
          <w:color w:val="auto"/>
        </w:rPr>
      </w:pPr>
    </w:p>
    <w:p>
      <w:pPr>
        <w:jc w:val="both"/>
        <w:ind w:left="560" w:right="539" w:firstLine="432"/>
        <w:spacing w:after="0" w:line="268" w:lineRule="auto"/>
        <w:rPr>
          <w:sz w:val="20"/>
          <w:szCs w:val="20"/>
          <w:color w:val="auto"/>
        </w:rPr>
      </w:pPr>
      <w:r>
        <w:rPr>
          <w:rFonts w:ascii="Arial" w:cs="Arial" w:eastAsia="Arial" w:hAnsi="Arial"/>
          <w:sz w:val="17"/>
          <w:szCs w:val="17"/>
          <w:color w:val="auto"/>
        </w:rPr>
        <w:t>There are a number of trends within the global printed textile industry that we believe are driving greater demand for our solutions. Consumers are continuing to seek to differentiate themselves by wearing customized and personalized garments with colorful and intricate images and designs. Consumers are also increasingly purchasing retail products online, with apparel representing the largest portion of this market.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As consumers increasingly shift to online retail channels, there is an increased need for brand owners and contract printers to improve efficiency, as consumers demand more varied product offerings and faster fulfillment of orders.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smaller quantities of customized products in a time efficient, cost-effective and environmentally friendly manner, effectively allowing them to transition from customary methods of supply and demand to demand and supply.</w:t>
      </w:r>
    </w:p>
    <w:p>
      <w:pPr>
        <w:spacing w:after="0" w:line="102"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32 to 250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as well as value added services aimed at optimizing the use of our systems.</w:t>
      </w:r>
    </w:p>
    <w:p>
      <w:pPr>
        <w:spacing w:after="0" w:line="107" w:lineRule="exact"/>
        <w:rPr>
          <w:sz w:val="20"/>
          <w:szCs w:val="20"/>
          <w:color w:val="auto"/>
        </w:rPr>
      </w:pPr>
    </w:p>
    <w:p>
      <w:pPr>
        <w:jc w:val="both"/>
        <w:ind w:left="560" w:right="539" w:firstLine="432"/>
        <w:spacing w:after="0" w:line="271" w:lineRule="auto"/>
        <w:rPr>
          <w:sz w:val="20"/>
          <w:szCs w:val="20"/>
          <w:color w:val="auto"/>
        </w:rPr>
      </w:pPr>
      <w:r>
        <w:rPr>
          <w:rFonts w:ascii="Arial" w:cs="Arial" w:eastAsia="Arial" w:hAnsi="Arial"/>
          <w:sz w:val="17"/>
          <w:szCs w:val="17"/>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It offers the first single-step, stand-alone R2R digital textile printing solution available on the market. We primarily market the Allegro to web-based businesses that require a high degree of variety and limited quantity orders, as well as to fabric</w:t>
      </w:r>
    </w:p>
    <w:p>
      <w:pPr>
        <w:sectPr>
          <w:pgSz w:w="11900" w:h="16838" w:orient="portrait"/>
          <w:cols w:equalWidth="0" w:num="1">
            <w:col w:w="9019"/>
          </w:cols>
          <w:pgMar w:left="1440" w:top="540" w:right="1440"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4" w:name="page5"/>
    <w:bookmarkEnd w:id="4"/>
    <w:p>
      <w:pPr>
        <w:jc w:val="both"/>
        <w:ind w:left="560" w:right="5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123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9850" cy="8123555"/>
                    </a:xfrm>
                    <a:prstGeom prst="rect">
                      <a:avLst/>
                    </a:prstGeom>
                    <a:noFill/>
                  </pic:spPr>
                </pic:pic>
              </a:graphicData>
            </a:graphic>
          </wp:anchor>
        </w:drawing>
        <w:t>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19" w:lineRule="exact"/>
        <w:rPr>
          <w:sz w:val="20"/>
          <w:szCs w:val="20"/>
          <w:color w:val="auto"/>
        </w:rPr>
      </w:pPr>
    </w:p>
    <w:p>
      <w:pPr>
        <w:jc w:val="both"/>
        <w:ind w:left="560" w:right="539" w:firstLine="432"/>
        <w:spacing w:after="0" w:line="273" w:lineRule="auto"/>
        <w:rPr>
          <w:sz w:val="20"/>
          <w:szCs w:val="20"/>
          <w:color w:val="auto"/>
        </w:rPr>
      </w:pPr>
      <w:r>
        <w:rPr>
          <w:rFonts w:ascii="Arial" w:cs="Arial" w:eastAsia="Arial" w:hAnsi="Arial"/>
          <w:sz w:val="17"/>
          <w:szCs w:val="17"/>
          <w:color w:val="auto"/>
        </w:rPr>
        <w:t>We were founded in 2002 in Israel, shipped our first system in 2005 and, as of September 30, 2016, had over 1,000 customers globally. As of December 31, 2016, we had 390 employees located across four regions: Israel, the United States, Europe and the Asia Pacific region. In the nine months ended September 30, 2016, we generated revenues of $76.7 million, representing an increase of 25.9% over the prior fiscal year. In the nine months ended September 30, 2016, we generated 69.4% of our revenues from the Americas, 20.5% from EMEA and 10.1% from the Asia Pacific region.</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Industry Overview</w:t>
      </w:r>
    </w:p>
    <w:p>
      <w:pPr>
        <w:spacing w:after="0" w:line="162" w:lineRule="exact"/>
        <w:rPr>
          <w:sz w:val="20"/>
          <w:szCs w:val="20"/>
          <w:color w:val="auto"/>
        </w:rPr>
      </w:pPr>
    </w:p>
    <w:p>
      <w:pPr>
        <w:jc w:val="both"/>
        <w:ind w:left="560" w:right="539" w:firstLine="432"/>
        <w:spacing w:after="0" w:line="272" w:lineRule="auto"/>
        <w:rPr>
          <w:sz w:val="20"/>
          <w:szCs w:val="20"/>
          <w:color w:val="auto"/>
        </w:rPr>
      </w:pPr>
      <w:r>
        <w:rPr>
          <w:rFonts w:ascii="Arial" w:cs="Arial" w:eastAsia="Arial" w:hAnsi="Arial"/>
          <w:sz w:val="17"/>
          <w:szCs w:val="17"/>
          <w:color w:val="auto"/>
        </w:rPr>
        <w:t>The global textile and garment industry, including textile, clothing, footwear and luxury fashion, was worth nearly $3 trillion in 2015 and is projected to grow between 2% and 5% annually through 2020, according to a 2016 Digital Textile Printing Industry Forecast 2015-2020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97" w:lineRule="exact"/>
        <w:rPr>
          <w:sz w:val="20"/>
          <w:szCs w:val="20"/>
          <w:color w:val="auto"/>
        </w:rPr>
      </w:pPr>
    </w:p>
    <w:p>
      <w:pPr>
        <w:jc w:val="both"/>
        <w:ind w:left="560" w:right="539" w:firstLine="432"/>
        <w:spacing w:after="0" w:line="269" w:lineRule="auto"/>
        <w:rPr>
          <w:sz w:val="20"/>
          <w:szCs w:val="20"/>
          <w:color w:val="auto"/>
        </w:rPr>
      </w:pPr>
      <w:r>
        <w:rPr>
          <w:rFonts w:ascii="Arial" w:cs="Arial" w:eastAsia="Arial" w:hAnsi="Arial"/>
          <w:sz w:val="17"/>
          <w:szCs w:val="17"/>
          <w:color w:val="auto"/>
        </w:rPr>
        <w:t>We believe that the vast majority of the output of the global printed textile industry in 2016, which was projected to be approximately 32 to 33 billion square meters, was produced using analog print methods, specifically screen printing, carousels for printing on garments and rotary screen printers for printing on rolls of fabric. Our assessment is based on data provided in a 2016 report by Smithers Pira, a provider of market intelligence on the printed textile industry. The Pira report provides digital printing output estimates for 2016 and projects the analog printing output for 2016 as well as the annual digital textile printing growth rate through 2021, which we used to calculate a projected digital output of approximately 870 million square meters for 2016, representing 2.9% of total projected annual global printed textile output in 2016. According to the Pira report, digital textile printing output is forecasted to grow at a 17.5% compound annual growth rate (“CAGR”) globally from 2016 to 2021. Within digital textile printing, clothing applications represent the greatest amount of digital printed textile output and are projected to grow at a faster rate than household, technical and display applications.</w:t>
      </w:r>
    </w:p>
    <w:p>
      <w:pPr>
        <w:spacing w:after="0" w:line="112" w:lineRule="exact"/>
        <w:rPr>
          <w:sz w:val="20"/>
          <w:szCs w:val="20"/>
          <w:color w:val="auto"/>
        </w:rPr>
      </w:pPr>
    </w:p>
    <w:p>
      <w:pPr>
        <w:jc w:val="both"/>
        <w:ind w:left="560" w:right="539" w:firstLine="432"/>
        <w:spacing w:after="0" w:line="264" w:lineRule="auto"/>
        <w:rPr>
          <w:sz w:val="20"/>
          <w:szCs w:val="20"/>
          <w:color w:val="auto"/>
        </w:rPr>
      </w:pPr>
      <w:r>
        <w:rPr>
          <w:rFonts w:ascii="Arial" w:cs="Arial" w:eastAsia="Arial" w:hAnsi="Arial"/>
          <w:sz w:val="18"/>
          <w:szCs w:val="18"/>
          <w:color w:val="auto"/>
        </w:rPr>
        <w:t>Evolving consumer behavior is driving the growth in digital printing as well as the shift to online retail. This behavior is motivated by increased demand for the variety and complexity of images and designs on textiles as well as increased desire for customization and personalization.</w:t>
      </w:r>
    </w:p>
    <w:p>
      <w:pPr>
        <w:spacing w:after="0" w:line="114" w:lineRule="exact"/>
        <w:rPr>
          <w:sz w:val="20"/>
          <w:szCs w:val="20"/>
          <w:color w:val="auto"/>
        </w:rPr>
      </w:pPr>
    </w:p>
    <w:p>
      <w:pPr>
        <w:jc w:val="both"/>
        <w:ind w:left="560" w:right="539" w:firstLine="432"/>
        <w:spacing w:after="0" w:line="264" w:lineRule="auto"/>
        <w:rPr>
          <w:sz w:val="20"/>
          <w:szCs w:val="20"/>
          <w:color w:val="auto"/>
        </w:rPr>
      </w:pPr>
      <w:r>
        <w:rPr>
          <w:rFonts w:ascii="Arial" w:cs="Arial" w:eastAsia="Arial" w:hAnsi="Arial"/>
          <w:sz w:val="18"/>
          <w:szCs w:val="18"/>
          <w:color w:val="auto"/>
        </w:rPr>
        <w:t>Apparel represents the largest segment of the online retail market and sales are highly influenced by rapidly changing consumer trends. We believe that four key trends are currently driving growth in both the online retail market and the demand for digital printing solutions:</w:t>
      </w:r>
    </w:p>
    <w:p>
      <w:pPr>
        <w:spacing w:after="0" w:line="100" w:lineRule="exact"/>
        <w:rPr>
          <w:sz w:val="20"/>
          <w:szCs w:val="20"/>
          <w:color w:val="auto"/>
        </w:rPr>
      </w:pPr>
    </w:p>
    <w:p>
      <w:pPr>
        <w:ind w:left="1400" w:hanging="416"/>
        <w:spacing w:after="0"/>
        <w:tabs>
          <w:tab w:leader="none" w:pos="140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Immediate Gratification.  </w:t>
      </w:r>
      <w:r>
        <w:rPr>
          <w:rFonts w:ascii="Arial" w:cs="Arial" w:eastAsia="Arial" w:hAnsi="Arial"/>
          <w:sz w:val="16"/>
          <w:szCs w:val="16"/>
          <w:color w:val="auto"/>
        </w:rPr>
        <w:t>Consumers are willing to pay more in order to receive products faster.</w:t>
      </w:r>
    </w:p>
    <w:p>
      <w:pPr>
        <w:spacing w:after="0" w:line="180" w:lineRule="exact"/>
        <w:rPr>
          <w:rFonts w:ascii="Arial" w:cs="Arial" w:eastAsia="Arial" w:hAnsi="Arial"/>
          <w:sz w:val="16"/>
          <w:szCs w:val="16"/>
          <w:i w:val="1"/>
          <w:iCs w:val="1"/>
          <w:color w:val="auto"/>
        </w:rPr>
      </w:pPr>
    </w:p>
    <w:p>
      <w:pPr>
        <w:jc w:val="both"/>
        <w:ind w:left="1420" w:right="539" w:hanging="436"/>
        <w:spacing w:after="0" w:line="264" w:lineRule="auto"/>
        <w:tabs>
          <w:tab w:leader="none" w:pos="1456"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Personal Expression. </w:t>
      </w:r>
      <w:r>
        <w:rPr>
          <w:rFonts w:ascii="Arial" w:cs="Arial" w:eastAsia="Arial" w:hAnsi="Arial"/>
          <w:sz w:val="18"/>
          <w:szCs w:val="18"/>
          <w:color w:val="auto"/>
        </w:rPr>
        <w:t>Consumers are increasingly seeking the ability to customize products by</w:t>
      </w:r>
      <w:r>
        <w:rPr>
          <w:rFonts w:ascii="Arial" w:cs="Arial" w:eastAsia="Arial" w:hAnsi="Arial"/>
          <w:sz w:val="18"/>
          <w:szCs w:val="18"/>
          <w:i w:val="1"/>
          <w:iCs w:val="1"/>
          <w:color w:val="auto"/>
        </w:rPr>
        <w:t xml:space="preserve"> </w:t>
      </w:r>
      <w:r>
        <w:rPr>
          <w:rFonts w:ascii="Arial" w:cs="Arial" w:eastAsia="Arial" w:hAnsi="Arial"/>
          <w:sz w:val="18"/>
          <w:szCs w:val="18"/>
          <w:color w:val="auto"/>
        </w:rPr>
        <w:t>choosing preferred features from a menu of options, or the ability to personalize products by adding an individualized pattern.</w:t>
      </w:r>
    </w:p>
    <w:p>
      <w:pPr>
        <w:spacing w:after="0" w:line="113" w:lineRule="exact"/>
        <w:rPr>
          <w:rFonts w:ascii="Arial" w:cs="Arial" w:eastAsia="Arial" w:hAnsi="Arial"/>
          <w:sz w:val="18"/>
          <w:szCs w:val="18"/>
          <w:i w:val="1"/>
          <w:iCs w:val="1"/>
          <w:color w:val="auto"/>
        </w:rPr>
      </w:pPr>
    </w:p>
    <w:p>
      <w:pPr>
        <w:ind w:left="1420" w:right="559" w:hanging="436"/>
        <w:spacing w:after="0" w:line="308" w:lineRule="auto"/>
        <w:tabs>
          <w:tab w:leader="none" w:pos="1496"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Influence of Social Media. </w:t>
      </w:r>
      <w:r>
        <w:rPr>
          <w:rFonts w:ascii="Arial" w:cs="Arial" w:eastAsia="Arial" w:hAnsi="Arial"/>
          <w:sz w:val="17"/>
          <w:szCs w:val="17"/>
          <w:color w:val="auto"/>
        </w:rPr>
        <w:t>The means through which customers gather information to inform</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decisions has evolved with social media increasingly influencing such decisions.</w:t>
      </w:r>
    </w:p>
    <w:p>
      <w:pPr>
        <w:spacing w:after="0" w:line="65" w:lineRule="exact"/>
        <w:rPr>
          <w:rFonts w:ascii="Arial" w:cs="Arial" w:eastAsia="Arial" w:hAnsi="Arial"/>
          <w:sz w:val="17"/>
          <w:szCs w:val="17"/>
          <w:i w:val="1"/>
          <w:iCs w:val="1"/>
          <w:color w:val="auto"/>
        </w:rPr>
      </w:pPr>
    </w:p>
    <w:p>
      <w:pPr>
        <w:ind w:left="1420" w:right="559" w:hanging="436"/>
        <w:spacing w:after="0" w:line="277" w:lineRule="auto"/>
        <w:tabs>
          <w:tab w:leader="none" w:pos="1429"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Preference. </w:t>
      </w:r>
      <w:r>
        <w:rPr>
          <w:rFonts w:ascii="Arial" w:cs="Arial" w:eastAsia="Arial" w:hAnsi="Arial"/>
          <w:sz w:val="18"/>
          <w:szCs w:val="18"/>
          <w:color w:val="auto"/>
        </w:rPr>
        <w:t>Today’s consumer is leveraging the online channel for apparel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at a pace that far exceeds traditional brick and mortar purchases.</w:t>
      </w:r>
    </w:p>
    <w:p>
      <w:pPr>
        <w:spacing w:after="0" w:line="103" w:lineRule="exact"/>
        <w:rPr>
          <w:sz w:val="20"/>
          <w:szCs w:val="20"/>
          <w:color w:val="auto"/>
        </w:rPr>
      </w:pPr>
    </w:p>
    <w:p>
      <w:pPr>
        <w:jc w:val="both"/>
        <w:ind w:left="560" w:right="539" w:firstLine="432"/>
        <w:spacing w:after="0" w:line="297" w:lineRule="auto"/>
        <w:rPr>
          <w:sz w:val="20"/>
          <w:szCs w:val="20"/>
          <w:color w:val="auto"/>
        </w:rPr>
      </w:pPr>
      <w:r>
        <w:rPr>
          <w:rFonts w:ascii="Arial" w:cs="Arial" w:eastAsia="Arial" w:hAnsi="Arial"/>
          <w:sz w:val="16"/>
          <w:szCs w:val="16"/>
          <w:color w:val="auto"/>
        </w:rPr>
        <w:t>New business models have developed in response to the evolution of these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 scale web-to-print platforms have emerged. These platforms often leverage digital printing solutions to facilitate business for a variety of content creators.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5" w:name="page6"/>
    <w:bookmarkEnd w:id="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35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9850" cy="8535035"/>
                    </a:xfrm>
                    <a:prstGeom prst="rect">
                      <a:avLst/>
                    </a:prstGeom>
                    <a:noFill/>
                  </pic:spPr>
                </pic:pic>
              </a:graphicData>
            </a:graphic>
          </wp:anchor>
        </w:drawing>
        <w:t>The ecosystem of web-to-print businesses which we currently serve includes:</w:t>
      </w:r>
    </w:p>
    <w:p>
      <w:pPr>
        <w:spacing w:after="0" w:line="158" w:lineRule="exact"/>
        <w:rPr>
          <w:sz w:val="20"/>
          <w:szCs w:val="20"/>
          <w:color w:val="auto"/>
        </w:rPr>
      </w:pPr>
    </w:p>
    <w:p>
      <w:pPr>
        <w:ind w:left="1420" w:right="539" w:hanging="436"/>
        <w:spacing w:after="0" w:line="277" w:lineRule="auto"/>
        <w:tabs>
          <w:tab w:leader="none" w:pos="1456"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their own websites and through other marketing means.</w:t>
      </w:r>
    </w:p>
    <w:p>
      <w:pPr>
        <w:spacing w:after="0" w:line="102" w:lineRule="exact"/>
        <w:rPr>
          <w:rFonts w:ascii="Arial" w:cs="Arial" w:eastAsia="Arial" w:hAnsi="Arial"/>
          <w:sz w:val="18"/>
          <w:szCs w:val="18"/>
          <w:i w:val="1"/>
          <w:iCs w:val="1"/>
          <w:color w:val="auto"/>
        </w:rPr>
      </w:pPr>
    </w:p>
    <w:p>
      <w:pPr>
        <w:ind w:left="1420" w:right="559" w:hanging="436"/>
        <w:spacing w:after="0" w:line="277" w:lineRule="auto"/>
        <w:tabs>
          <w:tab w:leader="none" w:pos="151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fulfillment providers, who are often also our customers.</w:t>
      </w:r>
    </w:p>
    <w:p>
      <w:pPr>
        <w:spacing w:after="0" w:line="89" w:lineRule="exact"/>
        <w:rPr>
          <w:rFonts w:ascii="Arial" w:cs="Arial" w:eastAsia="Arial" w:hAnsi="Arial"/>
          <w:sz w:val="18"/>
          <w:szCs w:val="18"/>
          <w:i w:val="1"/>
          <w:iCs w:val="1"/>
          <w:color w:val="auto"/>
        </w:rPr>
      </w:pPr>
    </w:p>
    <w:p>
      <w:pPr>
        <w:jc w:val="both"/>
        <w:ind w:left="1420" w:right="559" w:hanging="436"/>
        <w:spacing w:after="0" w:line="342" w:lineRule="auto"/>
        <w:tabs>
          <w:tab w:leader="none" w:pos="1712"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Third Party Fulfillment Centers. </w:t>
      </w:r>
      <w:r>
        <w:rPr>
          <w:rFonts w:ascii="Arial" w:cs="Arial" w:eastAsia="Arial" w:hAnsi="Arial"/>
          <w:sz w:val="16"/>
          <w:szCs w:val="16"/>
          <w:color w:val="auto"/>
        </w:rPr>
        <w:t>Companies serving as third party fulfillment for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Demand for these businesses is typically generated online through other web retailers.</w:t>
      </w:r>
    </w:p>
    <w:p>
      <w:pPr>
        <w:spacing w:after="0" w:line="56" w:lineRule="exact"/>
        <w:rPr>
          <w:sz w:val="20"/>
          <w:szCs w:val="20"/>
          <w:color w:val="auto"/>
        </w:rPr>
      </w:pPr>
    </w:p>
    <w:p>
      <w:pPr>
        <w:jc w:val="both"/>
        <w:ind w:left="560" w:right="539" w:firstLine="432"/>
        <w:spacing w:after="0" w:line="264" w:lineRule="auto"/>
        <w:rPr>
          <w:sz w:val="20"/>
          <w:szCs w:val="20"/>
          <w:color w:val="auto"/>
        </w:rPr>
      </w:pPr>
      <w:r>
        <w:rPr>
          <w:rFonts w:ascii="Arial" w:cs="Arial" w:eastAsia="Arial" w:hAnsi="Arial"/>
          <w:sz w:val="18"/>
          <w:szCs w:val="18"/>
          <w:color w:val="auto"/>
        </w:rPr>
        <w:t>Proximity to the consumer is a key factor for these businesses since it minimizes shipping costs and enables them to offer rapid turnaround. In many cases, retailers have asked us for assistance in identifying our local customers to help with their fulfillment.</w:t>
      </w:r>
    </w:p>
    <w:p>
      <w:pPr>
        <w:spacing w:after="0" w:line="114" w:lineRule="exact"/>
        <w:rPr>
          <w:sz w:val="20"/>
          <w:szCs w:val="20"/>
          <w:color w:val="auto"/>
        </w:rPr>
      </w:pPr>
    </w:p>
    <w:p>
      <w:pPr>
        <w:jc w:val="both"/>
        <w:ind w:left="560" w:right="539" w:firstLine="432"/>
        <w:spacing w:after="0" w:line="271" w:lineRule="auto"/>
        <w:rPr>
          <w:sz w:val="20"/>
          <w:szCs w:val="20"/>
          <w:color w:val="auto"/>
        </w:rPr>
      </w:pPr>
      <w:r>
        <w:rPr>
          <w:rFonts w:ascii="Arial" w:cs="Arial" w:eastAsia="Arial" w:hAnsi="Arial"/>
          <w:sz w:val="17"/>
          <w:szCs w:val="17"/>
          <w:color w:val="auto"/>
        </w:rPr>
        <w:t>Across the ecosystem of businesses leveraging our solutions, a majority of consumer demand is influenced by social media. According to a study by PricewaterhouseCoopers, 78% of consumers were influenced by social media in making online shopping decisions in 2015, up from 68% in the year prior. These businesses offer personalization capabilities and rapid, on-demand fulfillment for jobs as small as one unit. These offerings require significant flexibility for printing setup and preparation, which is enabled through digital textile printing. Through innovations in on-demand fulfillment, web-to-print businesses have substantially reduced the need to stock inventory and shifted the traditional brick and mortar model of supply and demand to a new model of demand and supply.</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Solutions</w:t>
      </w:r>
    </w:p>
    <w:p>
      <w:pPr>
        <w:spacing w:after="0" w:line="148" w:lineRule="exact"/>
        <w:rPr>
          <w:sz w:val="20"/>
          <w:szCs w:val="20"/>
          <w:color w:val="auto"/>
        </w:rPr>
      </w:pPr>
    </w:p>
    <w:p>
      <w:pPr>
        <w:jc w:val="both"/>
        <w:ind w:left="560" w:right="539" w:firstLine="432"/>
        <w:spacing w:after="0" w:line="291" w:lineRule="auto"/>
        <w:rPr>
          <w:sz w:val="20"/>
          <w:szCs w:val="20"/>
          <w:color w:val="auto"/>
        </w:rPr>
      </w:pPr>
      <w:r>
        <w:rPr>
          <w:rFonts w:ascii="Arial" w:cs="Arial" w:eastAsia="Arial" w:hAnsi="Arial"/>
          <w:sz w:val="16"/>
          <w:szCs w:val="16"/>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industrial segment of the DTG market: entry level and high throughput. As our business and the market we serve have evolved, we have shifted the mix of our system sales primarily to high throughput systems.</w:t>
      </w:r>
    </w:p>
    <w:p>
      <w:pPr>
        <w:spacing w:after="0" w:line="100" w:lineRule="exact"/>
        <w:rPr>
          <w:sz w:val="20"/>
          <w:szCs w:val="20"/>
          <w:color w:val="auto"/>
        </w:rPr>
      </w:pPr>
    </w:p>
    <w:p>
      <w:pPr>
        <w:jc w:val="both"/>
        <w:ind w:left="1420" w:right="539" w:hanging="436"/>
        <w:spacing w:after="0" w:line="259" w:lineRule="auto"/>
        <w:tabs>
          <w:tab w:leader="none" w:pos="141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We currently market one entry level system, the Breeze system. The Breeze allows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to adopt digital technology with a limited upfront investment and uses the same technology as our high throughput systems but with smaller garment printing areas and at lower throughput levels.</w:t>
      </w:r>
    </w:p>
    <w:p>
      <w:pPr>
        <w:spacing w:after="0" w:line="119" w:lineRule="exact"/>
        <w:rPr>
          <w:rFonts w:ascii="Arial" w:cs="Arial" w:eastAsia="Arial" w:hAnsi="Arial"/>
          <w:sz w:val="18"/>
          <w:szCs w:val="18"/>
          <w:i w:val="1"/>
          <w:iCs w:val="1"/>
          <w:color w:val="auto"/>
        </w:rPr>
      </w:pPr>
    </w:p>
    <w:p>
      <w:pPr>
        <w:jc w:val="both"/>
        <w:ind w:left="1420" w:right="539" w:hanging="436"/>
        <w:spacing w:after="0" w:line="288" w:lineRule="auto"/>
        <w:tabs>
          <w:tab w:leader="none" w:pos="1591"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High Throughput. </w:t>
      </w:r>
      <w:r>
        <w:rPr>
          <w:rFonts w:ascii="Arial" w:cs="Arial" w:eastAsia="Arial" w:hAnsi="Arial"/>
          <w:sz w:val="16"/>
          <w:szCs w:val="16"/>
          <w:color w:val="auto"/>
        </w:rPr>
        <w:t>We offer a wide range of high throughput systems. We market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the Paradigm II, which connects to existing screen printing carousels for customers who want to combine short runs of multicolored images into their ongoing screen printing operations. Our mid-level platform, the Storm, which employs one axis of print heads and two pallets, consists of four models (Storm 2, Storm Hexa, Storm Duo and Storm 1000). Our next level of high throughput systems is based on the Avalanche platform which employs two print head axes with two pallets and also comes in four different models (Avalanche, Avalanche DC, Avalanche 1000 and Avalanche Hexa). During 2016 we successfully commercially launched our new high throughput platform, the Vulcan, which is geared towards addressing the needs of mass production at a significantly lower cost per print relative to our other systems.</w:t>
      </w:r>
    </w:p>
    <w:p>
      <w:pPr>
        <w:spacing w:after="0" w:line="88" w:lineRule="exact"/>
        <w:rPr>
          <w:sz w:val="20"/>
          <w:szCs w:val="20"/>
          <w:color w:val="auto"/>
        </w:rPr>
      </w:pPr>
    </w:p>
    <w:p>
      <w:pPr>
        <w:jc w:val="both"/>
        <w:ind w:left="560" w:right="539" w:firstLine="432"/>
        <w:spacing w:after="0" w:line="291" w:lineRule="auto"/>
        <w:rPr>
          <w:sz w:val="20"/>
          <w:szCs w:val="20"/>
          <w:color w:val="auto"/>
        </w:rPr>
      </w:pPr>
      <w:r>
        <w:rPr>
          <w:rFonts w:ascii="Arial" w:cs="Arial" w:eastAsia="Arial" w:hAnsi="Arial"/>
          <w:sz w:val="16"/>
          <w:szCs w:val="16"/>
          <w:color w:val="auto"/>
        </w:rPr>
        <w:t>Building on the expertise and capabilities we have accumulated throughout our history in developing and offering differentiated solutions for the DTG market, we now market an R2R digital printing solution, the Allegro. The Allegro offers the first single-step, stand-alone R2R digital textile printing solution available on the market and eliminates several preprint and post print steps required with other digital printing technologies. The Allegro also utilizes a special version of our NeoPigment ink which is eco-friendly and meets the highest industry standards. The Allegro is capable of achieving high throughput volumes and does not require water or steam for any part of the printing process, making it friendly to the environment.</w:t>
      </w:r>
    </w:p>
    <w:p>
      <w:pPr>
        <w:spacing w:after="0" w:line="100" w:lineRule="exact"/>
        <w:rPr>
          <w:sz w:val="20"/>
          <w:szCs w:val="20"/>
          <w:color w:val="auto"/>
        </w:rPr>
      </w:pPr>
    </w:p>
    <w:p>
      <w:pPr>
        <w:jc w:val="both"/>
        <w:ind w:left="560" w:right="539" w:firstLine="432"/>
        <w:spacing w:after="0" w:line="257"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optimal use exclusively in our systems. Our patented wet-on-wet printing methodology combines the use of pigments rather than dyes in conjunction with our proprietary binding agent, and enables us to print on a wide range of fabrics</w:t>
      </w:r>
    </w:p>
    <w:p>
      <w:pPr>
        <w:sectPr>
          <w:pgSz w:w="11900" w:h="16838" w:orient="portrait"/>
          <w:cols w:equalWidth="0" w:num="1">
            <w:col w:w="9019"/>
          </w:cols>
          <w:pgMar w:left="1440" w:top="463" w:right="1440"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6" w:name="page7"/>
    <w:bookmarkEnd w:id="6"/>
    <w:p>
      <w:pPr>
        <w:jc w:val="both"/>
        <w:ind w:left="560" w:right="5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20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9850" cy="8620760"/>
                    </a:xfrm>
                    <a:prstGeom prst="rect">
                      <a:avLst/>
                    </a:prstGeom>
                    <a:noFill/>
                  </pic:spPr>
                </pic:pic>
              </a:graphicData>
            </a:graphic>
          </wp:anchor>
        </w:drawing>
        <w:t>without the need for a separate pre-treatment process or system reconfiguration, resulting in minimal setup times for each run and high throughput levels. We also continuously invest in the development of new ink formulas for our systems in order to expand the range of fabrics on which we can print and further improve the quality of our high resolution images and designs.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our key competitive strengths:</w:t>
      </w:r>
    </w:p>
    <w:p>
      <w:pPr>
        <w:spacing w:after="0" w:line="154" w:lineRule="exact"/>
        <w:rPr>
          <w:sz w:val="20"/>
          <w:szCs w:val="20"/>
          <w:color w:val="auto"/>
        </w:rPr>
      </w:pPr>
    </w:p>
    <w:p>
      <w:pPr>
        <w:jc w:val="both"/>
        <w:ind w:left="1420" w:right="539" w:hanging="436"/>
        <w:spacing w:after="0" w:line="269" w:lineRule="auto"/>
        <w:tabs>
          <w:tab w:leader="none" w:pos="155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Leading player in fast-growing digital DTG market</w:t>
      </w:r>
      <w:r>
        <w:rPr>
          <w:rFonts w:ascii="Arial" w:cs="Arial" w:eastAsia="Arial" w:hAnsi="Arial"/>
          <w:sz w:val="17"/>
          <w:szCs w:val="17"/>
          <w:color w:val="auto"/>
        </w:rPr>
        <w:t>. We are a leading player in the fast-growing digital DTG market based on our sales and have over 1,000 customers globally. We estimate that global revenue from digital textile printing equipment and ink will grow at a 15.7% CAGR between 2016 and 2021 based on the estimate of such revenue for 2016 and the projection for 2021, in each case, contained in the Pira report. We believe that high throughput DTG applications in the textile printing market are positioned to grow at a rate greater than the 15.7% overall industry growth rate projected between 2016 and 2021. We have outperformed the industry growth rate over the past several years, growing our revenue at a 25.7% CAGR from the 12 months ended June 30, 2014 to the 12 months ended June 30, 2016, versus an industry CAGR of 15.6% for the same period, as estimated in the Pira report. The Pira report estimates that the DTG market has an addressable opportunity of six to 10 billion garments a year. According to a prior Smithers Pira report published in 2014, over 300,000 sites globally print primarily t-shirts and other apparel.</w:t>
      </w:r>
    </w:p>
    <w:p>
      <w:pPr>
        <w:spacing w:after="0" w:line="95" w:lineRule="exact"/>
        <w:rPr>
          <w:rFonts w:ascii="Arial" w:cs="Arial" w:eastAsia="Arial" w:hAnsi="Arial"/>
          <w:sz w:val="17"/>
          <w:szCs w:val="17"/>
          <w:b w:val="1"/>
          <w:bCs w:val="1"/>
          <w:color w:val="auto"/>
        </w:rPr>
      </w:pPr>
    </w:p>
    <w:p>
      <w:pPr>
        <w:jc w:val="both"/>
        <w:ind w:left="1420" w:right="539" w:hanging="436"/>
        <w:spacing w:after="0" w:line="269" w:lineRule="auto"/>
        <w:tabs>
          <w:tab w:leader="none" w:pos="160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Well positioned to disrupt the R2R market with our unique single-step manufacturing solution</w:t>
      </w:r>
      <w:r>
        <w:rPr>
          <w:rFonts w:ascii="Arial" w:cs="Arial" w:eastAsia="Arial" w:hAnsi="Arial"/>
          <w:sz w:val="17"/>
          <w:szCs w:val="17"/>
          <w:color w:val="auto"/>
        </w:rPr>
        <w:t>. We believe we are well positioned to capitalize on the growing trend toward</w:t>
      </w:r>
      <w:r>
        <w:rPr>
          <w:rFonts w:ascii="Arial" w:cs="Arial" w:eastAsia="Arial" w:hAnsi="Arial"/>
          <w:sz w:val="17"/>
          <w:szCs w:val="17"/>
          <w:b w:val="1"/>
          <w:bCs w:val="1"/>
          <w:color w:val="auto"/>
        </w:rPr>
        <w:t xml:space="preserve"> </w:t>
      </w:r>
      <w:r>
        <w:rPr>
          <w:rFonts w:ascii="Arial" w:cs="Arial" w:eastAsia="Arial" w:hAnsi="Arial"/>
          <w:sz w:val="17"/>
          <w:szCs w:val="17"/>
          <w:color w:val="auto"/>
        </w:rPr>
        <w:t>customized home décor with our unique R2R solution. Our Allegro system combined with our proprietary process was designed to offer a single-step manufacturing solution which is especially suited for businesses which don’t have a vertically integrated textile mill. Unlike other digital textile printers, the Allegro does not require multiple pre-processing and post-processing steps which are customarily used in vertically integrated textile mills and which utilize high levels of energy and space and have a negative environmental impact. Given its architecture, it is perfectly suited for short and micro runs. Allegro is compact in size and requires a single person to operate and fits very well in an urban and non-industrial setting. Allegro is unique in its ability to print on multiple fabric types without the need for different inks and consumables, while generally other systems and technologies for R2R digital printing require dedication of discrete printers to specific fabric types.</w:t>
      </w:r>
    </w:p>
    <w:p>
      <w:pPr>
        <w:spacing w:after="0" w:line="109" w:lineRule="exact"/>
        <w:rPr>
          <w:rFonts w:ascii="Arial" w:cs="Arial" w:eastAsia="Arial" w:hAnsi="Arial"/>
          <w:sz w:val="17"/>
          <w:szCs w:val="17"/>
          <w:b w:val="1"/>
          <w:bCs w:val="1"/>
          <w:color w:val="auto"/>
        </w:rPr>
      </w:pPr>
    </w:p>
    <w:p>
      <w:pPr>
        <w:jc w:val="both"/>
        <w:ind w:left="1420" w:right="539" w:hanging="436"/>
        <w:spacing w:after="0" w:line="289" w:lineRule="auto"/>
        <w:tabs>
          <w:tab w:leader="none" w:pos="140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Disruptive technology that enables our customers to adopt new or improve existing business models</w:t>
      </w:r>
      <w:r>
        <w:rPr>
          <w:rFonts w:ascii="Arial" w:cs="Arial" w:eastAsia="Arial" w:hAnsi="Arial"/>
          <w:sz w:val="16"/>
          <w:szCs w:val="16"/>
          <w:color w:val="auto"/>
        </w:rPr>
        <w:t>. Our digital printing solutions allow our customers to develop new or improve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models by enabling them to produce short to medium runs of high-quality customized garments efficiently. This also facilitates “web to print” business models that manufacture on a “produce to order” basis and allows brand owners to produce garments in house. With a constantly growing worldwide customer base of more than 1,000 customers, we are witnessing the creation of a global fulfillment network of printing specialists which are leveraged by large numbers of websites that offer customizable garment printing services. As demand from these customers continues to grow so does utilization of our systems which in turn consume more ink and once used to their full capacity require purchasing of more systems.</w:t>
      </w:r>
    </w:p>
    <w:p>
      <w:pPr>
        <w:spacing w:after="0" w:line="93" w:lineRule="exact"/>
        <w:rPr>
          <w:rFonts w:ascii="Arial" w:cs="Arial" w:eastAsia="Arial" w:hAnsi="Arial"/>
          <w:sz w:val="16"/>
          <w:szCs w:val="16"/>
          <w:b w:val="1"/>
          <w:bCs w:val="1"/>
          <w:color w:val="auto"/>
        </w:rPr>
      </w:pPr>
    </w:p>
    <w:p>
      <w:pPr>
        <w:jc w:val="both"/>
        <w:ind w:left="1420" w:right="539" w:hanging="436"/>
        <w:spacing w:after="0" w:line="268" w:lineRule="auto"/>
        <w:tabs>
          <w:tab w:leader="none" w:pos="160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Attractive business model</w:t>
      </w:r>
      <w:r>
        <w:rPr>
          <w:rFonts w:ascii="Arial" w:cs="Arial" w:eastAsia="Arial" w:hAnsi="Arial"/>
          <w:sz w:val="17"/>
          <w:szCs w:val="17"/>
          <w:color w:val="auto"/>
        </w:rPr>
        <w:t>. Our existing and growing installed base of systems results in</w:t>
      </w:r>
      <w:r>
        <w:rPr>
          <w:rFonts w:ascii="Arial" w:cs="Arial" w:eastAsia="Arial" w:hAnsi="Arial"/>
          <w:sz w:val="17"/>
          <w:szCs w:val="17"/>
          <w:b w:val="1"/>
          <w:bCs w:val="1"/>
          <w:color w:val="auto"/>
        </w:rPr>
        <w:t xml:space="preserve"> </w:t>
      </w:r>
      <w:r>
        <w:rPr>
          <w:rFonts w:ascii="Arial" w:cs="Arial" w:eastAsia="Arial" w:hAnsi="Arial"/>
          <w:sz w:val="17"/>
          <w:szCs w:val="17"/>
          <w:color w:val="auto"/>
        </w:rPr>
        <w:t>recurring sales of ink and other consumables. Recurring sales of ink and other consumables have historically offered us a degree of visibility into a significant component of our results of operations. We believe that our recurring sales model also enables us to foster close customer relationships and allows us to provide value added services to our customers. Our customer relationships are further strengthened by a trend towards ownership of multiple systems, as the number of customers with at least two systems has grown from 155 as of December 31, 2014, to 219 as of December 31, 2016 and the number of customers with at least 10 systems has grown from nine as of December 31, 2014, to 15 as of December 31, 2016. We anticipate revenue from services to increase over time as we reach upgrade cycles across our growing installed base. Additionally, sales of ink and other consumables are generally higher in high throughput systems such as the Vulcan, Avalanche and Allegro systems. Large accounts typically run at high utilization rates and can consume up to five times as much ink per year compared to other accounts. We have proven our ability to</w:t>
      </w:r>
    </w:p>
    <w:p>
      <w:pPr>
        <w:sectPr>
          <w:pgSz w:w="11900" w:h="16838" w:orient="portrait"/>
          <w:cols w:equalWidth="0" w:num="1">
            <w:col w:w="9019"/>
          </w:cols>
          <w:pgMar w:left="1440" w:top="463"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7" w:name="page8"/>
    <w:bookmarkEnd w:id="7"/>
    <w:p>
      <w:pPr>
        <w:ind w:left="1420" w:right="5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77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9850" cy="8577580"/>
                    </a:xfrm>
                    <a:prstGeom prst="rect">
                      <a:avLst/>
                    </a:prstGeom>
                    <a:noFill/>
                  </pic:spPr>
                </pic:pic>
              </a:graphicData>
            </a:graphic>
          </wp:anchor>
        </w:drawing>
        <w:t>grow revenues while maintaining an attractive margin profile and we intend to continue investing in our business to drive profitable growth in the future.</w:t>
      </w:r>
    </w:p>
    <w:p>
      <w:pPr>
        <w:spacing w:after="0" w:line="99" w:lineRule="exact"/>
        <w:rPr>
          <w:sz w:val="20"/>
          <w:szCs w:val="20"/>
          <w:color w:val="auto"/>
        </w:rPr>
      </w:pPr>
    </w:p>
    <w:p>
      <w:pPr>
        <w:jc w:val="both"/>
        <w:ind w:left="1420" w:right="539" w:hanging="436"/>
        <w:spacing w:after="0" w:line="274" w:lineRule="auto"/>
        <w:tabs>
          <w:tab w:leader="none" w:pos="17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Robust intellectual property portfolio driven by an innovation-based culture</w:t>
      </w:r>
      <w:r>
        <w:rPr>
          <w:rFonts w:ascii="Arial" w:cs="Arial" w:eastAsia="Arial" w:hAnsi="Arial"/>
          <w:sz w:val="17"/>
          <w:szCs w:val="17"/>
          <w:color w:val="auto"/>
        </w:rPr>
        <w:t>.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portfolio reflects over a decade of significant investments in digital textile printing, which we believe creates significant barriers to entry. We have developed a strong base of technology know-how, backed by our portfolio of intellectual property, which includes 19 issued patents and 22 pending patent applications that cover wet-on-wet printing methodology, ink formulations, printing processes and related methods and systems.</w:t>
      </w:r>
    </w:p>
    <w:p>
      <w:pPr>
        <w:spacing w:after="0" w:line="106" w:lineRule="exact"/>
        <w:rPr>
          <w:rFonts w:ascii="Arial" w:cs="Arial" w:eastAsia="Arial" w:hAnsi="Arial"/>
          <w:sz w:val="17"/>
          <w:szCs w:val="17"/>
          <w:b w:val="1"/>
          <w:bCs w:val="1"/>
          <w:color w:val="auto"/>
        </w:rPr>
      </w:pPr>
    </w:p>
    <w:p>
      <w:pPr>
        <w:jc w:val="both"/>
        <w:ind w:left="1420" w:right="539" w:hanging="436"/>
        <w:spacing w:after="0" w:line="272" w:lineRule="auto"/>
        <w:tabs>
          <w:tab w:leader="none" w:pos="145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Extensive product portfolio and strong new product pipeline</w:t>
      </w:r>
      <w:r>
        <w:rPr>
          <w:rFonts w:ascii="Arial" w:cs="Arial" w:eastAsia="Arial" w:hAnsi="Arial"/>
          <w:sz w:val="17"/>
          <w:szCs w:val="17"/>
          <w:color w:val="auto"/>
        </w:rPr>
        <w:t>. Our DTG systems are suited</w:t>
      </w:r>
      <w:r>
        <w:rPr>
          <w:rFonts w:ascii="Arial" w:cs="Arial" w:eastAsia="Arial" w:hAnsi="Arial"/>
          <w:sz w:val="17"/>
          <w:szCs w:val="17"/>
          <w:b w:val="1"/>
          <w:bCs w:val="1"/>
          <w:color w:val="auto"/>
        </w:rPr>
        <w:t xml:space="preserve"> </w:t>
      </w:r>
      <w:r>
        <w:rPr>
          <w:rFonts w:ascii="Arial" w:cs="Arial" w:eastAsia="Arial" w:hAnsi="Arial"/>
          <w:sz w:val="17"/>
          <w:szCs w:val="17"/>
          <w:color w:val="auto"/>
        </w:rPr>
        <w:t>for smaller commercial operators with limited budgets, as well as mass producers with mature operations and complex needs. We have commercialized two new solutions in the market: the Allegro, a one-step, integrated R2R printing, drying and curing system, and the Vulcan, a cost-effective digital substitution for carousel screen printing. Our future roadmap remains focused on the continued development of proprietary processes, continuously expanding the breadth of applications upon which we can print while pushing the envelope of cost efficient manufacturing further as a means to expand our servable addressable markets.</w:t>
      </w:r>
    </w:p>
    <w:p>
      <w:pPr>
        <w:spacing w:after="0" w:line="91" w:lineRule="exact"/>
        <w:rPr>
          <w:rFonts w:ascii="Arial" w:cs="Arial" w:eastAsia="Arial" w:hAnsi="Arial"/>
          <w:sz w:val="17"/>
          <w:szCs w:val="17"/>
          <w:b w:val="1"/>
          <w:bCs w:val="1"/>
          <w:color w:val="auto"/>
        </w:rPr>
      </w:pPr>
    </w:p>
    <w:p>
      <w:pPr>
        <w:jc w:val="both"/>
        <w:ind w:left="1420" w:right="539" w:hanging="436"/>
        <w:spacing w:after="0" w:line="258" w:lineRule="auto"/>
        <w:tabs>
          <w:tab w:leader="none" w:pos="144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Environmentally friendly printing processes</w:t>
      </w:r>
      <w:r>
        <w:rPr>
          <w:rFonts w:ascii="Arial" w:cs="Arial" w:eastAsia="Arial" w:hAnsi="Arial"/>
          <w:sz w:val="18"/>
          <w:szCs w:val="18"/>
          <w:color w:val="auto"/>
        </w:rPr>
        <w:t>. A significant portion of global industrial water</w:t>
      </w:r>
      <w:r>
        <w:rPr>
          <w:rFonts w:ascii="Arial" w:cs="Arial" w:eastAsia="Arial" w:hAnsi="Arial"/>
          <w:sz w:val="18"/>
          <w:szCs w:val="18"/>
          <w:b w:val="1"/>
          <w:bCs w:val="1"/>
          <w:color w:val="auto"/>
        </w:rPr>
        <w:t xml:space="preserve"> </w:t>
      </w:r>
      <w:r>
        <w:rPr>
          <w:rFonts w:ascii="Arial" w:cs="Arial" w:eastAsia="Arial" w:hAnsi="Arial"/>
          <w:sz w:val="18"/>
          <w:szCs w:val="18"/>
          <w:color w:val="auto"/>
        </w:rPr>
        <w:t>pollution comes from textile 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116" w:lineRule="exact"/>
        <w:rPr>
          <w:rFonts w:ascii="Arial" w:cs="Arial" w:eastAsia="Arial" w:hAnsi="Arial"/>
          <w:sz w:val="18"/>
          <w:szCs w:val="18"/>
          <w:b w:val="1"/>
          <w:bCs w:val="1"/>
          <w:color w:val="auto"/>
        </w:rPr>
      </w:pPr>
    </w:p>
    <w:p>
      <w:pPr>
        <w:jc w:val="both"/>
        <w:ind w:left="1420" w:right="539" w:hanging="436"/>
        <w:spacing w:after="0" w:line="271" w:lineRule="auto"/>
        <w:tabs>
          <w:tab w:leader="none" w:pos="167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Strong management team</w:t>
      </w:r>
      <w:r>
        <w:rPr>
          <w:rFonts w:ascii="Arial" w:cs="Arial" w:eastAsia="Arial" w:hAnsi="Arial"/>
          <w:sz w:val="17"/>
          <w:szCs w:val="17"/>
          <w:color w:val="auto"/>
        </w:rPr>
        <w:t>. Our management team’s industry expertise, history with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extensive experience in running global publicly traded companies will enable us to execute our growth strategy. We have recently strengthened our management infrastructure with key hires who are experienced in the management of people, large scale business, innovation and product development in larger organizations including Intel, HP, KlA Tencor and Stratasys. Over the past three years, we have also invested heavily in human resources to support our growth. Since 2013, our workforce has more than doubled from 190 to 390 as of December 31, 2016. Additionally, more than 150 of our employees are in the field, enabling us to provide more localized service for our customers.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144" w:lineRule="exact"/>
        <w:rPr>
          <w:sz w:val="20"/>
          <w:szCs w:val="20"/>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sales to existing customers;</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new high volume customers;</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 on growth in our targeted markets;</w:t>
      </w:r>
    </w:p>
    <w:p>
      <w:pPr>
        <w:spacing w:after="0" w:line="144"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extend our serviceable addressable market (SAM) by continuing to enhance our solutions; and</w:t>
      </w:r>
    </w:p>
    <w:p>
      <w:pPr>
        <w:spacing w:after="0" w:line="180" w:lineRule="exact"/>
        <w:rPr>
          <w:rFonts w:ascii="Arial" w:cs="Arial" w:eastAsia="Arial" w:hAnsi="Arial"/>
          <w:sz w:val="16"/>
          <w:szCs w:val="16"/>
          <w:color w:val="auto"/>
        </w:rPr>
      </w:pPr>
    </w:p>
    <w:p>
      <w:pPr>
        <w:ind w:left="1420" w:right="559" w:hanging="436"/>
        <w:spacing w:after="0" w:line="277" w:lineRule="auto"/>
        <w:tabs>
          <w:tab w:leader="none" w:pos="1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 our leadership position through ongoing investments in research and development, acquisitions and strategic partnerships.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Agreement with Amazon</w:t>
      </w:r>
    </w:p>
    <w:p>
      <w:pPr>
        <w:spacing w:after="0" w:line="158"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color w:val="auto"/>
        </w:rPr>
        <w:t>On January 10, 2017, we entered into a Master Purchase Agreement with Amazon Corporate LLC, a subsidiary of Amazon.com, Inc. (“Amazon”). Under the Master Purchase Agreement, Amazon may purchase and we are committed to supply Avalanche 1000 digital direct-to-garment printers and NeoPigment ink and other consumables at agreed upon prices which are subject to volume. We also agreed to provide maintenance services and extended warranties to Amazon at agreed prices.</w:t>
      </w:r>
    </w:p>
    <w:p>
      <w:pPr>
        <w:spacing w:after="0" w:line="91" w:lineRule="exact"/>
        <w:rPr>
          <w:sz w:val="20"/>
          <w:szCs w:val="20"/>
          <w:color w:val="auto"/>
        </w:rPr>
      </w:pPr>
    </w:p>
    <w:p>
      <w:pPr>
        <w:jc w:val="both"/>
        <w:ind w:left="560" w:right="559" w:firstLine="432"/>
        <w:spacing w:after="0" w:line="259" w:lineRule="auto"/>
        <w:rPr>
          <w:sz w:val="20"/>
          <w:szCs w:val="20"/>
          <w:color w:val="auto"/>
        </w:rPr>
      </w:pPr>
      <w:r>
        <w:rPr>
          <w:rFonts w:ascii="Arial" w:cs="Arial" w:eastAsia="Arial" w:hAnsi="Arial"/>
          <w:sz w:val="18"/>
          <w:szCs w:val="18"/>
          <w:color w:val="auto"/>
        </w:rPr>
        <w:t>Concurrently with the Master Purchase Agreement, we issued warrants to an affiliate of Amazon to purchase up to 2,932,176 of our ordinary shares at an exercise price of $13.04 per share (either for cash or on a cashless basis). The warrants vest in increments over a five-year period based on payments by Amazon for products and services</w:t>
      </w:r>
    </w:p>
    <w:p>
      <w:pPr>
        <w:sectPr>
          <w:pgSz w:w="11900" w:h="16838" w:orient="portrait"/>
          <w:cols w:equalWidth="0" w:num="1">
            <w:col w:w="9019"/>
          </w:cols>
          <w:pgMar w:left="1440" w:top="463"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8" w:name="page9"/>
    <w:bookmarkEnd w:id="8"/>
    <w:p>
      <w:pPr>
        <w:jc w:val="both"/>
        <w:ind w:left="560" w:right="539"/>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715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9850" cy="8715375"/>
                    </a:xfrm>
                    <a:prstGeom prst="rect">
                      <a:avLst/>
                    </a:prstGeom>
                    <a:noFill/>
                  </pic:spPr>
                </pic:pic>
              </a:graphicData>
            </a:graphic>
          </wp:anchor>
        </w:drawing>
        <w:t>purchased from us beginning on May 1, 2016 in an amount of up to $150 million. We generated approximately 17% of our revenues (net of $2.0 million related to the fair value of the warrants associated with the revenue recognized) from Amazon in 2016 and, based on payments made by Amazon during 2016, some of the warrant shares were vested at the time of the execution of the Master Purchase Agreement.</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Seasonal Variations</w:t>
      </w:r>
    </w:p>
    <w:p>
      <w:pPr>
        <w:spacing w:after="0" w:line="144" w:lineRule="exact"/>
        <w:rPr>
          <w:sz w:val="20"/>
          <w:szCs w:val="20"/>
          <w:color w:val="auto"/>
        </w:rPr>
      </w:pPr>
    </w:p>
    <w:p>
      <w:pPr>
        <w:jc w:val="both"/>
        <w:ind w:left="560" w:right="539" w:firstLine="432"/>
        <w:spacing w:after="0" w:line="254" w:lineRule="auto"/>
        <w:rPr>
          <w:sz w:val="20"/>
          <w:szCs w:val="20"/>
          <w:color w:val="auto"/>
        </w:rPr>
      </w:pPr>
      <w:r>
        <w:rPr>
          <w:rFonts w:ascii="Arial" w:cs="Arial" w:eastAsia="Arial" w:hAnsi="Arial"/>
          <w:sz w:val="18"/>
          <w:szCs w:val="18"/>
          <w:color w:val="auto"/>
        </w:rPr>
        <w:t>In the fourth quarter of 2016, our ink and other consumables revenues reached a record high as a result of significant sales to large customers, including Amazon. We expect that during the first quarter of 2017, ink and other consumables revenues will moderate as a function of the seasonality we generally experience. Because ink and other consumables sales generate higher gross margins than system sales, and because our cost structure is relatively fixed for the short term and we are continuing to invest in the overall growth of our business, this variability will impact our operating profit in the first quarter. See “Risk Factors — Our operating results are subject to seasonal variations, which could cause the price of our ordinary shares to decline.”</w:t>
      </w:r>
    </w:p>
    <w:p>
      <w:pPr>
        <w:spacing w:after="0" w:line="138" w:lineRule="exact"/>
        <w:rPr>
          <w:sz w:val="20"/>
          <w:szCs w:val="20"/>
          <w:color w:val="auto"/>
        </w:rPr>
      </w:pPr>
    </w:p>
    <w:p>
      <w:pPr>
        <w:jc w:val="both"/>
        <w:ind w:left="560" w:right="539"/>
        <w:spacing w:after="0" w:line="277" w:lineRule="auto"/>
        <w:rPr>
          <w:sz w:val="20"/>
          <w:szCs w:val="20"/>
          <w:color w:val="auto"/>
        </w:rPr>
      </w:pPr>
      <w:r>
        <w:rPr>
          <w:rFonts w:ascii="Arial" w:cs="Arial" w:eastAsia="Arial" w:hAnsi="Arial"/>
          <w:sz w:val="18"/>
          <w:szCs w:val="18"/>
          <w:i w:val="1"/>
          <w:iCs w:val="1"/>
          <w:color w:val="auto"/>
        </w:rPr>
        <w:t>Preliminary Results of Operations for the Three Months Ended December 31, 2016 and the Year Ended December 31, 2016</w:t>
      </w:r>
    </w:p>
    <w:p>
      <w:pPr>
        <w:spacing w:after="0" w:line="76"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Our consolidated financial statements for the three months ended December 31, 2016 and for the year ended December 31, 2016 are not yet available. Accordingly, the information presented below reflects our preliminary results subject to the completion of our financial closing procedures and any adjustments that may result from the completion of the annual review of our consolidated financial statements. As a result, these preliminary results may differ from the actual results that will be reflected in our consolidated financial statements for the year when they are completed and publicly disclosed. These preliminary results may change and those changes may be material.</w:t>
      </w:r>
    </w:p>
    <w:p>
      <w:pPr>
        <w:spacing w:after="0" w:line="95" w:lineRule="exact"/>
        <w:rPr>
          <w:sz w:val="20"/>
          <w:szCs w:val="20"/>
          <w:color w:val="auto"/>
        </w:rPr>
      </w:pPr>
    </w:p>
    <w:p>
      <w:pPr>
        <w:jc w:val="both"/>
        <w:ind w:left="560" w:right="559" w:firstLine="432"/>
        <w:spacing w:after="0" w:line="302" w:lineRule="auto"/>
        <w:rPr>
          <w:sz w:val="20"/>
          <w:szCs w:val="20"/>
          <w:color w:val="auto"/>
        </w:rPr>
      </w:pPr>
      <w:r>
        <w:rPr>
          <w:rFonts w:ascii="Arial" w:cs="Arial" w:eastAsia="Arial" w:hAnsi="Arial"/>
          <w:sz w:val="16"/>
          <w:szCs w:val="16"/>
          <w:color w:val="auto"/>
        </w:rPr>
        <w:t>Our expectations with respect to our unaudited results for the period discussed below are based upon management estimates and are the responsibility of management. Our independent registered public accounting firm has not audited, reviewed or performed any procedures with respect to these preliminary results and, accordingly, does not express an opinion or any other form of assurance about them.</w:t>
      </w:r>
    </w:p>
    <w:p>
      <w:pPr>
        <w:spacing w:after="0" w:line="73" w:lineRule="exact"/>
        <w:rPr>
          <w:sz w:val="20"/>
          <w:szCs w:val="20"/>
          <w:color w:val="auto"/>
        </w:rPr>
      </w:pPr>
    </w:p>
    <w:p>
      <w:pPr>
        <w:jc w:val="both"/>
        <w:ind w:left="560" w:right="539" w:firstLine="432"/>
        <w:spacing w:after="0" w:line="290" w:lineRule="auto"/>
        <w:rPr>
          <w:sz w:val="20"/>
          <w:szCs w:val="20"/>
          <w:color w:val="auto"/>
        </w:rPr>
      </w:pPr>
      <w:r>
        <w:rPr>
          <w:rFonts w:ascii="Arial" w:cs="Arial" w:eastAsia="Arial" w:hAnsi="Arial"/>
          <w:sz w:val="16"/>
          <w:szCs w:val="16"/>
          <w:color w:val="auto"/>
        </w:rPr>
        <w:t>Because we have not completed our closing processes, we are unable to estimate our income before taxes on income or the amount of taxes on income and, accordingly, are unable to estimate our net income. We have provided below our operating income. Although we are not able to estimate the amount of taxes on income, we have not identified any unusual or unique events or trends with respect to that line item that occurred during the three months ended December 31, 2016 or the year ended December 31, 2016 and that might materially affect our net income for that period or that year. We believe that the following information about our operating income, even when unaccompanied by information regarding our income before taxes on income or net income, is still helpful to an investor’s understanding of our operating performance.</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112"/>
              <w:spacing w:after="0"/>
              <w:rPr>
                <w:sz w:val="20"/>
                <w:szCs w:val="20"/>
                <w:color w:val="auto"/>
              </w:rPr>
            </w:pPr>
            <w:r>
              <w:rPr>
                <w:rFonts w:ascii="Arial" w:cs="Arial" w:eastAsia="Arial" w:hAnsi="Arial"/>
                <w:sz w:val="16"/>
                <w:szCs w:val="16"/>
                <w:b w:val="1"/>
                <w:bCs w:val="1"/>
                <w:color w:val="auto"/>
                <w:w w:val="92"/>
              </w:rPr>
              <w:t>Three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4"/>
          </w:tcPr>
          <w:p>
            <w:pPr>
              <w:jc w:val="right"/>
              <w:ind w:right="374"/>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89"/>
              </w:rPr>
              <w:t>Consolidated Statements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of Income:</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86,405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106,677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108,677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25,498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Supplemental Financial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b w:val="1"/>
                <w:bCs w:val="1"/>
                <w:color w:val="auto"/>
              </w:rPr>
              <w:t>Data (unaudited):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9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Non-GAAP revenues</w:t>
            </w:r>
            <w:r>
              <w:rPr>
                <w:rFonts w:ascii="Arial" w:cs="Arial" w:eastAsia="Arial" w:hAnsi="Arial"/>
                <w:sz w:val="21"/>
                <w:szCs w:val="21"/>
                <w:color w:val="auto"/>
                <w:vertAlign w:val="superscript"/>
              </w:rPr>
              <w:t>(1)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Non-GAAP operating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income</w:t>
            </w:r>
            <w:r>
              <w:rPr>
                <w:rFonts w:ascii="Arial" w:cs="Arial" w:eastAsia="Arial" w:hAnsi="Arial"/>
                <w:sz w:val="21"/>
                <w:szCs w:val="21"/>
                <w:color w:val="auto"/>
                <w:vertAlign w:val="superscript"/>
              </w:rPr>
              <w:t>(2)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10,448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9,972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6"/>
          <w:szCs w:val="16"/>
          <w:color w:val="auto"/>
        </w:rPr>
        <w:t>____________</w:t>
      </w:r>
    </w:p>
    <w:p>
      <w:pPr>
        <w:spacing w:after="0" w:line="8" w:lineRule="exact"/>
        <w:rPr>
          <w:sz w:val="20"/>
          <w:szCs w:val="20"/>
          <w:color w:val="auto"/>
        </w:rPr>
      </w:pPr>
    </w:p>
    <w:p>
      <w:pPr>
        <w:jc w:val="both"/>
        <w:ind w:left="980" w:right="539" w:hanging="428"/>
        <w:spacing w:after="0" w:line="269" w:lineRule="auto"/>
        <w:tabs>
          <w:tab w:leader="none" w:pos="1066"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Non-GAAP revenues is a non-GAAP financial measure. Non-GAAP revenues consist of U.S. GAAP revenues adjusted to exclude the impact of the fair value of the warrants granted to an affiliate of Amazon.com, Inc. that relates to revenues recognized from Amazon in a particular period. The fair value of the warrants is recorded as a reduction to our revenue because their vesting is dependent on purchases of agreed volumes of our products and services. Since the value of the warrants depends, in part, on the price of our shares and their volatility, our net revenues fluctuates due to the non-cash</w:t>
      </w:r>
    </w:p>
    <w:p>
      <w:pPr>
        <w:sectPr>
          <w:pgSz w:w="11900" w:h="16838" w:orient="portrait"/>
          <w:cols w:equalWidth="0" w:num="1">
            <w:col w:w="9019"/>
          </w:cols>
          <w:pgMar w:left="1440" w:top="463" w:right="1440"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9" w:name="page10"/>
    <w:bookmarkEnd w:id="9"/>
    <w:p>
      <w:pPr>
        <w:jc w:val="both"/>
        <w:ind w:left="980" w:right="539"/>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440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9850" cy="8440420"/>
                    </a:xfrm>
                    <a:prstGeom prst="rect">
                      <a:avLst/>
                    </a:prstGeom>
                    <a:noFill/>
                  </pic:spPr>
                </pic:pic>
              </a:graphicData>
            </a:graphic>
          </wp:anchor>
        </w:drawing>
        <w:t>impact of the value of the warrant on our gross revenues. This impact does not reflect the underlying performance of our operating business and, accordingly, the purpose of such adjustments is to give an indication of our performance, exclusive of non-cash charges, that are considered by management to be reflective of the performance of our underlying business. The following table presents a reconciliation of our revenues, the most directly comparable U.S. GAAP measure, to non-GAAP revenues.</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397"/>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134"/>
              <w:spacing w:after="0"/>
              <w:rPr>
                <w:sz w:val="20"/>
                <w:szCs w:val="20"/>
                <w:color w:val="auto"/>
              </w:rPr>
            </w:pPr>
            <w:r>
              <w:rPr>
                <w:rFonts w:ascii="Arial" w:cs="Arial" w:eastAsia="Arial" w:hAnsi="Arial"/>
                <w:sz w:val="14"/>
                <w:szCs w:val="14"/>
                <w:b w:val="1"/>
                <w:bCs w:val="1"/>
                <w:color w:val="auto"/>
                <w:w w:val="95"/>
              </w:rPr>
              <w:t>Three Months Ended December 31,</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Estimated</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Revenues to</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Non-GAAP Revenues:</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106,677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108,677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29,970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31,970</w:t>
            </w:r>
          </w:p>
        </w:tc>
      </w:tr>
      <w:tr>
        <w:trPr>
          <w:trHeight w:val="26"/>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Fair value of warrants deducted</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53"/>
        </w:trPr>
        <w:tc>
          <w:tcPr>
            <w:tcW w:w="20" w:type="dxa"/>
            <w:vAlign w:val="bottom"/>
          </w:tcPr>
          <w:p>
            <w:pPr>
              <w:spacing w:after="0"/>
              <w:rPr>
                <w:sz w:val="21"/>
                <w:szCs w:val="21"/>
                <w:color w:val="auto"/>
              </w:rPr>
            </w:pPr>
          </w:p>
        </w:tc>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from revenues</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24"/>
        </w:trPr>
        <w:tc>
          <w:tcPr>
            <w:tcW w:w="2440" w:type="dxa"/>
            <w:vAlign w:val="bottom"/>
            <w:gridSpan w:val="2"/>
          </w:tcPr>
          <w:p>
            <w:pPr>
              <w:spacing w:after="0"/>
              <w:rPr>
                <w:sz w:val="20"/>
                <w:szCs w:val="20"/>
                <w:color w:val="auto"/>
              </w:rPr>
            </w:pPr>
            <w:r>
              <w:rPr>
                <w:rFonts w:ascii="Arial" w:cs="Arial" w:eastAsia="Arial" w:hAnsi="Arial"/>
                <w:sz w:val="16"/>
                <w:szCs w:val="16"/>
                <w:color w:val="auto"/>
              </w:rPr>
              <w:t>Non-GAAP revenues</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108,707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110,707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34,000</w:t>
            </w:r>
          </w:p>
        </w:tc>
      </w:tr>
    </w:tbl>
    <w:p>
      <w:pPr>
        <w:spacing w:after="0" w:line="192" w:lineRule="exact"/>
        <w:rPr>
          <w:sz w:val="20"/>
          <w:szCs w:val="20"/>
          <w:color w:val="auto"/>
        </w:rPr>
      </w:pPr>
    </w:p>
    <w:p>
      <w:pPr>
        <w:jc w:val="both"/>
        <w:ind w:left="980" w:right="539" w:hanging="374"/>
        <w:spacing w:after="0" w:line="250" w:lineRule="auto"/>
        <w:tabs>
          <w:tab w:leader="none" w:pos="1002"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Non-GAAP operating income is a non-GAAP financial measure. Non-GAAP operating income consists of U.S. GAAP operating income adjusted to exclude the impact of the fair value of the warrants deducted from revenues, share-based compensation expense, acquisition-related expenses, amortization of acquired intangible assets, compensation related to our IPO, excess cost of acquired inventory and other non-recurring expenses. The purpose of such adjustments is to give an indication of our performance exclusive of non-cash charges and other items that are considered by management to be reflective of the performance of our underlying business. The following table presents a reconciliation of our operating income, the most directly comparable U.S. GAAP measure, to non-GAAP operating income.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33"/>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73"/>
              <w:spacing w:after="0"/>
              <w:rPr>
                <w:sz w:val="20"/>
                <w:szCs w:val="20"/>
                <w:color w:val="auto"/>
              </w:rPr>
            </w:pPr>
            <w:r>
              <w:rPr>
                <w:rFonts w:ascii="Arial" w:cs="Arial" w:eastAsia="Arial" w:hAnsi="Arial"/>
                <w:sz w:val="14"/>
                <w:szCs w:val="14"/>
                <w:b w:val="1"/>
                <w:bCs w:val="1"/>
                <w:color w:val="auto"/>
                <w:w w:val="96"/>
              </w:rPr>
              <w:t>Three Months Ended December 31,</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Estimated</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High</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Operating</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Income to Non-GAAP</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Operating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Fair value of warrants deducted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3"/>
        </w:trPr>
        <w:tc>
          <w:tcPr>
            <w:tcW w:w="2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from revenues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2"/>
        </w:trPr>
        <w:tc>
          <w:tcPr>
            <w:tcW w:w="2400" w:type="dxa"/>
            <w:vAlign w:val="bottom"/>
          </w:tcPr>
          <w:p>
            <w:pPr>
              <w:ind w:left="360"/>
              <w:spacing w:after="0"/>
              <w:rPr>
                <w:sz w:val="20"/>
                <w:szCs w:val="20"/>
                <w:color w:val="auto"/>
              </w:rPr>
            </w:pPr>
            <w:r>
              <w:rPr>
                <w:rFonts w:ascii="Arial" w:cs="Arial" w:eastAsia="Arial" w:hAnsi="Arial"/>
                <w:sz w:val="16"/>
                <w:szCs w:val="16"/>
                <w:color w:val="auto"/>
              </w:rPr>
              <w:t>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expenses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3"/>
        </w:trPr>
        <w:tc>
          <w:tcPr>
            <w:tcW w:w="2400" w:type="dxa"/>
            <w:vAlign w:val="bottom"/>
          </w:tcPr>
          <w:p>
            <w:pPr>
              <w:ind w:left="180"/>
              <w:spacing w:after="0"/>
              <w:rPr>
                <w:sz w:val="20"/>
                <w:szCs w:val="20"/>
                <w:color w:val="auto"/>
              </w:rPr>
            </w:pPr>
            <w:r>
              <w:rPr>
                <w:rFonts w:ascii="Arial" w:cs="Arial" w:eastAsia="Arial" w:hAnsi="Arial"/>
                <w:sz w:val="16"/>
                <w:szCs w:val="16"/>
                <w:color w:val="auto"/>
              </w:rPr>
              <w:t>Amortization of acquired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2"/>
        </w:trPr>
        <w:tc>
          <w:tcPr>
            <w:tcW w:w="2400" w:type="dxa"/>
            <w:vAlign w:val="bottom"/>
          </w:tcPr>
          <w:p>
            <w:pPr>
              <w:ind w:left="360"/>
              <w:spacing w:after="0"/>
              <w:rPr>
                <w:sz w:val="20"/>
                <w:szCs w:val="20"/>
                <w:color w:val="auto"/>
              </w:rPr>
            </w:pPr>
            <w:r>
              <w:rPr>
                <w:rFonts w:ascii="Arial" w:cs="Arial" w:eastAsia="Arial" w:hAnsi="Arial"/>
                <w:sz w:val="16"/>
                <w:szCs w:val="16"/>
                <w:color w:val="auto"/>
              </w:rPr>
              <w:t>intangible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Compensation related to our IPO</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400" w:type="dxa"/>
            <w:vAlign w:val="bottom"/>
          </w:tcPr>
          <w:p>
            <w:pPr>
              <w:ind w:left="180"/>
              <w:spacing w:after="0"/>
              <w:rPr>
                <w:sz w:val="20"/>
                <w:szCs w:val="20"/>
                <w:color w:val="auto"/>
              </w:rPr>
            </w:pPr>
            <w:r>
              <w:rPr>
                <w:rFonts w:ascii="Arial" w:cs="Arial" w:eastAsia="Arial" w:hAnsi="Arial"/>
                <w:sz w:val="16"/>
                <w:szCs w:val="16"/>
                <w:color w:val="auto"/>
              </w:rPr>
              <w:t>Excess cost of acquired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2"/>
        </w:trPr>
        <w:tc>
          <w:tcPr>
            <w:tcW w:w="240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non-recurring expenses</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20"/>
                <w:szCs w:val="20"/>
                <w:color w:val="auto"/>
              </w:rPr>
            </w:pPr>
            <w:r>
              <w:rPr>
                <w:rFonts w:ascii="Arial" w:cs="Arial" w:eastAsia="Arial" w:hAnsi="Arial"/>
                <w:sz w:val="16"/>
                <w:szCs w:val="16"/>
                <w:color w:val="auto"/>
              </w:rPr>
              <w:t>Non-GAAP operating income</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10,448</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60" w:right="539" w:firstLine="432"/>
        <w:spacing w:after="0" w:line="302" w:lineRule="auto"/>
        <w:rPr>
          <w:sz w:val="20"/>
          <w:szCs w:val="20"/>
          <w:color w:val="auto"/>
        </w:rPr>
      </w:pPr>
      <w:r>
        <w:rPr>
          <w:rFonts w:ascii="Arial" w:cs="Arial" w:eastAsia="Arial" w:hAnsi="Arial"/>
          <w:sz w:val="16"/>
          <w:szCs w:val="16"/>
          <w:color w:val="auto"/>
        </w:rPr>
        <w:t>Non-GAAP revenues and non-GAAP operating income are among the primary factors management uses in planning for and forecasting future periods. Furthermore, these non-GAAP measures are used internally to understand, manage and evaluate our business and make operating decisions, and we believe that it is useful to investors as a consistent and comparable measure of the ongoing performance of our business.</w:t>
      </w:r>
    </w:p>
    <w:p>
      <w:pPr>
        <w:spacing w:after="0" w:line="87" w:lineRule="exact"/>
        <w:rPr>
          <w:sz w:val="20"/>
          <w:szCs w:val="20"/>
          <w:color w:val="auto"/>
        </w:rPr>
      </w:pPr>
    </w:p>
    <w:p>
      <w:pPr>
        <w:jc w:val="both"/>
        <w:ind w:left="560" w:right="559" w:firstLine="432"/>
        <w:spacing w:after="0" w:line="257" w:lineRule="auto"/>
        <w:rPr>
          <w:sz w:val="20"/>
          <w:szCs w:val="20"/>
          <w:color w:val="auto"/>
        </w:rPr>
      </w:pPr>
      <w:r>
        <w:rPr>
          <w:rFonts w:ascii="Arial" w:cs="Arial" w:eastAsia="Arial" w:hAnsi="Arial"/>
          <w:sz w:val="18"/>
          <w:szCs w:val="18"/>
          <w:color w:val="auto"/>
        </w:rPr>
        <w:t>Our non-GAAP revenues and non-GAAP operating income are not meant to be considered in isolation or as a substitute for comparable GAAP measures, and should be read only in conjunction with our consolidated financial statements prepared in accordance with GAAP. Additionally, non-GAAP revenues and non-GAAP operating income may differ materially from similar non-GAAP measures used by other companies.</w:t>
      </w:r>
    </w:p>
    <w:p>
      <w:pPr>
        <w:sectPr>
          <w:pgSz w:w="11900" w:h="16838" w:orient="portrait"/>
          <w:cols w:equalWidth="0" w:num="1">
            <w:col w:w="9019"/>
          </w:cols>
          <w:pgMar w:left="1440" w:top="332" w:right="1440"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10" w:name="page11"/>
    <w:bookmarkEnd w:id="10"/>
    <w:p>
      <w:pPr>
        <w:ind w:left="5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483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9850" cy="8483600"/>
                    </a:xfrm>
                    <a:prstGeom prst="rect">
                      <a:avLst/>
                    </a:prstGeom>
                    <a:noFill/>
                  </pic:spPr>
                </pic:pic>
              </a:graphicData>
            </a:graphic>
          </wp:anchor>
        </w:drawing>
        <w:t>Revenues</w:t>
      </w:r>
    </w:p>
    <w:p>
      <w:pPr>
        <w:spacing w:after="0" w:line="144"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We estimate our revenues will range from $30.0 million to $32.0 million in the three months ended December 31, 2016 compared to $25.5 million in the three months ended December 31, 2015. Based on the midpoint of the range of our estimated results of operation for 2016, the growth in revenues resulted from a 15.3% increase in system and services revenues to $18.1 million in the three months ended December 31, 2016 from $15.7 million in the three months ended December 31, 2015 and a 33.0% increase in sales of ink and other consumables to $12.9 million in the three months ended December 31, 2016 from $9.7 million in the three months ended December 31, 2015. The increase in system and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the growing maturity of the web-to-print business model which calls for high throughput systems to meet the growing consumer demand. The increase in ink and other consumables revenues was due to the increase in our installed base, particularly of high throughput systems, which drive higher consumption of ink and other consumables.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Income</w:t>
      </w:r>
    </w:p>
    <w:p>
      <w:pPr>
        <w:spacing w:after="0" w:line="158" w:lineRule="exact"/>
        <w:rPr>
          <w:sz w:val="20"/>
          <w:szCs w:val="20"/>
          <w:color w:val="auto"/>
        </w:rPr>
      </w:pPr>
    </w:p>
    <w:p>
      <w:pPr>
        <w:jc w:val="both"/>
        <w:ind w:left="560" w:right="539" w:firstLine="432"/>
        <w:spacing w:after="0" w:line="272" w:lineRule="auto"/>
        <w:rPr>
          <w:sz w:val="20"/>
          <w:szCs w:val="20"/>
          <w:color w:val="auto"/>
        </w:rPr>
      </w:pPr>
      <w:r>
        <w:rPr>
          <w:rFonts w:ascii="Arial" w:cs="Arial" w:eastAsia="Arial" w:hAnsi="Arial"/>
          <w:sz w:val="17"/>
          <w:szCs w:val="17"/>
          <w:color w:val="auto"/>
        </w:rPr>
        <w:t>Operating income fluctuated between a decrease of $1.9 million to a decrease of $1.0 million, representing a decrease ranging from approximately 91% to a decrease of approximately 47%, from $2.2 million in the three months ended December 31, 2015 to between $0.2 million and $1.2 million in the same period in 2016. Operating expenses increased during this period compared to the prior period mainly due to increases in salaries and related personnel expenses and share based compensation due to the hiring of additional personnel, reflecting an increase in headcount compared to the same period in the previous year, and increases in research and development and marketing activity.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jc w:val="both"/>
        <w:ind w:left="560" w:right="559" w:firstLine="432"/>
        <w:spacing w:after="0" w:line="255"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section beginning on page S-14 before making a decision to invest in our ordinary shares. If any of these risks actually occur, our business, financial condition or results of operations would likely be materially adversely affected. In each case, the trading price of our ordinary shares would likely decline, and you may lose all or part of your investment. The following is a summary of some of the principal risks we face:</w:t>
      </w:r>
    </w:p>
    <w:p>
      <w:pPr>
        <w:spacing w:after="0" w:line="112" w:lineRule="exact"/>
        <w:rPr>
          <w:sz w:val="20"/>
          <w:szCs w:val="20"/>
          <w:color w:val="auto"/>
        </w:rPr>
      </w:pPr>
    </w:p>
    <w:p>
      <w:pPr>
        <w:ind w:left="1420" w:right="559" w:hanging="436"/>
        <w:spacing w:after="0" w:line="277" w:lineRule="auto"/>
        <w:tabs>
          <w:tab w:leader="none" w:pos="1417"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102" w:lineRule="exact"/>
        <w:rPr>
          <w:rFonts w:ascii="Arial" w:cs="Arial" w:eastAsia="Arial" w:hAnsi="Arial"/>
          <w:sz w:val="18"/>
          <w:szCs w:val="18"/>
          <w:color w:val="auto"/>
        </w:rPr>
      </w:pPr>
    </w:p>
    <w:p>
      <w:pPr>
        <w:ind w:left="1420" w:right="539" w:hanging="436"/>
        <w:spacing w:after="0" w:line="277" w:lineRule="auto"/>
        <w:tabs>
          <w:tab w:leader="none" w:pos="143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102" w:lineRule="exact"/>
        <w:rPr>
          <w:rFonts w:ascii="Arial" w:cs="Arial" w:eastAsia="Arial" w:hAnsi="Arial"/>
          <w:sz w:val="18"/>
          <w:szCs w:val="18"/>
          <w:color w:val="auto"/>
        </w:rPr>
      </w:pPr>
    </w:p>
    <w:p>
      <w:pPr>
        <w:ind w:left="1420" w:right="559" w:hanging="436"/>
        <w:spacing w:after="0" w:line="277" w:lineRule="auto"/>
        <w:tabs>
          <w:tab w:leader="none" w:pos="1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increased competition and if we do not compete successfully, our revenues and demand for our solutions could decline.</w:t>
      </w:r>
    </w:p>
    <w:p>
      <w:pPr>
        <w:spacing w:after="0" w:line="89" w:lineRule="exact"/>
        <w:rPr>
          <w:rFonts w:ascii="Arial" w:cs="Arial" w:eastAsia="Arial" w:hAnsi="Arial"/>
          <w:sz w:val="18"/>
          <w:szCs w:val="18"/>
          <w:color w:val="auto"/>
        </w:rPr>
      </w:pPr>
    </w:p>
    <w:p>
      <w:pPr>
        <w:jc w:val="both"/>
        <w:ind w:left="1420" w:right="539" w:hanging="436"/>
        <w:spacing w:after="0" w:line="264" w:lineRule="auto"/>
        <w:tabs>
          <w:tab w:leader="none" w:pos="1407"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significant portion of our sales is concentrated among one of our independent distributors and a small number of customers, and our business would be adversely affected by a decline in sales to, or the loss of, this distributor or these customers.</w:t>
      </w:r>
    </w:p>
    <w:p>
      <w:pPr>
        <w:spacing w:after="0" w:line="113" w:lineRule="exact"/>
        <w:rPr>
          <w:rFonts w:ascii="Arial" w:cs="Arial" w:eastAsia="Arial" w:hAnsi="Arial"/>
          <w:sz w:val="18"/>
          <w:szCs w:val="18"/>
          <w:color w:val="auto"/>
        </w:rPr>
      </w:pPr>
    </w:p>
    <w:p>
      <w:pPr>
        <w:ind w:left="1420" w:right="539" w:hanging="436"/>
        <w:spacing w:after="0" w:line="277" w:lineRule="auto"/>
        <w:tabs>
          <w:tab w:leader="none" w:pos="143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results of operations have fluctuated in the past and may fluctuate in the future due to variability in our revenues.</w:t>
      </w:r>
    </w:p>
    <w:p>
      <w:pPr>
        <w:spacing w:after="0" w:line="102" w:lineRule="exact"/>
        <w:rPr>
          <w:rFonts w:ascii="Arial" w:cs="Arial" w:eastAsia="Arial" w:hAnsi="Arial"/>
          <w:sz w:val="18"/>
          <w:szCs w:val="18"/>
          <w:color w:val="auto"/>
        </w:rPr>
      </w:pPr>
    </w:p>
    <w:p>
      <w:pPr>
        <w:jc w:val="both"/>
        <w:ind w:left="1420" w:right="559" w:hanging="436"/>
        <w:spacing w:after="0" w:line="264" w:lineRule="auto"/>
        <w:tabs>
          <w:tab w:leader="none" w:pos="143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contractual arrangements with Amazon, a significant customer, contain a number of material undertakings by us and other agreements, the impact of which cannot be fully predicted in advance.</w:t>
      </w:r>
    </w:p>
    <w:p>
      <w:pPr>
        <w:spacing w:after="0" w:line="100" w:lineRule="exact"/>
        <w:rPr>
          <w:rFonts w:ascii="Arial" w:cs="Arial" w:eastAsia="Arial" w:hAnsi="Arial"/>
          <w:sz w:val="18"/>
          <w:szCs w:val="18"/>
          <w:color w:val="auto"/>
        </w:rPr>
      </w:pPr>
    </w:p>
    <w:p>
      <w:pPr>
        <w:ind w:left="1420" w:right="539" w:hanging="436"/>
        <w:spacing w:after="0" w:line="277" w:lineRule="auto"/>
        <w:tabs>
          <w:tab w:leader="none" w:pos="1418"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relationships with suppliers, especially with single source suppliers of components, were to terminate, our business could be harmed.</w:t>
      </w:r>
    </w:p>
    <w:p>
      <w:pPr>
        <w:spacing w:after="0" w:line="102" w:lineRule="exact"/>
        <w:rPr>
          <w:rFonts w:ascii="Arial" w:cs="Arial" w:eastAsia="Arial" w:hAnsi="Arial"/>
          <w:sz w:val="18"/>
          <w:szCs w:val="18"/>
          <w:color w:val="auto"/>
        </w:rPr>
      </w:pPr>
    </w:p>
    <w:p>
      <w:pPr>
        <w:ind w:left="1420" w:right="559" w:hanging="436"/>
        <w:spacing w:after="0" w:line="277" w:lineRule="auto"/>
        <w:tabs>
          <w:tab w:leader="none" w:pos="153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pacing w:after="0" w:line="102" w:lineRule="exact"/>
        <w:rPr>
          <w:rFonts w:ascii="Arial" w:cs="Arial" w:eastAsia="Arial" w:hAnsi="Arial"/>
          <w:sz w:val="18"/>
          <w:szCs w:val="18"/>
          <w:color w:val="auto"/>
        </w:rPr>
      </w:pPr>
    </w:p>
    <w:p>
      <w:pPr>
        <w:ind w:left="1420" w:right="539" w:hanging="436"/>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Systems we introduced during the past two years or that are in development may not achieve market acceptance or gain adequate market share.</w:t>
      </w:r>
    </w:p>
    <w:p>
      <w:pPr>
        <w:sectPr>
          <w:pgSz w:w="11900" w:h="16838" w:orient="portrait"/>
          <w:cols w:equalWidth="0" w:num="1">
            <w:col w:w="9019"/>
          </w:cols>
          <w:pgMar w:left="1440" w:top="544" w:right="1440"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 w:name="page12"/>
    <w:bookmarkEnd w:id="11"/>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995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9850" cy="2995295"/>
                    </a:xfrm>
                    <a:prstGeom prst="rect">
                      <a:avLst/>
                    </a:prstGeom>
                    <a:noFill/>
                  </pic:spPr>
                </pic:pic>
              </a:graphicData>
            </a:graphic>
          </wp:anchor>
        </w:drawing>
        <w:t>Our significant shareholder</w:t>
      </w:r>
    </w:p>
    <w:p>
      <w:pPr>
        <w:spacing w:after="0" w:line="148" w:lineRule="exact"/>
        <w:rPr>
          <w:sz w:val="20"/>
          <w:szCs w:val="20"/>
          <w:color w:val="auto"/>
        </w:rPr>
      </w:pPr>
    </w:p>
    <w:p>
      <w:pPr>
        <w:jc w:val="both"/>
        <w:ind w:left="560" w:right="539" w:firstLine="432"/>
        <w:spacing w:after="0" w:line="279" w:lineRule="auto"/>
        <w:rPr>
          <w:sz w:val="20"/>
          <w:szCs w:val="20"/>
          <w:color w:val="auto"/>
        </w:rPr>
      </w:pPr>
      <w:r>
        <w:rPr>
          <w:rFonts w:ascii="Arial" w:cs="Arial" w:eastAsia="Arial" w:hAnsi="Arial"/>
          <w:sz w:val="17"/>
          <w:szCs w:val="17"/>
          <w:color w:val="auto"/>
        </w:rPr>
        <w:t>Prior to this offering, entities affiliated with Fortissimo Capital Fund II (Israel) L.P. (“Fortissimo Capital”), beneficially owned 48.5% of our outstanding shares in the aggregate. Upon the completion of this offering, Fortissimo Capital will beneficially own 29.1% of our outstanding shares in the aggregate (or 26.4% if the underwriters exercise in full their option to purchase additional shares).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79"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 xml:space="preserve">We are subject to the provisions of the Israeli Companies Law, 5759-1999, as amended. Our principal executive offices are located at 12 Ha’Amal Street, Rosh Ha’Ayin 4809246, Israel, and our telephone number is +972-3-908-5800. Our website address is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10541-10601 North Commerce Street, Mequon, Wisconsin 53092, and its telephone number is (262) 518-0200.</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7437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9850" cy="7437120"/>
                    </a:xfrm>
                    <a:prstGeom prst="rect">
                      <a:avLst/>
                    </a:prstGeom>
                    <a:noFill/>
                  </pic:spPr>
                </pic:pic>
              </a:graphicData>
            </a:graphic>
          </wp:anchor>
        </w:drawing>
        <w:t>The offering</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Ordinary shares:</w:t>
      </w:r>
    </w:p>
    <w:p>
      <w:pPr>
        <w:spacing w:after="0" w:line="50" w:lineRule="exact"/>
        <w:rPr>
          <w:sz w:val="20"/>
          <w:szCs w:val="20"/>
          <w:color w:val="auto"/>
        </w:rPr>
      </w:pPr>
    </w:p>
    <w:p>
      <w:pPr>
        <w:ind w:left="740"/>
        <w:spacing w:after="0"/>
        <w:tabs>
          <w:tab w:leader="none" w:pos="4260" w:val="left"/>
        </w:tabs>
        <w:rPr>
          <w:sz w:val="20"/>
          <w:szCs w:val="20"/>
          <w:color w:val="auto"/>
        </w:rPr>
      </w:pPr>
      <w:r>
        <w:rPr>
          <w:rFonts w:ascii="Arial" w:cs="Arial" w:eastAsia="Arial" w:hAnsi="Arial"/>
          <w:sz w:val="18"/>
          <w:szCs w:val="18"/>
          <w:color w:val="auto"/>
        </w:rPr>
        <w:t>Offered by us</w:t>
      </w:r>
      <w:r>
        <w:rPr>
          <w:sz w:val="20"/>
          <w:szCs w:val="20"/>
          <w:color w:val="auto"/>
        </w:rPr>
        <w:tab/>
      </w:r>
      <w:r>
        <w:rPr>
          <w:rFonts w:ascii="Arial" w:cs="Arial" w:eastAsia="Arial" w:hAnsi="Arial"/>
          <w:sz w:val="16"/>
          <w:szCs w:val="16"/>
          <w:color w:val="auto"/>
        </w:rPr>
        <w:t>2,000,000 ordinary shares (or 2,300,000 ordinary shares</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if  the  underwriters  exercise  in  full  their  option  to</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purchase additional shares).</w:t>
      </w:r>
    </w:p>
    <w:p>
      <w:pPr>
        <w:spacing w:after="0" w:line="238" w:lineRule="exact"/>
        <w:rPr>
          <w:sz w:val="20"/>
          <w:szCs w:val="20"/>
          <w:color w:val="auto"/>
        </w:rPr>
      </w:pPr>
    </w:p>
    <w:p>
      <w:pPr>
        <w:ind w:left="740"/>
        <w:spacing w:after="0"/>
        <w:tabs>
          <w:tab w:leader="none" w:pos="4260" w:val="left"/>
        </w:tabs>
        <w:rPr>
          <w:sz w:val="20"/>
          <w:szCs w:val="20"/>
          <w:color w:val="auto"/>
        </w:rPr>
      </w:pPr>
      <w:r>
        <w:rPr>
          <w:rFonts w:ascii="Arial" w:cs="Arial" w:eastAsia="Arial" w:hAnsi="Arial"/>
          <w:sz w:val="18"/>
          <w:szCs w:val="18"/>
          <w:color w:val="auto"/>
        </w:rPr>
        <w:t>Offered by the selling shareholders</w:t>
      </w:r>
      <w:r>
        <w:rPr>
          <w:sz w:val="20"/>
          <w:szCs w:val="20"/>
          <w:color w:val="auto"/>
        </w:rPr>
        <w:tab/>
      </w:r>
      <w:r>
        <w:rPr>
          <w:rFonts w:ascii="Arial" w:cs="Arial" w:eastAsia="Arial" w:hAnsi="Arial"/>
          <w:sz w:val="16"/>
          <w:szCs w:val="16"/>
          <w:color w:val="auto"/>
        </w:rPr>
        <w:t>5,500,000 ordinary shares (or 6,325,000 ordinary shares</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if  the  underwriters  exercise  in  full  their  option  to</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purchase additional shares).</w:t>
      </w:r>
    </w:p>
    <w:p>
      <w:pPr>
        <w:sectPr>
          <w:pgSz w:w="11900" w:h="16838" w:orient="portrait"/>
          <w:cols w:equalWidth="0" w:num="1">
            <w:col w:w="9019"/>
          </w:cols>
          <w:pgMar w:left="1440" w:top="540" w:right="1440" w:bottom="1440" w:gutter="0" w:footer="0" w:header="0"/>
        </w:sectPr>
      </w:pPr>
    </w:p>
    <w:p>
      <w:pPr>
        <w:spacing w:after="0" w:line="238" w:lineRule="exact"/>
        <w:rPr>
          <w:sz w:val="20"/>
          <w:szCs w:val="20"/>
          <w:color w:val="auto"/>
        </w:rPr>
      </w:pPr>
    </w:p>
    <w:p>
      <w:pPr>
        <w:ind w:left="740" w:hanging="179"/>
        <w:spacing w:after="0" w:line="277" w:lineRule="auto"/>
        <w:rPr>
          <w:sz w:val="20"/>
          <w:szCs w:val="20"/>
          <w:color w:val="auto"/>
        </w:rPr>
      </w:pPr>
      <w:r>
        <w:rPr>
          <w:rFonts w:ascii="Arial" w:cs="Arial" w:eastAsia="Arial" w:hAnsi="Arial"/>
          <w:sz w:val="18"/>
          <w:szCs w:val="18"/>
          <w:color w:val="auto"/>
        </w:rPr>
        <w:t>Ordinary shares to be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33,079,873 ordinary shares (or 33,379,873 ordinary shares if the underwriters exercise in full their option to purchase additional shares from us).</w:t>
      </w:r>
    </w:p>
    <w:p>
      <w:pPr>
        <w:spacing w:after="0" w:line="200" w:lineRule="exact"/>
        <w:rPr>
          <w:sz w:val="20"/>
          <w:szCs w:val="20"/>
          <w:color w:val="auto"/>
        </w:rPr>
      </w:pPr>
    </w:p>
    <w:p>
      <w:pPr>
        <w:sectPr>
          <w:pgSz w:w="11900" w:h="16838" w:orient="portrait"/>
          <w:cols w:equalWidth="0" w:num="2">
            <w:col w:w="3940" w:space="340"/>
            <w:col w:w="4739"/>
          </w:cols>
          <w:pgMar w:left="1440" w:top="540" w:right="1440" w:bottom="1440" w:gutter="0" w:footer="0" w:header="0"/>
          <w:type w:val="continuous"/>
        </w:sectPr>
      </w:pPr>
    </w:p>
    <w:p>
      <w:pPr>
        <w:spacing w:after="0" w:line="8" w:lineRule="exact"/>
        <w:rPr>
          <w:sz w:val="20"/>
          <w:szCs w:val="20"/>
          <w:color w:val="auto"/>
        </w:rPr>
      </w:pPr>
    </w:p>
    <w:p>
      <w:pPr>
        <w:ind w:left="560"/>
        <w:spacing w:after="0"/>
        <w:tabs>
          <w:tab w:leader="none" w:pos="42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we will receive net proceeds from this</w:t>
      </w:r>
    </w:p>
    <w:p>
      <w:pPr>
        <w:spacing w:after="0" w:line="23" w:lineRule="exact"/>
        <w:rPr>
          <w:sz w:val="20"/>
          <w:szCs w:val="20"/>
          <w:color w:val="auto"/>
        </w:rPr>
      </w:pPr>
    </w:p>
    <w:p>
      <w:pPr>
        <w:ind w:left="4280"/>
        <w:spacing w:after="0"/>
        <w:tabs>
          <w:tab w:leader="none" w:pos="5100" w:val="left"/>
          <w:tab w:leader="none" w:pos="5500" w:val="left"/>
          <w:tab w:leader="none" w:pos="6800" w:val="left"/>
          <w:tab w:leader="none" w:pos="7460" w:val="left"/>
          <w:tab w:leader="none" w:pos="8300" w:val="left"/>
        </w:tabs>
        <w:rPr>
          <w:sz w:val="20"/>
          <w:szCs w:val="20"/>
          <w:color w:val="auto"/>
        </w:rPr>
      </w:pPr>
      <w:r>
        <w:rPr>
          <w:rFonts w:ascii="Arial" w:cs="Arial" w:eastAsia="Arial" w:hAnsi="Arial"/>
          <w:sz w:val="18"/>
          <w:szCs w:val="18"/>
          <w:color w:val="auto"/>
        </w:rPr>
        <w:t>offering</w:t>
        <w:tab/>
        <w:t>of</w:t>
        <w:tab/>
        <w:t>approximately</w:t>
        <w:tab/>
        <w:t>$30.4</w:t>
        <w:tab/>
        <w:t>million,</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approximately $35.1 million if the underwriters exercise</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in full their option to purchase additional ordinary shares</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from us, in each case after deducting the underwriting</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discount and estimated offering expenses. We intend to</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use  the  net  proceeds  from  this  offering  for  general</w:t>
      </w:r>
    </w:p>
    <w:p>
      <w:pPr>
        <w:spacing w:after="0" w:line="21" w:lineRule="exact"/>
        <w:rPr>
          <w:sz w:val="20"/>
          <w:szCs w:val="20"/>
          <w:color w:val="auto"/>
        </w:rPr>
      </w:pPr>
    </w:p>
    <w:p>
      <w:pPr>
        <w:ind w:left="4280"/>
        <w:spacing w:after="0"/>
        <w:tabs>
          <w:tab w:leader="none" w:pos="5080" w:val="left"/>
          <w:tab w:leader="none" w:pos="5900" w:val="left"/>
          <w:tab w:leader="none" w:pos="6260" w:val="left"/>
          <w:tab w:leader="none" w:pos="6580" w:val="left"/>
          <w:tab w:leader="none" w:pos="6940" w:val="left"/>
          <w:tab w:leader="none" w:pos="7720" w:val="left"/>
          <w:tab w:leader="none" w:pos="8180" w:val="left"/>
        </w:tabs>
        <w:rPr>
          <w:sz w:val="20"/>
          <w:szCs w:val="20"/>
          <w:color w:val="auto"/>
        </w:rPr>
      </w:pPr>
      <w:r>
        <w:rPr>
          <w:rFonts w:ascii="Arial" w:cs="Arial" w:eastAsia="Arial" w:hAnsi="Arial"/>
          <w:sz w:val="18"/>
          <w:szCs w:val="18"/>
          <w:color w:val="auto"/>
        </w:rPr>
        <w:t>corporate</w:t>
        <w:tab/>
        <w:t>purposes.</w:t>
        <w:tab/>
        <w:t>We</w:t>
        <w:tab/>
        <w:t>do</w:t>
        <w:tab/>
        <w:t>not</w:t>
        <w:tab/>
        <w:t>currently</w:t>
        <w:tab/>
        <w:t>have</w:t>
      </w:r>
      <w:r>
        <w:rPr>
          <w:sz w:val="20"/>
          <w:szCs w:val="20"/>
          <w:color w:val="auto"/>
        </w:rPr>
        <w:tab/>
      </w:r>
      <w:r>
        <w:rPr>
          <w:rFonts w:ascii="Arial" w:cs="Arial" w:eastAsia="Arial" w:hAnsi="Arial"/>
          <w:sz w:val="16"/>
          <w:szCs w:val="16"/>
          <w:color w:val="auto"/>
        </w:rPr>
        <w:t>any</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acquisitions or investments planned, however we may use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 portion of the net proceeds to acquire or invest in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complementary companies, products or technologies in</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the future. See “Use of proceeds” on page S-32 for more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information. We will not receive any of the proceeds from</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the sale of shares by the selling shareholders. See “Use of</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proceeds.”</w:t>
      </w:r>
    </w:p>
    <w:p>
      <w:pPr>
        <w:spacing w:after="0" w:line="238" w:lineRule="exact"/>
        <w:rPr>
          <w:sz w:val="20"/>
          <w:szCs w:val="20"/>
          <w:color w:val="auto"/>
        </w:rPr>
      </w:pPr>
    </w:p>
    <w:p>
      <w:pPr>
        <w:ind w:left="560"/>
        <w:spacing w:after="0"/>
        <w:tabs>
          <w:tab w:leader="none" w:pos="426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“KRNT”</w:t>
      </w:r>
    </w:p>
    <w:p>
      <w:pPr>
        <w:spacing w:after="0" w:line="293" w:lineRule="exact"/>
        <w:rPr>
          <w:sz w:val="20"/>
          <w:szCs w:val="20"/>
          <w:color w:val="auto"/>
        </w:rPr>
      </w:pPr>
    </w:p>
    <w:p>
      <w:pPr>
        <w:ind w:left="560"/>
        <w:spacing w:after="0"/>
        <w:tabs>
          <w:tab w:leader="none" w:pos="42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and other information included in this</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prospectus supplement and the accompanying prospectus</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for a discussion of factors you should carefully consider</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before deciding to invest in our ordinary shares.</w:t>
      </w:r>
    </w:p>
    <w:p>
      <w:pPr>
        <w:spacing w:after="0" w:line="170"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Unless otherwise indicated, the number of ordinary shares to be outstanding after this offering (1) is based on 30,989,873 ordinary shares outstanding as of December 31, 2016 and excludes 4,124,036 ordinary shares reserved for issuance under our equity incentive plans as of December 31, 2016 of which we had outstanding options to purchase 2,722,161 ordinary shares at a weighted average exercise price of $6.99 per share, and (2) gives effect to the issuance of 90,000 ordinary shares pursuant to the exercise of options by one of the selling shareholders in this offering.</w:t>
      </w:r>
    </w:p>
    <w:p>
      <w:pPr>
        <w:spacing w:after="0" w:line="126" w:lineRule="exact"/>
        <w:rPr>
          <w:sz w:val="20"/>
          <w:szCs w:val="20"/>
          <w:color w:val="auto"/>
        </w:rPr>
      </w:pPr>
    </w:p>
    <w:p>
      <w:pPr>
        <w:jc w:val="both"/>
        <w:ind w:left="560" w:right="559" w:firstLine="432"/>
        <w:spacing w:after="0" w:line="297" w:lineRule="auto"/>
        <w:rPr>
          <w:sz w:val="20"/>
          <w:szCs w:val="20"/>
          <w:color w:val="auto"/>
        </w:rPr>
      </w:pPr>
      <w:r>
        <w:rPr>
          <w:rFonts w:ascii="Arial" w:cs="Arial" w:eastAsia="Arial" w:hAnsi="Arial"/>
          <w:sz w:val="16"/>
          <w:szCs w:val="16"/>
          <w:color w:val="auto"/>
        </w:rPr>
        <w:t>Unless otherwise indicated, all information in this prospectus supplement assumes (1) no exercise by the underwriters of their option to purchase up to an additional 300,000 ordinary shares from us and up to an additional 825,000 ordinary shares from one of the selling shareholders, and (2) no exercise of outstanding options or warrants after December 31, 2016, other than the exercise of options by one of the selling shareholders, which shares are reflected in the number of ordinary shares to be outstanding after this offering.</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69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9850" cy="8869680"/>
                    </a:xfrm>
                    <a:prstGeom prst="rect">
                      <a:avLst/>
                    </a:prstGeom>
                    <a:noFill/>
                  </pic:spPr>
                </pic:pic>
              </a:graphicData>
            </a:graphic>
          </wp:anchor>
        </w:drawing>
        <w:t>Summary consolidated financial and other data</w:t>
      </w:r>
    </w:p>
    <w:p>
      <w:pPr>
        <w:spacing w:after="0" w:line="148"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The following tables set forth our summary consolidated financial data. You should read the following summary consolidated financial data in conjunction with “ITEM 3: Key Information — Selected Financial Data,” “ITEM 5: Operating and Financial Review and Prospects” and our consolidated financial statements and the related notes found in our Annual Report on Form 20-F for the year ended December 31, 2015. The summary consolidated statements of income data for the years ended December 31, 2013, 2014 and 2015 and summary consolidated balance sheet data as of December 31, 2015 are derived from our audited consolidated financial statements included in “ITEM 18: Financial Statements” in our Annual Report on Form 20-F for the year ended December 31, 2015. The summary consolidated statements of income data for the nine months ended September 30, 2015 and 2016 and the summary consolidated balance sheet data as of September 30, 2016 are derived from our Current Report on Form 6-K filed on January 3, 2017, which is incorporated by reference in this prospectus supplement. The historical results set forth below are not necessarily indicative of the results to be expected in future periods. Our financial statements have been prepared in accordance with U.S. generally accepted accounting principles (“U.S. GAAP”).</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6"/>
          </w:tcPr>
          <w:p>
            <w:pPr>
              <w:ind w:left="2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5"/>
              </w:rPr>
              <w:t>2015</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40" w:type="dxa"/>
            <w:vAlign w:val="bottom"/>
            <w:gridSpan w:val="17"/>
          </w:tcPr>
          <w:p>
            <w:pPr>
              <w:jc w:val="right"/>
              <w:ind w:right="180"/>
              <w:spacing w:after="0"/>
              <w:rPr>
                <w:sz w:val="20"/>
                <w:szCs w:val="20"/>
                <w:color w:val="auto"/>
              </w:rPr>
            </w:pPr>
            <w:r>
              <w:rPr>
                <w:rFonts w:ascii="Arial" w:cs="Arial" w:eastAsia="Arial" w:hAnsi="Arial"/>
                <w:sz w:val="16"/>
                <w:szCs w:val="16"/>
                <w:b w:val="1"/>
                <w:bCs w:val="1"/>
                <w:color w:val="auto"/>
                <w:w w:val="91"/>
              </w:rPr>
              <w:t>(in thousands, except share and per share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 Statements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49,395</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66,364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86,405</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60,907</w:t>
            </w:r>
          </w:p>
        </w:tc>
        <w:tc>
          <w:tcPr>
            <w:tcW w:w="60" w:type="dxa"/>
            <w:vAlign w:val="bottom"/>
          </w:tcPr>
          <w:p>
            <w:pPr>
              <w:spacing w:after="0"/>
              <w:rPr>
                <w:sz w:val="20"/>
                <w:szCs w:val="20"/>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76,707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28,530</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Finance income (expenses), net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2,660</w:t>
            </w:r>
          </w:p>
        </w:tc>
        <w:tc>
          <w:tcPr>
            <w:tcW w:w="60" w:type="dxa"/>
            <w:vAlign w:val="bottom"/>
          </w:tcPr>
          <w:p>
            <w:pPr>
              <w:spacing w:after="0"/>
              <w:rPr>
                <w:sz w:val="20"/>
                <w:szCs w:val="20"/>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Net earnings (loss) per ordinary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share</w:t>
            </w:r>
            <w:r>
              <w:rPr>
                <w:rFonts w:ascii="Arial" w:cs="Arial" w:eastAsia="Arial" w:hAnsi="Arial"/>
                <w:sz w:val="21"/>
                <w:szCs w:val="21"/>
                <w:color w:val="auto"/>
                <w:vertAlign w:val="superscript"/>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20"/>
                <w:szCs w:val="20"/>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shares used 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computing income per ordinary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r>
              <w:rPr>
                <w:rFonts w:ascii="Arial" w:cs="Arial" w:eastAsia="Arial" w:hAnsi="Arial"/>
                <w:sz w:val="21"/>
                <w:szCs w:val="21"/>
                <w:color w:val="auto"/>
                <w:vertAlign w:val="superscript"/>
              </w:rPr>
              <w:t>(2)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8,953,565</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8,969,588</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24,633,369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22,814,312</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30,474,462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9,880,049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10,446,329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26,458,584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24,734,519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31,739,909</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8"/>
          </w:tcPr>
          <w:p>
            <w:pPr>
              <w:ind w:left="40"/>
              <w:spacing w:after="0"/>
              <w:rPr>
                <w:sz w:val="20"/>
                <w:szCs w:val="20"/>
                <w:color w:val="auto"/>
              </w:rPr>
            </w:pPr>
            <w:r>
              <w:rPr>
                <w:rFonts w:ascii="Arial" w:cs="Arial" w:eastAsia="Arial" w:hAnsi="Arial"/>
                <w:sz w:val="16"/>
                <w:szCs w:val="16"/>
                <w:b w:val="1"/>
                <w:bCs w:val="1"/>
                <w:color w:val="auto"/>
              </w:rPr>
              <w:t>As of September 30, 2016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4"/>
          </w:tcPr>
          <w:p>
            <w:pPr>
              <w:ind w:left="40"/>
              <w:spacing w:after="0"/>
              <w:rPr>
                <w:sz w:val="20"/>
                <w:szCs w:val="20"/>
                <w:color w:val="auto"/>
              </w:rPr>
            </w:pPr>
            <w:r>
              <w:rPr>
                <w:rFonts w:ascii="Arial" w:cs="Arial" w:eastAsia="Arial" w:hAnsi="Arial"/>
                <w:sz w:val="16"/>
                <w:szCs w:val="16"/>
                <w:b w:val="1"/>
                <w:bCs w:val="1"/>
                <w:color w:val="auto"/>
              </w:rPr>
              <w:t>Actual</w:t>
            </w:r>
          </w:p>
        </w:tc>
        <w:tc>
          <w:tcPr>
            <w:tcW w:w="108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87"/>
              </w:rPr>
              <w:t>As adjusted</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7"/>
              </w:rPr>
              <w:t>Consolidated Balance Sheet Data:</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13"/>
          </w:tcPr>
          <w:p>
            <w:pPr>
              <w:spacing w:after="0"/>
              <w:rPr>
                <w:sz w:val="20"/>
                <w:szCs w:val="20"/>
                <w:color w:val="auto"/>
              </w:rPr>
            </w:pPr>
            <w:r>
              <w:rPr>
                <w:rFonts w:ascii="Arial" w:cs="Arial" w:eastAsia="Arial" w:hAnsi="Arial"/>
                <w:sz w:val="18"/>
                <w:szCs w:val="18"/>
                <w:color w:val="auto"/>
                <w:w w:val="88"/>
              </w:rPr>
              <w:t>Cash and cash equivalents and available for sale marketable securities</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56,691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60,653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132,186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162,781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2,594</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103,364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tbl>
      <w:tblPr>
        <w:tblLayout w:type="fixed"/>
        <w:tblInd w:w="5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00" w:type="dxa"/>
            <w:vAlign w:val="bottom"/>
            <w:gridSpan w:val="6"/>
          </w:tcPr>
          <w:p>
            <w:pPr>
              <w:ind w:left="120"/>
              <w:spacing w:after="0"/>
              <w:rPr>
                <w:sz w:val="20"/>
                <w:szCs w:val="20"/>
                <w:color w:val="auto"/>
              </w:rPr>
            </w:pPr>
            <w:r>
              <w:rPr>
                <w:rFonts w:ascii="Arial" w:cs="Arial" w:eastAsia="Arial" w:hAnsi="Arial"/>
                <w:sz w:val="16"/>
                <w:szCs w:val="16"/>
                <w:b w:val="1"/>
                <w:bCs w:val="1"/>
                <w:color w:val="auto"/>
                <w:w w:val="91"/>
              </w:rPr>
              <w:t>Nine Months Ended September</w:t>
            </w:r>
          </w:p>
        </w:tc>
      </w:tr>
      <w:tr>
        <w:trPr>
          <w:trHeight w:val="213"/>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2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2016</w:t>
            </w: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20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Supplemental Financial</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2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9,933</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6,474  $</w:t>
            </w:r>
          </w:p>
        </w:tc>
        <w:tc>
          <w:tcPr>
            <w:tcW w:w="820" w:type="dxa"/>
            <w:vAlign w:val="bottom"/>
          </w:tcPr>
          <w:p>
            <w:pPr>
              <w:jc w:val="right"/>
              <w:spacing w:after="0"/>
              <w:rPr>
                <w:sz w:val="20"/>
                <w:szCs w:val="20"/>
                <w:color w:val="auto"/>
              </w:rPr>
            </w:pPr>
            <w:r>
              <w:rPr>
                <w:rFonts w:ascii="Arial" w:cs="Arial" w:eastAsia="Arial" w:hAnsi="Arial"/>
                <w:sz w:val="18"/>
                <w:szCs w:val="18"/>
                <w:color w:val="auto"/>
              </w:rPr>
              <w:t>4,713</w:t>
            </w:r>
          </w:p>
        </w:tc>
      </w:tr>
      <w:tr>
        <w:trPr>
          <w:trHeight w:val="206"/>
        </w:trPr>
        <w:tc>
          <w:tcPr>
            <w:tcW w:w="206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61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9850" cy="9161145"/>
                    </a:xfrm>
                    <a:prstGeom prst="rect">
                      <a:avLst/>
                    </a:prstGeom>
                    <a:noFill/>
                  </pic:spPr>
                </pic:pic>
              </a:graphicData>
            </a:graphic>
          </wp:anchor>
        </w:drawing>
      </w:r>
    </w:p>
    <w:p>
      <w:pPr>
        <w:ind w:left="980" w:hanging="42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share-based compensation expense as follows:</w:t>
      </w:r>
    </w:p>
    <w:p>
      <w:pPr>
        <w:spacing w:after="0" w:line="16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spacing w:after="0"/>
              <w:rPr>
                <w:sz w:val="20"/>
                <w:szCs w:val="20"/>
                <w:color w:val="auto"/>
              </w:rPr>
            </w:pPr>
            <w:r>
              <w:rPr>
                <w:rFonts w:ascii="Arial" w:cs="Arial" w:eastAsia="Arial" w:hAnsi="Arial"/>
                <w:sz w:val="14"/>
                <w:szCs w:val="14"/>
                <w:b w:val="1"/>
                <w:bCs w:val="1"/>
                <w:color w:val="auto"/>
                <w:w w:val="93"/>
              </w:rPr>
              <w:t>Nine Months Ended September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0"/>
              </w:rPr>
              <w:t>Share-based Compensation Expense: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6"/>
                <w:szCs w:val="16"/>
                <w:color w:val="auto"/>
              </w:rPr>
              <w:t>Cost of revenues</w:t>
            </w:r>
          </w:p>
        </w:tc>
        <w:tc>
          <w:tcPr>
            <w:tcW w:w="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6"/>
        </w:trPr>
        <w:tc>
          <w:tcPr>
            <w:tcW w:w="2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tcPr>
          <w:p>
            <w:pPr>
              <w:spacing w:after="0" w:line="173" w:lineRule="exact"/>
              <w:rPr>
                <w:sz w:val="20"/>
                <w:szCs w:val="20"/>
                <w:color w:val="auto"/>
              </w:rPr>
            </w:pPr>
            <w:r>
              <w:rPr>
                <w:rFonts w:ascii="Arial" w:cs="Arial" w:eastAsia="Arial" w:hAnsi="Arial"/>
                <w:sz w:val="16"/>
                <w:szCs w:val="16"/>
                <w:color w:val="auto"/>
              </w:rPr>
              <w:t>Total share-based compensation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Pr>
          <w:p>
            <w:pPr>
              <w:ind w:left="160"/>
              <w:spacing w:after="0"/>
              <w:rPr>
                <w:sz w:val="20"/>
                <w:szCs w:val="20"/>
                <w:color w:val="auto"/>
              </w:rPr>
            </w:pPr>
            <w:r>
              <w:rPr>
                <w:rFonts w:ascii="Arial" w:cs="Arial" w:eastAsia="Arial" w:hAnsi="Arial"/>
                <w:sz w:val="16"/>
                <w:szCs w:val="16"/>
                <w:color w:val="auto"/>
              </w:rPr>
              <w:t>expense</w:t>
            </w:r>
          </w:p>
        </w:tc>
        <w:tc>
          <w:tcPr>
            <w:tcW w:w="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897</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2,383</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980" w:right="559" w:hanging="428"/>
        <w:spacing w:after="0" w:line="251" w:lineRule="auto"/>
        <w:tabs>
          <w:tab w:leader="none" w:pos="10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Basic and diluted net earnings per ordinary share is computed based on the basic and diluted weighted average number of ordinary shares outstanding during each period. For additional information, see notes 2y and 10 to our consolidated financial statements included in our Annual report on Form 20-F for the year ended December 31, 2015.</w:t>
      </w:r>
    </w:p>
    <w:p>
      <w:pPr>
        <w:jc w:val="both"/>
        <w:ind w:left="980" w:right="539" w:hanging="428"/>
        <w:spacing w:after="0" w:line="246" w:lineRule="auto"/>
        <w:tabs>
          <w:tab w:leader="none" w:pos="10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adjusted gives effect to (i) the issuance and sale of ordinary shares by us in this offering at the public offering price of $16.50 per ordinary share after deducting underwriting discounts and commissions and estimated offering expenses payable by us, and (ii) the receipt by us of $200,000 in connection with the exercise of options by one of the selling shareholders.</w:t>
      </w:r>
    </w:p>
    <w:p>
      <w:pPr>
        <w:spacing w:after="0" w:line="1" w:lineRule="exact"/>
        <w:rPr>
          <w:rFonts w:ascii="Arial" w:cs="Arial" w:eastAsia="Arial" w:hAnsi="Arial"/>
          <w:sz w:val="16"/>
          <w:szCs w:val="16"/>
          <w:color w:val="auto"/>
        </w:rPr>
      </w:pPr>
    </w:p>
    <w:p>
      <w:pPr>
        <w:ind w:left="980" w:hanging="42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5" w:lineRule="exact"/>
        <w:rPr>
          <w:rFonts w:ascii="Arial" w:cs="Arial" w:eastAsia="Arial" w:hAnsi="Arial"/>
          <w:sz w:val="16"/>
          <w:szCs w:val="16"/>
          <w:color w:val="auto"/>
        </w:rPr>
      </w:pPr>
    </w:p>
    <w:p>
      <w:pPr>
        <w:ind w:left="980" w:hanging="42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table reconciles net income to Adjusted EBITDA for the periods presented:</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Reconciliation of Net Income to Adjusted</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1,134</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3,023</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Finance (income) expenses, net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6"/>
                <w:szCs w:val="16"/>
                <w:color w:val="auto"/>
              </w:rPr>
              <w:t>Taxes on income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r>
      <w:tr>
        <w:trPr>
          <w:trHeight w:val="26"/>
        </w:trPr>
        <w:tc>
          <w:tcPr>
            <w:tcW w:w="3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Share-based compensation expense</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left="980" w:right="539" w:firstLine="432"/>
        <w:spacing w:after="0" w:line="305" w:lineRule="auto"/>
        <w:rPr>
          <w:sz w:val="20"/>
          <w:szCs w:val="20"/>
          <w:color w:val="auto"/>
        </w:rPr>
      </w:pPr>
      <w:r>
        <w:rPr>
          <w:rFonts w:ascii="Arial" w:cs="Arial" w:eastAsia="Arial" w:hAnsi="Arial"/>
          <w:sz w:val="15"/>
          <w:szCs w:val="15"/>
          <w:color w:val="auto"/>
        </w:rPr>
        <w:t>Adjusted EBITDA is a non-GAAP measure defined as net income before finance income (expenses), net (including foreign exchange gains and losses), taxes on income, depreciation and amortization, and share-based compensation expense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14" w:lineRule="exact"/>
        <w:rPr>
          <w:sz w:val="20"/>
          <w:szCs w:val="20"/>
          <w:color w:val="auto"/>
        </w:rPr>
      </w:pPr>
    </w:p>
    <w:p>
      <w:pPr>
        <w:ind w:left="1420" w:right="559" w:hanging="436"/>
        <w:spacing w:after="0" w:line="281" w:lineRule="auto"/>
        <w:tabs>
          <w:tab w:leader="none" w:pos="1442" w:val="left"/>
        </w:tabs>
        <w:numPr>
          <w:ilvl w:val="0"/>
          <w:numId w:val="12"/>
        </w:numPr>
        <w:rPr>
          <w:rFonts w:ascii="Arial" w:cs="Arial" w:eastAsia="Arial" w:hAnsi="Arial"/>
          <w:sz w:val="18"/>
          <w:szCs w:val="18"/>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22" w:lineRule="exact"/>
        <w:rPr>
          <w:rFonts w:ascii="Arial" w:cs="Arial" w:eastAsia="Arial" w:hAnsi="Arial"/>
          <w:sz w:val="18"/>
          <w:szCs w:val="18"/>
          <w:color w:val="auto"/>
        </w:rPr>
      </w:pPr>
    </w:p>
    <w:p>
      <w:pPr>
        <w:ind w:left="1400" w:hanging="416"/>
        <w:spacing w:after="0"/>
        <w:tabs>
          <w:tab w:leader="none" w:pos="1400" w:val="left"/>
        </w:tabs>
        <w:numPr>
          <w:ilvl w:val="0"/>
          <w:numId w:val="12"/>
        </w:numPr>
        <w:rPr>
          <w:rFonts w:ascii="Arial" w:cs="Arial" w:eastAsia="Arial" w:hAnsi="Arial"/>
          <w:sz w:val="17"/>
          <w:szCs w:val="17"/>
          <w:color w:val="auto"/>
        </w:rPr>
      </w:pPr>
      <w:r>
        <w:rPr>
          <w:rFonts w:ascii="Arial" w:cs="Arial" w:eastAsia="Arial" w:hAnsi="Arial"/>
          <w:sz w:val="15"/>
          <w:szCs w:val="15"/>
          <w:color w:val="auto"/>
        </w:rPr>
        <w:t>Adjusted EBITDA does not reflect changes in, or cash requirements for, our working capital needs; and</w:t>
      </w:r>
    </w:p>
    <w:p>
      <w:pPr>
        <w:spacing w:after="0" w:line="155" w:lineRule="exact"/>
        <w:rPr>
          <w:rFonts w:ascii="Arial" w:cs="Arial" w:eastAsia="Arial" w:hAnsi="Arial"/>
          <w:sz w:val="17"/>
          <w:szCs w:val="17"/>
          <w:color w:val="auto"/>
        </w:rPr>
      </w:pPr>
    </w:p>
    <w:p>
      <w:pPr>
        <w:ind w:left="1420" w:right="539" w:hanging="436"/>
        <w:spacing w:after="0" w:line="315" w:lineRule="auto"/>
        <w:tabs>
          <w:tab w:leader="none" w:pos="1402" w:val="left"/>
        </w:tabs>
        <w:numPr>
          <w:ilvl w:val="0"/>
          <w:numId w:val="12"/>
        </w:numPr>
        <w:rPr>
          <w:rFonts w:ascii="Arial" w:cs="Arial" w:eastAsia="Arial" w:hAnsi="Arial"/>
          <w:sz w:val="17"/>
          <w:szCs w:val="17"/>
          <w:color w:val="auto"/>
        </w:rPr>
      </w:pPr>
      <w:r>
        <w:rPr>
          <w:rFonts w:ascii="Arial" w:cs="Arial" w:eastAsia="Arial" w:hAnsi="Arial"/>
          <w:sz w:val="15"/>
          <w:szCs w:val="15"/>
          <w:color w:val="auto"/>
        </w:rPr>
        <w:t>Although depreciation is a non-cash charge, the assets being depreciated will often have to be replaced in the future, and Adjusted EBITDA does not reflect any cash requirements for such replacements.</w:t>
      </w:r>
    </w:p>
    <w:p>
      <w:pPr>
        <w:sectPr>
          <w:pgSz w:w="11900" w:h="16838" w:orient="portrait"/>
          <w:cols w:equalWidth="0" w:num="1">
            <w:col w:w="9019"/>
          </w:cols>
          <w:pgMar w:left="1440" w:top="328" w:right="1440"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5" w:name="page16"/>
    <w:bookmarkEnd w:id="15"/>
    <w:p>
      <w:pPr>
        <w:jc w:val="both"/>
        <w:ind w:left="980" w:right="539" w:firstLine="43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130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9850" cy="1305560"/>
                    </a:xfrm>
                    <a:prstGeom prst="rect">
                      <a:avLst/>
                    </a:prstGeom>
                    <a:noFill/>
                  </pic:spPr>
                </pic:pic>
              </a:graphicData>
            </a:graphic>
          </wp:anchor>
        </w:drawing>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dollar (affecting finance income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An investment in our ordinary shares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below, before making your investment decision.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2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8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business model benefits significantly from recurring sales of our ink and other consumables for our existing and growing installed base of systems. Third parties could try to sell, and purchasers of our systems can seek to buy, alternative versions of our ink or other consumables. We have encountered limited instances of these activities by third parties in specific markets. Third-party ink and other consumables might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1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face increased competition and if we do not compete successfully, our revenues and demand for our solutions could decline.</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principal competition for our digital printing systems comes from manufacturers of analog screen printing systems, textile printers and ink. Our principal competitor in the high throughput digital DTG market is Aeoon Technologies GmbH. We also face competition in this market from Brother International Corporation, Seiko Epson Corporation, Ricoh and a number of smaller competitors with respect to our entry level system. Our competitors in the R2R market include: Dover Corporation through its MS Printing Solutions S.r.l. subsidiary, Durst Phototechnik AG; Electronics for Imaging, Inc. through its Reggiani Macchine SpA subsidiary; Mimaki Engineering Co., Ltd.; and a number of smaller competitors. 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R2R market have become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 w:name="page18"/>
    <w:bookmarkEnd w:id="17"/>
    <w:p>
      <w:pPr>
        <w:jc w:val="both"/>
        <w:ind w:left="460" w:right="459"/>
        <w:spacing w:after="0" w:line="270" w:lineRule="auto"/>
        <w:rPr>
          <w:sz w:val="20"/>
          <w:szCs w:val="20"/>
          <w:color w:val="auto"/>
        </w:rPr>
      </w:pPr>
      <w:r>
        <w:rPr>
          <w:rFonts w:ascii="Arial" w:cs="Arial" w:eastAsia="Arial" w:hAnsi="Arial"/>
          <w:sz w:val="17"/>
          <w:szCs w:val="17"/>
          <w:color w:val="auto"/>
        </w:rPr>
        <w:t>increasingly interested in moving from rotary screen printing to digital printing and have broadened their product offering by merging with or acquiring other companies in the R2R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DTG and R2R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0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A significant portion of our sales is concentrated among one of our independent distributors and a small number of customers, and our business would be adversely affected by a decline in sales to, or the loss of, this distributor or these customers.</w:t>
      </w:r>
    </w:p>
    <w:p>
      <w:pPr>
        <w:spacing w:after="0" w:line="11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distributor in the United States, Hirsch International Corporation, accounted for approximately 18% and, based on the midpoint of the range of our estimated results of operation for 2016, approximately 21% of our revenues in 2015 and 2016, respectively. We have entered into a non-exclusive distributor agreement with Hirsch with a term that ends in April 2017 subject to automatic renewal for successive one-year periods unless one party notifies the other party that it does not wish to renew the agreement. Hirsch may fail to devote the same level of attention to our solutions as it currently does, elect to distribute competitors’ products or be less successful than distributors of competitors’ products in their territories and, as a result, sales of our solutions may suffer. In addition, our relationship with Hirsch could be terminated with little or no notice if Hirsch becomes subject to bankruptcy or other similar proceedings or otherwise becomes unable or unwilling to continue its business relationship with us, and we may not be able to find a qualified and successful replacement in a timely manner. Additionally, a default by Hirsch at a time that it has a significant receivables balance with us could harm our financial condition. Based on the midpoint of the range of our estimated results of operation for 2016, Amazon Corporate LLC, a subsidiary of Amazon.com, Inc., accounted for approximately 17% of our revenues (net of $2.0 million related to the fair value of warrants issued to an affiliate of Amazon). Our ten largest customers accounted for approximately 71% of our revenues for the nine months ended September 30, 2016. The loss of either this distributor or customer, or another one of our significant customers, or variability in their order flows could materially adversely affect our revenues. Due to the concentration of our revenues with this distributor and customer, any such event could have a material adverse effect on our results of operations.</w:t>
      </w:r>
    </w:p>
    <w:p>
      <w:pPr>
        <w:spacing w:after="0" w:line="10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operating results are subject to seasonal variations, which could cause the price of our ordinary shares to decline.</w:t>
      </w:r>
    </w:p>
    <w:p>
      <w:pPr>
        <w:spacing w:after="0" w:line="8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business is seasonal. The fourth quarter has historically been our strongest quarter in terms of revenues and the first quarter has been our weakest. This seasonality coincides with holiday spending, which is at its highest at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0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addition, during the fourth quarter,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may have a more pronounced impact on gross margins and operating margins.</w:t>
      </w:r>
    </w:p>
    <w:p>
      <w:pPr>
        <w:spacing w:after="0" w:line="11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jc w:val="both"/>
        <w:ind w:left="460" w:right="459"/>
        <w:spacing w:after="0" w:line="287" w:lineRule="auto"/>
        <w:rPr>
          <w:sz w:val="20"/>
          <w:szCs w:val="20"/>
          <w:color w:val="auto"/>
        </w:rPr>
      </w:pPr>
      <w:r>
        <w:rPr>
          <w:rFonts w:ascii="Arial" w:cs="Arial" w:eastAsia="Arial" w:hAnsi="Arial"/>
          <w:sz w:val="16"/>
          <w:szCs w:val="16"/>
          <w:color w:val="auto"/>
        </w:rPr>
        <w:t>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Our Allegro and Vulcan systems are offered at a higher average selling price than our other systems and, as a result, have longer sales cycles.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8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0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6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January 2017, we entered into a master purchase agreement with an affiliate of Amazon.com, Inc. governing our sales of our systems and ink and other consumables at agreed upon prices that vary based on sales volumes. We also agreed to provide maintenance services and extended warranties to Amazon at agreed prices. The term of the agreement is five years beginning on May 1, 2016 and extends automatically for additional one year periods unless terminated by Amazon. We have issued to an affiliate of Amazon a warrant to purchase up to 2,932,176 of our ordinary shares.</w:t>
      </w:r>
    </w:p>
    <w:p>
      <w:pPr>
        <w:spacing w:after="0" w:line="12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contractual agreements with Amazon contain a number of material undertakings and other arrangements:</w:t>
      </w:r>
    </w:p>
    <w:p>
      <w:pPr>
        <w:spacing w:after="0" w:line="103" w:lineRule="exact"/>
        <w:rPr>
          <w:sz w:val="20"/>
          <w:szCs w:val="20"/>
          <w:color w:val="auto"/>
        </w:rPr>
      </w:pPr>
    </w:p>
    <w:p>
      <w:pPr>
        <w:jc w:val="both"/>
        <w:ind w:left="1320" w:right="459" w:hanging="425"/>
        <w:spacing w:after="0" w:line="259" w:lineRule="auto"/>
        <w:tabs>
          <w:tab w:leader="none" w:pos="13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revenues are presented net of the relative value of the warrants in each particular period related to the revenues recognized. Since the value of the warrants depends, in part, on the price of our shares and their volatility, our net revenues may fluctuate due to the non-cash impact of the value of the warrant on our gross revenues.</w:t>
      </w:r>
    </w:p>
    <w:p>
      <w:pPr>
        <w:spacing w:after="0" w:line="105" w:lineRule="exact"/>
        <w:rPr>
          <w:rFonts w:ascii="Arial" w:cs="Arial" w:eastAsia="Arial" w:hAnsi="Arial"/>
          <w:sz w:val="18"/>
          <w:szCs w:val="18"/>
          <w:color w:val="auto"/>
        </w:rPr>
      </w:pPr>
    </w:p>
    <w:p>
      <w:pPr>
        <w:jc w:val="both"/>
        <w:ind w:left="1320" w:right="459" w:hanging="425"/>
        <w:spacing w:after="0" w:line="259" w:lineRule="auto"/>
        <w:tabs>
          <w:tab w:leader="none" w:pos="13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agreed to provide a rebate to Amazon based on the number of systems and amount of ink and other consumables Amazon purchases. The timing and scale of any such rebate may be difficult to predict and may cause fluctuations in our quarterly and annual revenues, gross profit and operating profit.</w:t>
      </w:r>
    </w:p>
    <w:p>
      <w:pPr>
        <w:spacing w:after="0" w:line="119" w:lineRule="exact"/>
        <w:rPr>
          <w:rFonts w:ascii="Arial" w:cs="Arial" w:eastAsia="Arial" w:hAnsi="Arial"/>
          <w:sz w:val="18"/>
          <w:szCs w:val="18"/>
          <w:color w:val="auto"/>
        </w:rPr>
      </w:pPr>
    </w:p>
    <w:p>
      <w:pPr>
        <w:jc w:val="both"/>
        <w:ind w:left="1320" w:right="459" w:hanging="425"/>
        <w:spacing w:after="0" w:line="273" w:lineRule="auto"/>
        <w:tabs>
          <w:tab w:leader="none" w:pos="13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required to notify Amazon 12 months in advance if we intend to stop supporting one of the products or services that we supply to Amazon and to continue to manufacture the product or provide such service during such 12 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11"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impact of the provisions listed above cannot be fully predicted in advance and could, in certain circumstances, adversely impact our business or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21" w:lineRule="exact"/>
        <w:rPr>
          <w:sz w:val="20"/>
          <w:szCs w:val="20"/>
          <w:color w:val="auto"/>
        </w:rPr>
      </w:pPr>
    </w:p>
    <w:p>
      <w:pPr>
        <w:jc w:val="both"/>
        <w:ind w:left="1320" w:right="459" w:hanging="425"/>
        <w:spacing w:after="0" w:line="269" w:lineRule="auto"/>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print heads for our systems are supplied by a sole supplier, FujiFilm Dimatix, Inc., or FDMX. We entered into an agreement with FDMX in 2015, pursuant to which FDMX is continuing to sell us certain off-the-shelf print heads and additional products, all of which FDMX regularly sells to providers of inkjet systems. The agreement provides that beginning with the start of the first one-year renewal period, FDMX may increase the prices of the products that we purchase from it upon 90-days’ prior notice, subject to certain conditions. The agreement renews automatically for successive one-year periods, but FDMX or we can terminate the agreement upon 90 days’ notice prior to the end of the then current term. Our current agreement terminates in December 2019 and provides for one three year renewal period and for further one year renewal periods thereafter. Our agreement further provides that FDMX may, at its option, discontinue products supplied under the agreement, provided that we are given one year notice of the planned discontinuance and are provided with an end of life purchase program.</w:t>
      </w:r>
    </w:p>
    <w:p>
      <w:pPr>
        <w:spacing w:after="0" w:line="112" w:lineRule="exact"/>
        <w:rPr>
          <w:rFonts w:ascii="Arial" w:cs="Arial" w:eastAsia="Arial" w:hAnsi="Arial"/>
          <w:sz w:val="17"/>
          <w:szCs w:val="17"/>
          <w:color w:val="auto"/>
        </w:rPr>
      </w:pPr>
    </w:p>
    <w:p>
      <w:pPr>
        <w:jc w:val="both"/>
        <w:ind w:left="1320" w:right="459" w:hanging="425"/>
        <w:spacing w:after="0" w:line="288" w:lineRule="auto"/>
        <w:tabs>
          <w:tab w:leader="none" w:pos="133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chemical used in some of our inks is supplied by B.G. (Israel) Technologies Ltd., or BG Bond, a subsidiary of Ashtrom Ltd., a large public Israeli industrial company.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inks, this chemical is supplied by The Dow Chemical Company, a multinational producer of chemicals and other compounds. We currently purchase these chemicals from the Dow Chemical Company on a purchase order basis.</w:t>
      </w:r>
    </w:p>
    <w:p>
      <w:pPr>
        <w:spacing w:after="0" w:line="8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loss of any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158" w:lineRule="exact"/>
        <w:rPr>
          <w:sz w:val="20"/>
          <w:szCs w:val="20"/>
          <w:color w:val="auto"/>
        </w:rPr>
      </w:pPr>
    </w:p>
    <w:p>
      <w:pPr>
        <w:ind w:left="1320" w:right="459" w:hanging="425"/>
        <w:spacing w:after="0" w:line="342" w:lineRule="auto"/>
        <w:tabs>
          <w:tab w:leader="none" w:pos="131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experience an increase in demand for our solutions, our suppliers may be unable to provide us with the components that we need in order to meet that increased demand in a timely manner;</w:t>
      </w:r>
    </w:p>
    <w:p>
      <w:pPr>
        <w:spacing w:after="0" w:line="42" w:lineRule="exact"/>
        <w:rPr>
          <w:rFonts w:ascii="Arial" w:cs="Arial" w:eastAsia="Arial" w:hAnsi="Arial"/>
          <w:sz w:val="16"/>
          <w:szCs w:val="16"/>
          <w:color w:val="auto"/>
        </w:rPr>
      </w:pPr>
    </w:p>
    <w:p>
      <w:pPr>
        <w:ind w:left="1320" w:right="459" w:hanging="425"/>
        <w:spacing w:after="0" w:line="277" w:lineRule="auto"/>
        <w:tabs>
          <w:tab w:leader="none" w:pos="1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89" w:lineRule="exact"/>
        <w:rPr>
          <w:rFonts w:ascii="Arial" w:cs="Arial" w:eastAsia="Arial" w:hAnsi="Arial"/>
          <w:sz w:val="18"/>
          <w:szCs w:val="18"/>
          <w:color w:val="auto"/>
        </w:rPr>
      </w:pPr>
    </w:p>
    <w:p>
      <w:pPr>
        <w:ind w:left="1320" w:right="459" w:hanging="425"/>
        <w:spacing w:after="0" w:line="342" w:lineRule="auto"/>
        <w:tabs>
          <w:tab w:leader="none" w:pos="1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or our suppliers may lose access to critical services and components, resulting in an interruption in the manufacture, assembly and shipment of our systems or inks and other consumables; and</w:t>
      </w:r>
    </w:p>
    <w:p>
      <w:pPr>
        <w:spacing w:after="0" w:line="56" w:lineRule="exact"/>
        <w:rPr>
          <w:rFonts w:ascii="Arial" w:cs="Arial" w:eastAsia="Arial" w:hAnsi="Arial"/>
          <w:sz w:val="16"/>
          <w:szCs w:val="16"/>
          <w:color w:val="auto"/>
        </w:rPr>
      </w:pPr>
    </w:p>
    <w:p>
      <w:pPr>
        <w:ind w:left="1320" w:right="459" w:hanging="425"/>
        <w:spacing w:after="0" w:line="277" w:lineRule="auto"/>
        <w:tabs>
          <w:tab w:leader="none" w:pos="13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jc w:val="both"/>
        <w:ind w:left="460" w:right="459" w:firstLine="432"/>
        <w:spacing w:after="0" w:line="290" w:lineRule="auto"/>
        <w:rPr>
          <w:sz w:val="20"/>
          <w:szCs w:val="20"/>
          <w:color w:val="auto"/>
        </w:rPr>
      </w:pPr>
      <w:r>
        <w:rPr>
          <w:rFonts w:ascii="Arial" w:cs="Arial" w:eastAsia="Arial" w:hAnsi="Arial"/>
          <w:sz w:val="16"/>
          <w:szCs w:val="16"/>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manufacture our ink and other consumables at our facility in Kiryat Gat, Israel. We also rely on contract manufacturing services provided by ITS Industrial Techno Logic Solutions Ltd and Flex Israel Ltd., which are also in Israel, to assemble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10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Systems we introduced during the past two years or that are in development may not achieve market acceptance or gain adequate market share.</w:t>
      </w:r>
    </w:p>
    <w:p>
      <w:pPr>
        <w:spacing w:after="0" w:line="8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Since 2015, we introduced two new systems to the market. We began selling our Allegro system commercially in the R2R market in the second quarter of 2015. During 2016, we commercially launched our new system, the Vulcan, which is a digital alternative for carousel screen printing within the DTG segment. We cannot ensure that the significant investments that we have made in distribution, sales and customer service teams to launch the new systems will enable us to continue to market, sell and distribute the systems as planned. Market acceptance of the new systems will depend on, among other things, the systems demonstrating a real advantage over existing printers, the success of our sales and marketing teams in creating awareness of the systems, the sales price and the return on investment of the systems relative to alternative printers, customer recognition of the value of our technology, the effectiveness of our marketing campaigns, and the general willingness of potential customers to try new technologies. In the event that we are unable to achieve market acceptance of our new systems, our growth and future prospects may be adversely affected.</w:t>
      </w:r>
    </w:p>
    <w:p>
      <w:pPr>
        <w:spacing w:after="0" w:line="10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operating and net profit margins could decline further in the near-term if we fail to execute on our growth strategies.</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operating margin declined from 6.3% in 2015 to 3.5% in 2016 based on the midpoint of the range of our estimated results of operation for 2016. We also experienced a smaller decline in our non-GAAP operating margin (see “Prospectus supplement summary — Recent developments” for an explanation of how we calculate non-GAAP operating income). Our growth strategies, many of which are aimed at improving our operating and net profit margins, include increasing sales to existing customers, acquiring new high 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and operations may be negatively affected if we fail to effectively manage our growth.</w:t>
      </w:r>
    </w:p>
    <w:p>
      <w:pPr>
        <w:spacing w:after="0" w:line="16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experienced significant growth in a relatively short period of time and intend to continue to grow our business. Our revenues grew from $66.4 million in 2014 to an estimated $108.8 million in 2016 based on the midpoint of the range of our estimated results of operation for 2016. Our headcount increased from 251 as of December 31, 2014 to 390 as of December 31, 2016. We plan to hire additional employees across all areas of our company. Our rapid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jc w:val="both"/>
        <w:ind w:left="460" w:right="459"/>
        <w:spacing w:after="0" w:line="273" w:lineRule="auto"/>
        <w:rPr>
          <w:sz w:val="20"/>
          <w:szCs w:val="20"/>
          <w:color w:val="auto"/>
        </w:rPr>
      </w:pPr>
      <w:r>
        <w:rPr>
          <w:rFonts w:ascii="Arial" w:cs="Arial" w:eastAsia="Arial" w:hAnsi="Arial"/>
          <w:sz w:val="17"/>
          <w:szCs w:val="17"/>
          <w:color w:val="auto"/>
        </w:rPr>
        <w:t>growth has placed significant demands on our management, sales and operational and financial infrastructure, and our growth will continue to place significant demands on these resources. Further, in order to manage our future growth effectively,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9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7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3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Israeli shekel, the Euro and other non-U.S.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currencies may negatively affect our earnings.</w:t>
      </w:r>
    </w:p>
    <w:p>
      <w:pPr>
        <w:spacing w:after="0" w:line="13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dollar depreciated 0.9% and appreciated 8.6% against the NIS in 2014 and 2015, respectively, and depreciated by 0.3% against the NIS in 2016. During these periods, there was deflation in Israel of 0.2%, 1.0% and 0.2% in 2014, 2015 and 2016, respectively. If the dollar cost of our operations increases, our dollar-measured results of operations will be adversely affected. See “ITEM 11. Quantitative and Qualitative Disclosures About Market Risk—Foreign Currency Risk” in our 2015 Annual Report on Form 20-F for the year ended December 31, 2015.</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jc w:val="both"/>
        <w:ind w:left="460" w:right="459"/>
        <w:spacing w:after="0" w:line="259" w:lineRule="auto"/>
        <w:rPr>
          <w:sz w:val="20"/>
          <w:szCs w:val="20"/>
          <w:color w:val="auto"/>
        </w:rPr>
      </w:pPr>
      <w:r>
        <w:rPr>
          <w:rFonts w:ascii="Arial" w:cs="Arial" w:eastAsia="Arial" w:hAnsi="Arial"/>
          <w:sz w:val="18"/>
          <w:szCs w:val="18"/>
          <w:color w:val="auto"/>
        </w:rPr>
        <w:t>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0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1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0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7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11" w:lineRule="exact"/>
        <w:rPr>
          <w:sz w:val="20"/>
          <w:szCs w:val="20"/>
          <w:color w:val="auto"/>
        </w:rPr>
      </w:pPr>
    </w:p>
    <w:p>
      <w:pPr>
        <w:ind w:left="1320" w:right="459" w:hanging="425"/>
        <w:spacing w:after="0" w:line="277" w:lineRule="auto"/>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uncertainty around the world;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89" w:lineRule="exact"/>
        <w:rPr>
          <w:rFonts w:ascii="Arial" w:cs="Arial" w:eastAsia="Arial" w:hAnsi="Arial"/>
          <w:sz w:val="18"/>
          <w:szCs w:val="18"/>
          <w:color w:val="auto"/>
        </w:rPr>
      </w:pPr>
    </w:p>
    <w:p>
      <w:pPr>
        <w:jc w:val="both"/>
        <w:ind w:left="1320" w:right="459" w:hanging="425"/>
        <w:spacing w:after="0" w:line="286" w:lineRule="auto"/>
        <w:tabs>
          <w:tab w:leader="none" w:pos="1438"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1300" w:hanging="40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greater risk of unexpected changes in regulatory practices, tariffs, and tax laws and treaties;</w:t>
      </w:r>
    </w:p>
    <w:p>
      <w:pPr>
        <w:spacing w:after="0" w:line="155" w:lineRule="exact"/>
        <w:rPr>
          <w:rFonts w:ascii="Arial" w:cs="Arial" w:eastAsia="Arial" w:hAnsi="Arial"/>
          <w:sz w:val="17"/>
          <w:szCs w:val="17"/>
          <w:color w:val="auto"/>
        </w:rPr>
      </w:pPr>
    </w:p>
    <w:p>
      <w:pPr>
        <w:ind w:left="1300" w:hanging="40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risk of a failure of employees to comply with both U.S. and foreign laws, including antitrust regulations, the U.S. Foreign Corrupt Practices Act (FCPA), and any trade regulations ensuring fair trade practices; and</w:t>
      </w:r>
    </w:p>
    <w:p>
      <w:pPr>
        <w:spacing w:after="0" w:line="113" w:lineRule="exact"/>
        <w:rPr>
          <w:rFonts w:ascii="Arial" w:cs="Arial" w:eastAsia="Arial" w:hAnsi="Arial"/>
          <w:sz w:val="18"/>
          <w:szCs w:val="18"/>
          <w:color w:val="auto"/>
        </w:rPr>
      </w:pPr>
    </w:p>
    <w:p>
      <w:pPr>
        <w:jc w:val="both"/>
        <w:ind w:left="1320" w:right="459" w:hanging="425"/>
        <w:spacing w:after="0" w:line="264" w:lineRule="auto"/>
        <w:tabs>
          <w:tab w:leader="none" w:pos="15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03"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7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As of December 31, 2016, we owned nine issued patents in the United States and 12 provisional or pending U.S. patent applications, along with ten pending non-U.S. patent applications. We also had ten patents issued in non-U.S. jurisdictions, and six pending Patent Cooperation Treaty patent applications, which are counterparts of our U.S. patent applications. The non-U.S. jurisdictions in which we have issued patents or pending applications are China, the European Union or European countries of the European Union, Hong Kong, Israel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3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jc w:val="both"/>
        <w:ind w:left="460" w:right="459"/>
        <w:spacing w:after="0" w:line="269" w:lineRule="auto"/>
        <w:rPr>
          <w:sz w:val="20"/>
          <w:szCs w:val="20"/>
          <w:color w:val="auto"/>
        </w:rPr>
      </w:pPr>
      <w:r>
        <w:rPr>
          <w:rFonts w:ascii="Arial" w:cs="Arial" w:eastAsia="Arial" w:hAnsi="Arial"/>
          <w:sz w:val="17"/>
          <w:szCs w:val="17"/>
          <w:color w:val="auto"/>
        </w:rPr>
        <w:t>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unable to protect our trademarks from infringement, our business prospects may be harmed.</w:t>
      </w:r>
    </w:p>
    <w:p>
      <w:pPr>
        <w:spacing w:after="0" w:line="18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2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0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an extent similar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144" w:lineRule="exact"/>
        <w:rPr>
          <w:sz w:val="20"/>
          <w:szCs w:val="20"/>
          <w:color w:val="auto"/>
        </w:rPr>
      </w:pPr>
    </w:p>
    <w:p>
      <w:pPr>
        <w:ind w:left="1320" w:right="459" w:hanging="425"/>
        <w:spacing w:after="0" w:line="277" w:lineRule="auto"/>
        <w:tabs>
          <w:tab w:leader="none" w:pos="16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14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jc w:val="both"/>
        <w:ind w:left="460" w:right="459"/>
        <w:spacing w:after="0" w:line="267" w:lineRule="auto"/>
        <w:rPr>
          <w:sz w:val="20"/>
          <w:szCs w:val="20"/>
          <w:color w:val="auto"/>
        </w:rPr>
      </w:pPr>
      <w:r>
        <w:rPr>
          <w:rFonts w:ascii="Arial" w:cs="Arial" w:eastAsia="Arial" w:hAnsi="Arial"/>
          <w:sz w:val="17"/>
          <w:szCs w:val="17"/>
          <w:color w:val="auto"/>
        </w:rPr>
        <w:t>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10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Undetected defects in the design or manufacturing of our products may harm our business and results of operations.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01"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5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this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jc w:val="both"/>
        <w:ind w:left="460" w:right="459"/>
        <w:spacing w:after="0" w:line="264" w:lineRule="auto"/>
        <w:rPr>
          <w:sz w:val="20"/>
          <w:szCs w:val="20"/>
          <w:color w:val="auto"/>
        </w:rPr>
      </w:pPr>
      <w:r>
        <w:rPr>
          <w:rFonts w:ascii="Arial" w:cs="Arial" w:eastAsia="Arial" w:hAnsi="Arial"/>
          <w:sz w:val="18"/>
          <w:szCs w:val="18"/>
          <w:color w:val="auto"/>
        </w:rPr>
        <w:t>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1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As part of our business strategy and in order to remain competitive, we have acquired businesses and may acquire or make investments in other complementary companies, products or technologies. However, we have only made small acquisitions and our experience in acquiring and integrating other companies, products or technologies is limited. We may not be able to find suitable acquisition candidates, and we may not be able to complete such acquisitions on favorable terms, if at all. If we do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$18.40 and as low as $8.10 through January 25, 2017. The market price of our ordinary shares could be highly volatile and may fluctuate substantially as a result of many factors, including:</w:t>
      </w:r>
    </w:p>
    <w:p>
      <w:pPr>
        <w:spacing w:after="0" w:line="106" w:lineRule="exact"/>
        <w:rPr>
          <w:sz w:val="20"/>
          <w:szCs w:val="20"/>
          <w:color w:val="auto"/>
        </w:rPr>
      </w:pPr>
    </w:p>
    <w:p>
      <w:pPr>
        <w:ind w:left="1320" w:right="459" w:hanging="425"/>
        <w:spacing w:after="0" w:line="277" w:lineRule="auto"/>
        <w:tabs>
          <w:tab w:leader="none" w:pos="1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strategic relationships or expansion plans;</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sz w:val="20"/>
          <w:szCs w:val="20"/>
          <w:color w:val="auto"/>
        </w:rPr>
      </w:pPr>
      <w:r>
        <w:rPr>
          <w:rFonts w:ascii="Arial" w:cs="Arial" w:eastAsia="Arial" w:hAnsi="Arial"/>
          <w:sz w:val="17"/>
          <w:szCs w:val="17"/>
          <w:b w:val="1"/>
          <w:bCs w:val="1"/>
          <w:i w:val="1"/>
          <w:iCs w:val="1"/>
          <w:color w:val="auto"/>
        </w:rPr>
        <w:t>Investors in this offering will experience immediate substantial dilution in net tangible book value.</w:t>
      </w:r>
    </w:p>
    <w:p>
      <w:pPr>
        <w:spacing w:after="0" w:line="15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price of our ordinary shares in this offering is considerably greater than the net tangible book value per share of our outstanding ordinary shares immediately after this offering. Accordingly, investors in this offering will incur immediate dilution of $12.71 per share, based on the public offering price of $16.50 per share. In addition, if outstanding options to purchase our ordinary shares are exercised in the future, you will experience additional dilution. See “Dilution.”</w:t>
      </w:r>
    </w:p>
    <w:p>
      <w:pPr>
        <w:spacing w:after="0" w:line="121"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Fortissimo Capital has, and upon completion of this offering will continue to have, a significant influence over matters requiring shareholder approval, which could delay or prevent a change of control.</w:t>
      </w:r>
    </w:p>
    <w:p>
      <w:pPr>
        <w:spacing w:after="0" w:line="56"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Upon completion of this offering, Fortissimo Capital will beneficially own 29.1% of our outstanding shares in the aggregate (or 26.4% if the underwriters exercise in full their option to purchase additional shares).</w:t>
      </w:r>
    </w:p>
    <w:p>
      <w:pPr>
        <w:spacing w:after="0" w:line="4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As a result, this shareholder could exert significant influence over our operations and business strategy and may have sufficient voting power to control the outcome of matters requiring shareholder approval. These matters may include:</w:t>
      </w:r>
    </w:p>
    <w:p>
      <w:pPr>
        <w:spacing w:after="0" w:line="114" w:lineRule="exact"/>
        <w:rPr>
          <w:sz w:val="20"/>
          <w:szCs w:val="20"/>
          <w:color w:val="auto"/>
        </w:rPr>
      </w:pPr>
    </w:p>
    <w:p>
      <w:pPr>
        <w:ind w:left="1320" w:right="459" w:hanging="425"/>
        <w:spacing w:after="0" w:line="277" w:lineRule="auto"/>
        <w:tabs>
          <w:tab w:leader="none" w:pos="1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amending our articles, which govern the rights attached to our ordinary shares.</w:t>
      </w:r>
    </w:p>
    <w:p>
      <w:pPr>
        <w:spacing w:after="0" w:line="15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This concentration of ownership may also adversely affect our share price.</w:t>
      </w:r>
    </w:p>
    <w:p>
      <w:pPr>
        <w:spacing w:after="0" w:line="10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0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0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(ii) independent director oversight requirement for director nominations and (iii) independence requirement for the board of directors. See “ITEM 16G. Corporate Governance” in our Annual Report on Form 20-F for the year ended December 31, 2015. Furthermore, we may in the future elect to follow Israeli home country practices with regard to other matters such as the requirement to have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jc w:val="both"/>
        <w:ind w:left="460" w:right="459"/>
        <w:spacing w:after="0" w:line="277" w:lineRule="auto"/>
        <w:rPr>
          <w:sz w:val="20"/>
          <w:szCs w:val="20"/>
          <w:color w:val="auto"/>
        </w:rPr>
      </w:pPr>
      <w:r>
        <w:rPr>
          <w:rFonts w:ascii="Arial" w:cs="Arial" w:eastAsia="Arial" w:hAnsi="Arial"/>
          <w:sz w:val="18"/>
          <w:szCs w:val="18"/>
          <w:color w:val="auto"/>
        </w:rPr>
        <w:t>investors of domestic issuers. See “ITEM 16G. Corporate Governance” in our Annual Report on Form 20-F for the year ended December 31, 2015.</w:t>
      </w:r>
    </w:p>
    <w:p>
      <w:pPr>
        <w:spacing w:after="0" w:line="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2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9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2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are not required to comply with the auditor attestation requirements of Section 404 of the Sarbanes-Oxley Act for up to five fiscal years after April 2, 2015, the date of our initial public offering. We will remain an emerging growth company until the earliest of: (a) the last day of our fiscal year during which we have total annual gross revenues of at least $1.0 billion; (b) the last day of our fiscal year following the fifth anniversary of the completion of our initial public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89"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 Shares held by our pre-IPO shareholders are now eligible for sale under Rule 144 of the Securities Act, which could cause additional downward pressure on the market price of our ordinary shares.</w:t>
      </w:r>
    </w:p>
    <w:p>
      <w:pPr>
        <w:spacing w:after="0" w:line="91"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the selling shareholders, and our executive officers and directors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Barclays Capital Inc. and Citigroup Global Markets Inc., who may, in their sole discretion and at any time without notice, release all or any portion of the shares subject to these lock-up agreements. See “Underwriting.”</w:t>
      </w:r>
    </w:p>
    <w:p>
      <w:pPr>
        <w:spacing w:after="0" w:line="9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Furthermore, following the closing of this offering, but subject to the 90-day lock-up agreements entered into with the underwriters, Fortissimo is entitled to require that we conduct additional underwritten offerings under the U.S. Securities Act of 1933 with respect to the resale of its shares into the public markets. In addition, Amazon is also entitled to certain registration rights starting on January 10, 2018. All shares sold pursuant to an offering covered by a registration statement will be freely transferable except if purchased by an affiliate. See “ITEM 7.B — Related Party Transactions — Investors’ Rights Agreement” in our Annual Report on Form 20-F for the year ended December 31, 2015</w:t>
      </w:r>
    </w:p>
    <w:p>
      <w:pPr>
        <w:spacing w:after="0" w:line="9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4,124,036 million ordinary shares are reserved for issuance under currently exercisable share options granted to employees and office holders as of December 31, 2016. We have filed registration statements on Form S-8 under the U.S. Securities Act of 1933 registering ordinary shares that we may issue under our share incentive plans, of which as of December 31, 2016 there were options to purchase 2,722,161 million shares outstanding. Shares included in such registration statements may be freely sold in the public market upon issuance, except for shares held by affiliates who have certain restrictions on their ability to sell.</w:t>
      </w:r>
    </w:p>
    <w:p>
      <w:pPr>
        <w:spacing w:after="0" w:line="11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w:t>
      </w: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 xml:space="preserve"> value of your investment.</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 The failure by our management to apply these funds effectively could harm our business. See “Use of proceeds.”</w:t>
      </w:r>
    </w:p>
    <w:p>
      <w:pPr>
        <w:spacing w:after="0" w:line="10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Under Section 404 of the Sarbanes-Oxley Act and as an emerging growth company, we are currently not required to obtain an auditor attestation regarding our internal control over financial reporting.</w:t>
      </w:r>
    </w:p>
    <w:p>
      <w:pPr>
        <w:spacing w:after="0" w:line="7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are not required to comply with the internal control, evaluation and certification requirements of Section 404 of the Sarbanes-Oxley Act until we file our Annual Report on Form 20-F for the year ending December 31, 2016.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completed the process of determining whether our existing internal control over financial reporting systems are compliant with Section 404 and whether there are any material weaknesses or significant deficiencies in our existing internal controls. The process of evaluating our internal control over financial reporting requires an investment of substantial time and resources, including by our Chief Financial Officer and other members of our senior management. As a result, this process has diverted and may continue to divert internal resources and take a significant amount of time and effort to complete. In addition, we cannot predict the outcome of this determination and whether we will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jc w:val="both"/>
        <w:ind w:left="460" w:right="459"/>
        <w:spacing w:after="0" w:line="270" w:lineRule="auto"/>
        <w:rPr>
          <w:sz w:val="20"/>
          <w:szCs w:val="20"/>
          <w:color w:val="auto"/>
        </w:rPr>
      </w:pPr>
      <w:r>
        <w:rPr>
          <w:rFonts w:ascii="Arial" w:cs="Arial" w:eastAsia="Arial" w:hAnsi="Arial"/>
          <w:sz w:val="17"/>
          <w:szCs w:val="17"/>
          <w:color w:val="auto"/>
        </w:rPr>
        <w:t>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0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do not believe that we were a PFIC for the taxable year ending 2016 and we do not expect that we will be classified as a PFIC for the taxable year ending December 31, 2017. Because PFIC status is based on our income, assets and activities for the entire taxable year, it is not possible to determine whether we will be characterized as a PFIC for our 2017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 — U.S. federal income tax consequences”),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“U.S. and Israeli tax consequences for our shareholders — U.S. federal income tax consequences.”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62"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4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are currently considering evaluating a business continuity plan to provide for alternative sites outside of Israel, there can be no assurance that we will be able to implement such a plan on a cost-effective basis, or at all, and even if implemented, whether such plan would be successful. Any armed conflict involving Israel could adversely affect our operations and results of operations.</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2016, we had 249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jc w:val="both"/>
        <w:ind w:left="460" w:right="459"/>
        <w:spacing w:after="0" w:line="264" w:lineRule="auto"/>
        <w:rPr>
          <w:sz w:val="20"/>
          <w:szCs w:val="20"/>
          <w:color w:val="auto"/>
        </w:rPr>
      </w:pPr>
      <w:r>
        <w:rPr>
          <w:rFonts w:ascii="Arial" w:cs="Arial" w:eastAsia="Arial" w:hAnsi="Arial"/>
          <w:sz w:val="18"/>
          <w:szCs w:val="18"/>
          <w:color w:val="auto"/>
        </w:rPr>
        <w:t>to immediate and unlimited active duty. Our operations could be disrupted by the absence of a significant number of employees related to military service, which could materially adversely affect our business and results of operations.</w:t>
      </w:r>
    </w:p>
    <w:p>
      <w:pPr>
        <w:spacing w:after="0" w:line="100"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7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1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8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and our wholly-owned Israeli subsidiary, Kornit Digital Technologies Ltd., or Kornit Technologies, are entitled to various tax benefits under the Israeli Law for the Encouragement of Capital Investments, 1959, or the Investment Law. As a result of this status, the effective tax rate for our taxable income generated in Israel is expected to be between zero and 5% in 2016. However, if we do not meet the requirements for maintaining these benefits, they may be reduced or cancelled and the relevant operations would be subject to Israeli corporate tax at the standard rate, which was 26.5% in 2014 and 2015, 25% in 2016, and is currently set at 24% for 2017 and 23% for 2018. In addition to being subject to the standard corporate tax rate, we could be required to refund any tax benefits that we have already received, as adjusted by the Israeli consumer price index,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“ITEM 5. Operating and Financial Review and Prospects - Taxation and Israeli Government Programs Applicable to our Company — Law for the Encouragement of Capital Investments, 5719-1959” in our Annual Report on Form 20-F for the year ended December 31, 2015.</w:t>
      </w:r>
    </w:p>
    <w:p>
      <w:pPr>
        <w:spacing w:after="0" w:line="94"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received Israeli government grants for certain research and development activities. The terms of those grants restrict our ability to transfer manufacturing operations or technology outside of Israel.</w:t>
      </w:r>
    </w:p>
    <w:p>
      <w:pPr>
        <w:spacing w:after="0" w:line="4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research and development efforts were financed in part through grants from the Israeli National Authority for Technological Innovation, or the Innovation Authority (previously known as the Israeli Office of the Chief Scientist), which we repaid in full in 2015. Even though we have fully repaid our Innovation Authority grants, we must nevertheless continue to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w:t>
      </w:r>
    </w:p>
    <w:p>
      <w:pPr>
        <w:spacing w:after="0" w:line="10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Although we have repaid our grants in full, we remain subject to the restrictions set forth under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Innovation Law, including:</w:t>
      </w:r>
    </w:p>
    <w:p>
      <w:pPr>
        <w:spacing w:after="0" w:line="130" w:lineRule="exact"/>
        <w:rPr>
          <w:sz w:val="20"/>
          <w:szCs w:val="20"/>
          <w:color w:val="auto"/>
        </w:rPr>
      </w:pPr>
    </w:p>
    <w:p>
      <w:pPr>
        <w:jc w:val="both"/>
        <w:ind w:left="1320" w:right="459" w:hanging="425"/>
        <w:spacing w:after="0" w:line="255" w:lineRule="auto"/>
        <w:tabs>
          <w:tab w:leader="none" w:pos="1423"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of the Innovation Authority outside of Israel requires prior approval of the Innovation Authority, and, in certain circumstances, the payment of a redemption fee, which cannot exceed 600% of the grant amount plus interest. Upon payment of such fee, the know-how and the production rights for the products supported by such funding cease to be subject to the Innovation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jc w:val="both"/>
        <w:ind w:left="1320" w:right="459" w:hanging="425"/>
        <w:spacing w:after="0" w:line="272" w:lineRule="auto"/>
        <w:tabs>
          <w:tab w:leader="none" w:pos="1302"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Local manufacturing obligation. </w:t>
      </w:r>
      <w:r>
        <w:rPr>
          <w:rFonts w:ascii="Arial" w:cs="Arial" w:eastAsia="Arial" w:hAnsi="Arial"/>
          <w:sz w:val="17"/>
          <w:szCs w:val="17"/>
          <w:color w:val="auto"/>
        </w:rPr>
        <w:t>The terms of the grants under the Innovation Law require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products resulting from 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96" w:lineRule="exact"/>
        <w:rPr>
          <w:rFonts w:ascii="Arial" w:cs="Arial" w:eastAsia="Arial" w:hAnsi="Arial"/>
          <w:sz w:val="17"/>
          <w:szCs w:val="17"/>
          <w:i w:val="1"/>
          <w:iCs w:val="1"/>
          <w:color w:val="auto"/>
        </w:rPr>
      </w:pPr>
    </w:p>
    <w:p>
      <w:pPr>
        <w:ind w:left="1320" w:right="459" w:hanging="425"/>
        <w:spacing w:after="0" w:line="277" w:lineRule="auto"/>
        <w:tabs>
          <w:tab w:leader="none" w:pos="146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notify the Innovation Authority of events enumerated in the Innovation Law.</w:t>
      </w:r>
    </w:p>
    <w:p>
      <w:pPr>
        <w:spacing w:after="0" w:line="10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 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have received grants from the Office of the Chief Scientist prior to an extensive amendment to the Innovation Law that came into effect as of January 1, 2016, or the Amendment, which may also affect the terms of existing grants. The Amendment provides for an interim transition period, which has not yet expired, after which time our grants will be subject to terms of the Amendment and the Innovation Authority’s new guidelines, if and when issued. Furthermore, the Innovation Law following the Amendment includes new provisions with respect to sanctions imposed for violations of the Innovation Law. Under the Innovation Law, as amended by the Amendment, the Innovation Authority has the power to modify the terms of existing grants. Such changes, if introduced by the Authority in the future, may impact the terms governing our grants. As of the date of this prospectus supplement, we are unable to assess the effect of such changes, if any, on our business.</w:t>
      </w:r>
    </w:p>
    <w:p>
      <w:pPr>
        <w:spacing w:after="0" w:line="8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 Acquisitions under Israeli Law” in our Annual Report on Form 20-F for the year ended December 31, 2015 for additional information.</w:t>
      </w:r>
    </w:p>
    <w:p>
      <w:pPr>
        <w:spacing w:after="0" w:line="107"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articles provide that our directors (other than external directors) are elected on a staggered basis, such that a potential acquirer cannot readily replace our entire board of directors at a single annual general shareholder meeting.</w:t>
      </w:r>
    </w:p>
    <w:p>
      <w:pPr>
        <w:spacing w:after="0" w:line="10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jc w:val="both"/>
        <w:ind w:left="460" w:right="459"/>
        <w:spacing w:after="0" w:line="277" w:lineRule="auto"/>
        <w:rPr>
          <w:sz w:val="20"/>
          <w:szCs w:val="20"/>
          <w:color w:val="auto"/>
        </w:rPr>
      </w:pPr>
      <w:r>
        <w:rPr>
          <w:rFonts w:ascii="Arial" w:cs="Arial" w:eastAsia="Arial" w:hAnsi="Arial"/>
          <w:sz w:val="18"/>
          <w:szCs w:val="18"/>
          <w:color w:val="auto"/>
        </w:rPr>
        <w:t>such time expires, the tax becomes payable even if no disposition of such shares has occurred. In order to benefit from the tax deferral, a pre-ruling from the Israel Tax Authority might be required.</w:t>
      </w:r>
    </w:p>
    <w:p>
      <w:pPr>
        <w:spacing w:after="0" w:line="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9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are incorporated in Israel. The majority of our directors and executive officers, and the Israeli experts listed in this prospectus supplement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 supplement.</w:t>
      </w:r>
    </w:p>
    <w:p>
      <w:pPr>
        <w:spacing w:after="0" w:line="11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6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estimate that we will receive net proceeds from this offering, after deducting underwriting discounts and commissions and estimated offering expenses payable by us, of approximately $30.4 million, or approximately $35.1 million if the underwriters exercise in full their option to purchase additional ordinary shares. We will not receive any of the proceeds from the sale of shares by the selling shareholders.</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use the net proceeds from this offering for general corporate purposes. We do not currently have any acquisitions or investments planned, however we may use a portion of the net proceeds to acquire or invest in complementary companies, products or technologies in the future. Until we use the net proceeds we receive from this offering, we intend to invest those proceeds in short-term, investment-grade interest-bearing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our cash and cash equivalents, available for sale marketable securities and total capitalization as of September 30, 2016:</w:t>
      </w:r>
    </w:p>
    <w:p>
      <w:pPr>
        <w:spacing w:after="0" w:line="89" w:lineRule="exact"/>
        <w:rPr>
          <w:sz w:val="20"/>
          <w:szCs w:val="20"/>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57" w:lineRule="exact"/>
        <w:rPr>
          <w:rFonts w:ascii="Arial" w:cs="Arial" w:eastAsia="Arial" w:hAnsi="Arial"/>
          <w:sz w:val="18"/>
          <w:szCs w:val="18"/>
          <w:color w:val="auto"/>
        </w:rPr>
      </w:pPr>
    </w:p>
    <w:p>
      <w:pPr>
        <w:jc w:val="both"/>
        <w:ind w:left="1320" w:right="459" w:hanging="425"/>
        <w:spacing w:after="0" w:line="257" w:lineRule="auto"/>
        <w:tabs>
          <w:tab w:leader="none" w:pos="1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as adjusted basis to give effect to (i) the issuance and sale of 2,000,000 ordinary shares by us in this offering at the public offering price of $16.50 per ordinary share, after deducting underwriting discounts and commissions and estimated offering expenses payable by us, and (ii) the issuance of 90,000 ordinary shares and the receipt by us of $200,000 in connection with the exercise of options by one of the selling shareholders.</w:t>
      </w:r>
    </w:p>
    <w:p>
      <w:pPr>
        <w:spacing w:after="0" w:line="12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There has been no material change in our capitalization from debt or equity issuances, re-capitalizations or special dividends between September 30, 2016 and the date of this prospectus supplement. This table should be read in conjunction with “Risk factors” above, “ITEM 5: Operating and Financial Review and Prospects,” and our consolidated financial statements and the related notes incorporated by reference from our Annual Report on Form 20-F for the year ended December 31, 2015 and our unaudited interim condensed consolidated financial statements for the nine months ended September 30, 2016 incorporated by reference from our Current Report on Form 6-K filed on January 3, 2017. See “Where you can find more information.”</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September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2"/>
              </w:rPr>
              <w:t>As Adjusted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89"/>
              </w:rPr>
              <w:t>(in thousands, except share data)</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and available for sale marketable securities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Pr>
          <w:p>
            <w:pPr>
              <w:spacing w:after="0" w:line="182" w:lineRule="exact"/>
              <w:rPr>
                <w:sz w:val="20"/>
                <w:szCs w:val="20"/>
                <w:color w:val="auto"/>
              </w:rPr>
            </w:pPr>
            <w:r>
              <w:rPr>
                <w:rFonts w:ascii="Arial" w:cs="Arial" w:eastAsia="Arial" w:hAnsi="Arial"/>
                <w:sz w:val="18"/>
                <w:szCs w:val="18"/>
                <w:color w:val="auto"/>
                <w:w w:val="90"/>
              </w:rPr>
              <w:t>Ordinary shares, NIS 0.01 par value: 200,000,000 shares authorized, actual</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w w:val="91"/>
              </w:rPr>
              <w:t>and as adjusted; 30,295,949 shares issued and outstanding, actual,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32,385,949 shares issued and outstanding, as adjusted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91,714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capitalization</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preceding table excludes 4,124,036 ordinary shares reserved for issuance under our equity incentive plans as of December 31, 2016 of which we had outstanding options to purchase 2,722,161 ordinary shares at a weighted average exercise price of $6.99 per share.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If you invest in our ordinary shares in this offering, your ownership interest will be immediately diluted to the extent of the difference between the public offering price per share and the net tangible book value per ordinary share after this offering. Consolidated net tangible book value per ordinary share was calculated by:</w:t>
      </w:r>
    </w:p>
    <w:p>
      <w:pPr>
        <w:spacing w:after="0" w:line="66" w:lineRule="exact"/>
        <w:rPr>
          <w:sz w:val="20"/>
          <w:szCs w:val="20"/>
          <w:color w:val="auto"/>
        </w:rPr>
      </w:pPr>
    </w:p>
    <w:p>
      <w:pPr>
        <w:ind w:left="1300" w:hanging="40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subtracting our consolidated liabilities from our consolidated tangible assets;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dividing the difference by the number of ordinary shares outstanding.</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As adjusted net tangible book value per ordinary share furthermore reflects (i) the sale of 2,000,000 ordinary shares that we are offering at the public offering price of $16.50 per share, and (ii) the issuance of 90,000 ordinary shares and the receipt by us of $200,000 in connection with the exercise of options by one of the selling shareholders. After giving effect to adjustments relating to this offering, and after deducting underwriting discounts and commissions and estimated offering expenses payable by us, our net tangible book value on an adjusted basis as of September 30, 2016 would have been approximately $125.2 million, equivalent to $3.78 per ordinary share. This amount represents an immediate increase in the net tangible book value of $0.66 per ordinary share to our existing shareholders and an immediate decrease in net tangible book value of $12.72 per ordinary share to new investors purchasing ordinary shares in this offering. We determine dilution by subtracting the net tangible book value per share after this offering from the amount of cash that a new investor paid for an ordinary share.</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illustrates this dilution: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ordinary share</w:t>
            </w: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w w:val="94"/>
              </w:rPr>
              <w:t>Net tangible book value per ordinary share as of September 30, 2016</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6"/>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ordinary share attributable to this offering</w:t>
            </w:r>
          </w:p>
        </w:tc>
        <w:tc>
          <w:tcPr>
            <w:tcW w:w="1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182"/>
        </w:trPr>
        <w:tc>
          <w:tcPr>
            <w:tcW w:w="5400" w:type="dxa"/>
            <w:vAlign w:val="bottom"/>
          </w:tcPr>
          <w:p>
            <w:pPr>
              <w:spacing w:after="0" w:line="182" w:lineRule="exact"/>
              <w:rPr>
                <w:sz w:val="20"/>
                <w:szCs w:val="20"/>
                <w:color w:val="auto"/>
              </w:rPr>
            </w:pPr>
            <w:r>
              <w:rPr>
                <w:rFonts w:ascii="Arial" w:cs="Arial" w:eastAsia="Arial" w:hAnsi="Arial"/>
                <w:sz w:val="18"/>
                <w:szCs w:val="18"/>
                <w:color w:val="auto"/>
                <w:w w:val="93"/>
              </w:rPr>
              <w:t>As adjusted net tangible book value per ordinary share immediately after</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71"/>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this offering</w:t>
            </w:r>
          </w:p>
        </w:tc>
        <w:tc>
          <w:tcPr>
            <w:tcW w:w="18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24"/>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6"/>
        </w:trPr>
        <w:tc>
          <w:tcPr>
            <w:tcW w:w="5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the underwriters exercise their option to purchase additional ordinary shares in full in this offering, the as adjusted net tangible book value after the offering would be $3.90 per share, the increase in net tangible book value per share to existing shareholders would be $0.78 and the dilution in net tangible book value per share to investors in this offering would be $12.60 per share, in each case based on the public offering price of $16.50 per ordinary share.</w:t>
      </w:r>
    </w:p>
    <w:p>
      <w:pPr>
        <w:spacing w:after="0" w:line="12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above discussion and table exclude 4,124,036 ordinary shares reserved for issuance under our equity incentive plans as of December 31, 2016, of which we had granted options to purchase 2,722,161 ordinary shares at a weighted average exercise price of $6.99 per share.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4"/>
          </w:tcPr>
          <w:p>
            <w:pPr>
              <w:jc w:val="right"/>
              <w:ind w:right="270"/>
              <w:spacing w:after="0"/>
              <w:rPr>
                <w:sz w:val="20"/>
                <w:szCs w:val="20"/>
                <w:color w:val="auto"/>
              </w:rPr>
            </w:pPr>
            <w:r>
              <w:rPr>
                <w:rFonts w:ascii="Arial" w:cs="Arial" w:eastAsia="Arial" w:hAnsi="Arial"/>
                <w:sz w:val="16"/>
                <w:szCs w:val="16"/>
                <w:color w:val="auto"/>
              </w:rPr>
              <w:t>(in U.S. dollars)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w:t>
            </w: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2016</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 2017 (through January 25, 2017)</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Fourth Quarter 2016</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Second Quarter 2016</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Fourth Quarter 2015</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Second Quarter 2015</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January 2017 (through January 25, 2017)</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2016</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November 2016</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2016</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September 2016</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2016</w:t>
            </w: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July 2016</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last reported sales price of our ordinary shares on the Nasdaq Global Select Market on January 25, 2017 was $17.35.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Principal and selling shareholders</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January 3, 2017 and after this offering by:</w:t>
      </w:r>
    </w:p>
    <w:p>
      <w:pPr>
        <w:spacing w:after="0" w:line="89" w:lineRule="exact"/>
        <w:rPr>
          <w:sz w:val="20"/>
          <w:szCs w:val="20"/>
          <w:color w:val="auto"/>
        </w:rPr>
      </w:pPr>
    </w:p>
    <w:p>
      <w:pPr>
        <w:ind w:left="1320" w:right="459" w:hanging="425"/>
        <w:spacing w:after="0" w:line="277" w:lineRule="auto"/>
        <w:tabs>
          <w:tab w:leader="none" w:pos="14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selling shareholders;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January 3, 2017 to be outstanding and to be beneficially owned by the person holding the options for the purposes of computing the percentage ownership of that person, but we do not treat them as outstanding for the purpose of computing the percentage ownership of any other person. The percentage of ordinary shares beneficially owned prior to the offering is based on 30,989,873 ordinary shares outstanding as of January 3, 2017. Except where otherwise indicated, we believe, based on information furnished to us by such owners, that the beneficial owners of the ordinary shares listed below have sole investment and voting power with respect to such shares.</w:t>
      </w:r>
    </w:p>
    <w:p>
      <w:pPr>
        <w:spacing w:after="0" w:line="11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Ha’Ayin 4809246, Israel.</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Number of</w:t>
            </w:r>
          </w:p>
        </w:tc>
        <w:tc>
          <w:tcPr>
            <w:tcW w:w="1540" w:type="dxa"/>
            <w:vAlign w:val="bottom"/>
            <w:gridSpan w:val="3"/>
            <w:vMerge w:val="restart"/>
          </w:tcPr>
          <w:p>
            <w:pPr>
              <w:jc w:val="right"/>
              <w:ind w:right="11"/>
              <w:spacing w:after="0"/>
              <w:rPr>
                <w:sz w:val="20"/>
                <w:szCs w:val="20"/>
                <w:color w:val="auto"/>
              </w:rPr>
            </w:pPr>
            <w:r>
              <w:rPr>
                <w:rFonts w:ascii="Arial" w:cs="Arial" w:eastAsia="Arial" w:hAnsi="Arial"/>
                <w:sz w:val="13"/>
                <w:szCs w:val="13"/>
                <w:b w:val="1"/>
                <w:bCs w:val="1"/>
                <w:color w:val="auto"/>
                <w:w w:val="88"/>
              </w:rPr>
              <w:t>Shares beneficially owned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4"/>
              </w:rPr>
              <w:t>shares offered</w:t>
            </w: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pursuant to</w:t>
            </w:r>
          </w:p>
        </w:tc>
        <w:tc>
          <w:tcPr>
            <w:tcW w:w="15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after exercise of option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86"/>
              </w:rPr>
              <w:t>Shares beneficially owned</w:t>
            </w: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8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86"/>
              </w:rPr>
              <w:t>Shares beneficially owned</w:t>
            </w: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option granted</w:t>
            </w:r>
          </w:p>
        </w:tc>
        <w:tc>
          <w:tcPr>
            <w:tcW w:w="15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granted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3"/>
                <w:szCs w:val="13"/>
                <w:b w:val="1"/>
                <w:bCs w:val="1"/>
                <w:color w:val="auto"/>
              </w:rPr>
              <w:t>prior to offering</w:t>
            </w:r>
          </w:p>
        </w:tc>
        <w:tc>
          <w:tcPr>
            <w:tcW w:w="1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shares</w:t>
            </w:r>
          </w:p>
        </w:tc>
        <w:tc>
          <w:tcPr>
            <w:tcW w:w="148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3"/>
                <w:szCs w:val="13"/>
                <w:b w:val="1"/>
                <w:bCs w:val="1"/>
                <w:color w:val="auto"/>
              </w:rPr>
              <w:t>after offering</w:t>
            </w:r>
          </w:p>
        </w:tc>
        <w:tc>
          <w:tcPr>
            <w:tcW w:w="12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by selling</w:t>
            </w: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selling shareholders</w:t>
            </w:r>
          </w:p>
        </w:tc>
        <w:tc>
          <w:tcPr>
            <w:tcW w:w="0" w:type="dxa"/>
            <w:vAlign w:val="bottom"/>
          </w:tcPr>
          <w:p>
            <w:pPr>
              <w:spacing w:after="0"/>
              <w:rPr>
                <w:sz w:val="1"/>
                <w:szCs w:val="1"/>
                <w:color w:val="auto"/>
              </w:rPr>
            </w:pPr>
          </w:p>
        </w:tc>
      </w:tr>
      <w:tr>
        <w:trPr>
          <w:trHeight w:val="129"/>
        </w:trPr>
        <w:tc>
          <w:tcPr>
            <w:tcW w:w="16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Name</w:t>
            </w:r>
          </w:p>
        </w:tc>
        <w:tc>
          <w:tcPr>
            <w:tcW w:w="660" w:type="dxa"/>
            <w:vAlign w:val="bottom"/>
          </w:tcPr>
          <w:p>
            <w:pPr>
              <w:jc w:val="right"/>
              <w:ind w:right="49"/>
              <w:spacing w:after="0" w:line="12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1"/>
                <w:szCs w:val="11"/>
                <w:color w:val="auto"/>
              </w:rPr>
            </w:pPr>
          </w:p>
        </w:tc>
        <w:tc>
          <w:tcPr>
            <w:tcW w:w="680" w:type="dxa"/>
            <w:vAlign w:val="bottom"/>
          </w:tcPr>
          <w:p>
            <w:pPr>
              <w:jc w:val="right"/>
              <w:ind w:right="71"/>
              <w:spacing w:after="0" w:line="129" w:lineRule="exact"/>
              <w:rPr>
                <w:sz w:val="20"/>
                <w:szCs w:val="20"/>
                <w:color w:val="auto"/>
              </w:rPr>
            </w:pPr>
            <w:r>
              <w:rPr>
                <w:rFonts w:ascii="Arial" w:cs="Arial" w:eastAsia="Arial" w:hAnsi="Arial"/>
                <w:sz w:val="13"/>
                <w:szCs w:val="13"/>
                <w:b w:val="1"/>
                <w:bCs w:val="1"/>
                <w:color w:val="auto"/>
              </w:rPr>
              <w:t>Percent</w:t>
            </w: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6"/>
              </w:rPr>
              <w:t>offered</w:t>
            </w:r>
          </w:p>
        </w:tc>
        <w:tc>
          <w:tcPr>
            <w:tcW w:w="680" w:type="dxa"/>
            <w:vAlign w:val="bottom"/>
          </w:tcPr>
          <w:p>
            <w:pPr>
              <w:jc w:val="right"/>
              <w:ind w:right="49"/>
              <w:spacing w:after="0" w:line="12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1"/>
                <w:szCs w:val="11"/>
                <w:color w:val="auto"/>
              </w:rPr>
            </w:pPr>
          </w:p>
        </w:tc>
        <w:tc>
          <w:tcPr>
            <w:tcW w:w="680" w:type="dxa"/>
            <w:vAlign w:val="bottom"/>
          </w:tcPr>
          <w:p>
            <w:pPr>
              <w:jc w:val="right"/>
              <w:ind w:right="71"/>
              <w:spacing w:after="0" w:line="129" w:lineRule="exact"/>
              <w:rPr>
                <w:sz w:val="20"/>
                <w:szCs w:val="20"/>
                <w:color w:val="auto"/>
              </w:rPr>
            </w:pPr>
            <w:r>
              <w:rPr>
                <w:rFonts w:ascii="Arial" w:cs="Arial" w:eastAsia="Arial" w:hAnsi="Arial"/>
                <w:sz w:val="13"/>
                <w:szCs w:val="13"/>
                <w:b w:val="1"/>
                <w:bCs w:val="1"/>
                <w:color w:val="auto"/>
              </w:rPr>
              <w:t>Percent</w:t>
            </w: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5"/>
              </w:rPr>
              <w:t>shareholders</w:t>
            </w:r>
          </w:p>
        </w:tc>
        <w:tc>
          <w:tcPr>
            <w:tcW w:w="70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1"/>
                <w:szCs w:val="11"/>
                <w:color w:val="auto"/>
              </w:rPr>
            </w:pPr>
          </w:p>
        </w:tc>
        <w:tc>
          <w:tcPr>
            <w:tcW w:w="720" w:type="dxa"/>
            <w:vAlign w:val="bottom"/>
          </w:tcPr>
          <w:p>
            <w:pPr>
              <w:jc w:val="right"/>
              <w:ind w:right="91"/>
              <w:spacing w:after="0" w:line="12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2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5% and Selling</w:t>
            </w:r>
          </w:p>
        </w:tc>
        <w:tc>
          <w:tcPr>
            <w:tcW w:w="1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Shareholder</w:t>
            </w: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60" w:type="dxa"/>
            <w:vAlign w:val="bottom"/>
            <w:gridSpan w:val="2"/>
          </w:tcPr>
          <w:p>
            <w:pPr>
              <w:spacing w:after="0" w:line="140" w:lineRule="exact"/>
              <w:rPr>
                <w:sz w:val="20"/>
                <w:szCs w:val="20"/>
                <w:color w:val="auto"/>
              </w:rPr>
            </w:pPr>
            <w:r>
              <w:rPr>
                <w:rFonts w:ascii="Arial" w:cs="Arial" w:eastAsia="Arial" w:hAnsi="Arial"/>
                <w:sz w:val="14"/>
                <w:szCs w:val="14"/>
                <w:color w:val="auto"/>
              </w:rPr>
              <w:t>Fortissimo Capital Fund II</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60" w:type="dxa"/>
            <w:vAlign w:val="bottom"/>
            <w:gridSpan w:val="2"/>
          </w:tcPr>
          <w:p>
            <w:pPr>
              <w:ind w:left="160"/>
              <w:spacing w:after="0" w:line="239" w:lineRule="exact"/>
              <w:rPr>
                <w:sz w:val="20"/>
                <w:szCs w:val="20"/>
                <w:color w:val="auto"/>
              </w:rPr>
            </w:pPr>
            <w:r>
              <w:rPr>
                <w:rFonts w:ascii="Arial" w:cs="Arial" w:eastAsia="Arial" w:hAnsi="Arial"/>
                <w:sz w:val="14"/>
                <w:szCs w:val="14"/>
                <w:color w:val="auto"/>
              </w:rPr>
              <w:t>(Israel), L.P.</w:t>
            </w:r>
            <w:r>
              <w:rPr>
                <w:rFonts w:ascii="Arial" w:cs="Arial" w:eastAsia="Arial" w:hAnsi="Arial"/>
                <w:sz w:val="23"/>
                <w:szCs w:val="23"/>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15,037,481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5,410,000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9,627,481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29.1%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825,000</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8,802,481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Directors, Executive</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Officers and Selling</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Shareholder</w:t>
            </w: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gridSpan w:val="2"/>
          </w:tcPr>
          <w:p>
            <w:pPr>
              <w:spacing w:after="0" w:line="230" w:lineRule="exact"/>
              <w:rPr>
                <w:sz w:val="20"/>
                <w:szCs w:val="20"/>
                <w:color w:val="auto"/>
              </w:rPr>
            </w:pPr>
            <w:r>
              <w:rPr>
                <w:rFonts w:ascii="Arial" w:cs="Arial" w:eastAsia="Arial" w:hAnsi="Arial"/>
                <w:sz w:val="14"/>
                <w:szCs w:val="14"/>
                <w:color w:val="auto"/>
              </w:rPr>
              <w:t>Yuval Cohen</w:t>
            </w:r>
            <w:r>
              <w:rPr>
                <w:rFonts w:ascii="Arial" w:cs="Arial" w:eastAsia="Arial" w:hAnsi="Arial"/>
                <w:sz w:val="23"/>
                <w:szCs w:val="23"/>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15,047,351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9,637,351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8,812,351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Ofer Ben-Zur</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gridSpan w:val="2"/>
          </w:tcPr>
          <w:p>
            <w:pPr>
              <w:spacing w:after="0" w:line="230" w:lineRule="exact"/>
              <w:rPr>
                <w:sz w:val="20"/>
                <w:szCs w:val="20"/>
                <w:color w:val="auto"/>
              </w:rPr>
            </w:pPr>
            <w:r>
              <w:rPr>
                <w:rFonts w:ascii="Arial" w:cs="Arial" w:eastAsia="Arial" w:hAnsi="Arial"/>
                <w:sz w:val="14"/>
                <w:szCs w:val="14"/>
                <w:color w:val="auto"/>
              </w:rPr>
              <w:t>Eli Blatt</w:t>
            </w:r>
            <w:r>
              <w:rPr>
                <w:rFonts w:ascii="Arial" w:cs="Arial" w:eastAsia="Arial" w:hAnsi="Arial"/>
                <w:sz w:val="23"/>
                <w:szCs w:val="23"/>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15,044,390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9,634,390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8,809,390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gridSpan w:val="2"/>
            <w:shd w:val="clear" w:color="auto" w:fill="CCEEFF"/>
          </w:tcPr>
          <w:p>
            <w:pPr>
              <w:spacing w:after="0" w:line="230" w:lineRule="exact"/>
              <w:rPr>
                <w:sz w:val="20"/>
                <w:szCs w:val="20"/>
                <w:color w:val="auto"/>
              </w:rPr>
            </w:pPr>
            <w:r>
              <w:rPr>
                <w:rFonts w:ascii="Arial" w:cs="Arial" w:eastAsia="Arial" w:hAnsi="Arial"/>
                <w:sz w:val="14"/>
                <w:szCs w:val="14"/>
                <w:color w:val="auto"/>
              </w:rPr>
              <w:t>Marc Lesnick</w:t>
            </w:r>
            <w:r>
              <w:rPr>
                <w:rFonts w:ascii="Arial" w:cs="Arial" w:eastAsia="Arial" w:hAnsi="Arial"/>
                <w:sz w:val="23"/>
                <w:szCs w:val="23"/>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15,044,390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9,634,390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8,809,390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auto"/>
              </w:rPr>
              <w:t>Lauri Hanover</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Alon Lumbroso</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auto"/>
              </w:rPr>
              <w:t>Jerry Mandel</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Dov Ofer</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gridSpan w:val="2"/>
          </w:tcPr>
          <w:p>
            <w:pPr>
              <w:spacing w:after="0" w:line="230" w:lineRule="exact"/>
              <w:rPr>
                <w:sz w:val="20"/>
                <w:szCs w:val="20"/>
                <w:color w:val="auto"/>
              </w:rPr>
            </w:pPr>
            <w:r>
              <w:rPr>
                <w:rFonts w:ascii="Arial" w:cs="Arial" w:eastAsia="Arial" w:hAnsi="Arial"/>
                <w:sz w:val="14"/>
                <w:szCs w:val="14"/>
                <w:color w:val="auto"/>
              </w:rPr>
              <w:t>Gabi Seligsohn</w:t>
            </w:r>
            <w:r>
              <w:rPr>
                <w:rFonts w:ascii="Arial" w:cs="Arial" w:eastAsia="Arial" w:hAnsi="Arial"/>
                <w:sz w:val="23"/>
                <w:szCs w:val="23"/>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4"/>
                <w:szCs w:val="14"/>
                <w:color w:val="auto"/>
              </w:rPr>
              <w:t>528,914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90,000</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438,914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438,914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Nuriel Amir</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auto"/>
              </w:rPr>
              <w:t>Guy Avidan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Gilad Yron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auto"/>
              </w:rPr>
              <w:t>Ofer Sandelson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Guy Zimmerman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All Directors and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Executive Officers as a</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Group</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60" w:type="dxa"/>
            <w:vAlign w:val="bottom"/>
            <w:gridSpan w:val="2"/>
          </w:tcPr>
          <w:p>
            <w:pPr>
              <w:ind w:left="160"/>
              <w:spacing w:after="0" w:line="243" w:lineRule="exact"/>
              <w:rPr>
                <w:sz w:val="20"/>
                <w:szCs w:val="20"/>
                <w:color w:val="auto"/>
              </w:rPr>
            </w:pPr>
            <w:r>
              <w:rPr>
                <w:rFonts w:ascii="Arial" w:cs="Arial" w:eastAsia="Arial" w:hAnsi="Arial"/>
                <w:sz w:val="14"/>
                <w:szCs w:val="14"/>
                <w:color w:val="auto"/>
              </w:rPr>
              <w:t>(14 persons)</w:t>
            </w:r>
            <w:r>
              <w:rPr>
                <w:rFonts w:ascii="Arial" w:cs="Arial" w:eastAsia="Arial" w:hAnsi="Arial"/>
                <w:sz w:val="23"/>
                <w:szCs w:val="23"/>
                <w:color w:val="auto"/>
                <w:vertAlign w:val="superscript"/>
              </w:rPr>
              <w:t>(6)</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15,993,997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5,500,000</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10,493,997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825,000</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9,668,997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6"/>
          <w:szCs w:val="16"/>
          <w:color w:val="auto"/>
        </w:rPr>
        <w:t>____________</w:t>
      </w:r>
    </w:p>
    <w:p>
      <w:pPr>
        <w:spacing w:after="0" w:line="8" w:lineRule="exact"/>
        <w:rPr>
          <w:sz w:val="20"/>
          <w:szCs w:val="20"/>
          <w:color w:val="auto"/>
        </w:rPr>
      </w:pPr>
    </w:p>
    <w:p>
      <w:pPr>
        <w:ind w:left="900" w:hanging="438"/>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beneficial ownership of less than 1% of our outstanding ordinary shares.</w:t>
      </w:r>
    </w:p>
    <w:p>
      <w:pPr>
        <w:spacing w:after="0" w:line="19" w:lineRule="exact"/>
        <w:rPr>
          <w:sz w:val="20"/>
          <w:szCs w:val="20"/>
          <w:color w:val="auto"/>
        </w:rPr>
      </w:pPr>
    </w:p>
    <w:p>
      <w:pPr>
        <w:jc w:val="both"/>
        <w:ind w:left="900" w:right="459" w:hanging="438"/>
        <w:spacing w:after="0" w:line="250"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Fortissimo Capital Fund II (GP), L.P. is a Cayman Islands limited partnership, which serves as the general partner of Fortissimo Capital Fund II (Israel), L.P. (“Fortissimo Fund II”), a Cayman Islands limited partnership. The general partner of Fortissimo Capital Fund II (GP), L.P. is Fortissimo Capital 2 Management (GP) Ltd., a Cayman Islands corporation (“Fortissimo Capital”). Messrs. Eli Blatt, Yuval Cohen and Marc Lesnick are members of the investment committee of Fortissimo Capital and share voting and dispositive power with respect to such shares. The principal address of Fortissimo Capital and of Messrs. Blatt, Cohen and Lesnick is 14 Hamelacha Street, Park Afek, Rosh Ha’Ayin 48091, Israel.</w:t>
      </w:r>
    </w:p>
    <w:p>
      <w:pPr>
        <w:sectPr>
          <w:pgSz w:w="11900" w:h="16838" w:orient="portrait"/>
          <w:cols w:equalWidth="0" w:num="1">
            <w:col w:w="9019"/>
          </w:cols>
          <w:pgMar w:left="1440" w:top="33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9" w:name="page40"/>
    <w:bookmarkEnd w:id="39"/>
    <w:p>
      <w:pPr>
        <w:ind w:left="900" w:right="459" w:hanging="438"/>
        <w:spacing w:after="0" w:line="255" w:lineRule="auto"/>
        <w:tabs>
          <w:tab w:leader="none" w:pos="92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Before this offering, consists of 15,037,481 ordinary shares held by Fortissimo Fund II and options to purchase 9,870 ordinary shares. See footnote (1).</w:t>
      </w:r>
    </w:p>
    <w:p>
      <w:pPr>
        <w:spacing w:after="0" w:line="1" w:lineRule="exact"/>
        <w:rPr>
          <w:rFonts w:ascii="Arial" w:cs="Arial" w:eastAsia="Arial" w:hAnsi="Arial"/>
          <w:sz w:val="16"/>
          <w:szCs w:val="16"/>
          <w:color w:val="auto"/>
        </w:rPr>
      </w:pPr>
    </w:p>
    <w:p>
      <w:pPr>
        <w:ind w:left="900" w:right="459" w:hanging="438"/>
        <w:spacing w:after="0" w:line="246" w:lineRule="auto"/>
        <w:tabs>
          <w:tab w:leader="none" w:pos="92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Before this offering, consists of 15,037,481 ordinary shares held by Fortissimo Fund II and options to purchase 6,909 ordinary shares. See footnote (1).</w:t>
      </w:r>
    </w:p>
    <w:p>
      <w:pPr>
        <w:ind w:left="900" w:right="459" w:hanging="438"/>
        <w:spacing w:after="0" w:line="246" w:lineRule="auto"/>
        <w:tabs>
          <w:tab w:leader="none" w:pos="92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Before this offering, consists of 15,037,481 ordinary shares held by Fortissimo Fund II and options to purchase 6,909 ordinary shares. See footnote (1).</w:t>
      </w:r>
    </w:p>
    <w:p>
      <w:pPr>
        <w:ind w:left="880" w:hanging="418"/>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Before this offering, consists of 36,357 ordinary shares and options to purchase 492,557 ordinary shares.</w:t>
      </w:r>
    </w:p>
    <w:p>
      <w:pPr>
        <w:spacing w:after="0" w:line="5" w:lineRule="exact"/>
        <w:rPr>
          <w:rFonts w:ascii="Arial" w:cs="Arial" w:eastAsia="Arial" w:hAnsi="Arial"/>
          <w:sz w:val="16"/>
          <w:szCs w:val="16"/>
          <w:color w:val="auto"/>
        </w:rPr>
      </w:pPr>
    </w:p>
    <w:p>
      <w:pPr>
        <w:ind w:left="880" w:hanging="418"/>
        <w:spacing w:after="0"/>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Before this offering, consists of 15,343,349 ordinary shares and options to purchase 650,828 ordinary shares.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global textile and garment industry, including textile, clothing, footwear and luxury fashion, was worth nearly $3 trillion in 2015 and is projected to grow between 2% and 5% annually through 2020, according to a 2016 Digital Textile Printing Industry Forecast 2015-2020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0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There is a diverse ecosystem of businesses that utilize textile printing processes, such as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1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believe that the vast majority of the output of the global printed textile industry in 2016, which was projected to be approximately 32 to 33 billion square meters, was produced using analog print methods, specifically screen printing, carousels for printing on garments and rotary screen printers for printing on rolls of fabric. Our assessment is based on data provided in a 2016 report by Smithers Pira, a provider of market intelligence on the printed textile industry. The Pira report provides digital printing output estimates for 2016 and projects the analog printing output for 2016 as well as the annual digital textile printing growth rate through 2021, which we used to calculate a projected digital output of approximately 870 million square meters for 2016, representing 2.9% of total projected annual global printed textile output in 2016. According to the Pira report, initial growth rates in the digital textile printing market were more than 45% between 2004 and 2009, declining to an average CAGR of 25% between 2009 and 2012, an average CAGR of 18.8% between 2012 and 2014 and an average CAGR of 15.6% for 2014 to 2016 as the market became more mature and, in part, due to the impact of the global economic slowdown. Digital textile printing output is forecasted to grow at a 17.5% CAGR globally from 2016 to 2021 driven by projected CAGR over the same period of approximately 16.5% in North America, 15.0% in Western Europe, 13.5% in Eastern Europe and 20.1%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estimate that global revenue from digital textile printing equipment and ink will grow at a 15.7% CAGR between 2016 and 2021 based on the estimate of such revenue for 2016 and the projection for 2021, in each case, contained in the Pira report. There is currently a global installed base of approximately 42,000 digital textile printers.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Trends Impacting Digital Textile Printing</w:t>
      </w:r>
    </w:p>
    <w:p>
      <w:pPr>
        <w:spacing w:after="0" w:line="14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Evolving consumer behavior is driving the growth in digital printing as well as the shift to online retail. This behavior is motivated by increased demand for variety and complexity of images and designs as well as increased desire for customization and personalization. In order to distinguish themselves from the masses, consumers demand, and brand owners seek to supply, a wide range of styles that are innovative and diverse.</w:t>
      </w:r>
    </w:p>
    <w:p>
      <w:pPr>
        <w:spacing w:after="0" w:line="87"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Apparel represents the largest segment of the online retail market and sales are highly influenced by rapidly changing consumer trends. We believe that four key trends are currently driving growth in both the online retail market and the demand for digital printing solutions:</w:t>
      </w:r>
    </w:p>
    <w:p>
      <w:pPr>
        <w:spacing w:after="0" w:line="114" w:lineRule="exact"/>
        <w:rPr>
          <w:sz w:val="20"/>
          <w:szCs w:val="20"/>
          <w:color w:val="auto"/>
        </w:rPr>
      </w:pPr>
    </w:p>
    <w:p>
      <w:pPr>
        <w:jc w:val="both"/>
        <w:ind w:left="1320" w:right="459" w:hanging="425"/>
        <w:spacing w:after="0" w:line="270" w:lineRule="auto"/>
        <w:tabs>
          <w:tab w:leader="none" w:pos="1315"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Immediate Gratification. </w:t>
      </w:r>
      <w:r>
        <w:rPr>
          <w:rFonts w:ascii="Arial" w:cs="Arial" w:eastAsia="Arial" w:hAnsi="Arial"/>
          <w:sz w:val="17"/>
          <w:szCs w:val="17"/>
          <w:color w:val="auto"/>
        </w:rPr>
        <w:t>According to a 2016 report by Consumer Intelligence Research Partners,</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2013 to 2015 the number of Amazon customers in the United States willing to pay more in order to receive products faster more than doubled to 54 million. This change in consumer behavior is causing retailers to alter their approach to inventory management in order to retain the business of discrete shoppers. In addition to retooling their internal fulfillment capabilities, many retail brands have begun to leverage the capacity of third party online stores in order to meet customer demands for delivery speed and product quality. We believe that the industry will see an increase in proximity production, whereby traditional retailers will use more localized digital printing capacity in order to satisfy consumer demands.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 w:name="page42"/>
    <w:bookmarkEnd w:id="41"/>
    <w:p>
      <w:pPr>
        <w:jc w:val="both"/>
        <w:ind w:left="1320" w:right="459" w:hanging="425"/>
        <w:spacing w:after="0" w:line="259" w:lineRule="auto"/>
        <w:tabs>
          <w:tab w:leader="none" w:pos="1491"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Personal Expression. </w:t>
      </w:r>
      <w:r>
        <w:rPr>
          <w:rFonts w:ascii="Arial" w:cs="Arial" w:eastAsia="Arial" w:hAnsi="Arial"/>
          <w:sz w:val="18"/>
          <w:szCs w:val="18"/>
          <w:color w:val="auto"/>
        </w:rPr>
        <w:t>We believe consumers are increasingly seeking the ability to customize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choosing preferred features from a menu of options, or the ability to personalize products by adding an individualized pattern. We believe this trend is driving the shift to digital printing and online retail in both our DTG and R2R end markets.</w:t>
      </w:r>
    </w:p>
    <w:p>
      <w:pPr>
        <w:spacing w:after="0" w:line="105" w:lineRule="exact"/>
        <w:rPr>
          <w:rFonts w:ascii="Arial" w:cs="Arial" w:eastAsia="Arial" w:hAnsi="Arial"/>
          <w:sz w:val="18"/>
          <w:szCs w:val="18"/>
          <w:i w:val="1"/>
          <w:iCs w:val="1"/>
          <w:color w:val="auto"/>
        </w:rPr>
      </w:pPr>
    </w:p>
    <w:p>
      <w:pPr>
        <w:jc w:val="both"/>
        <w:ind w:left="1320" w:right="459" w:hanging="425"/>
        <w:spacing w:after="0" w:line="302" w:lineRule="auto"/>
        <w:tabs>
          <w:tab w:leader="none" w:pos="1477"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Influence of Social Media. </w:t>
      </w:r>
      <w:r>
        <w:rPr>
          <w:rFonts w:ascii="Arial" w:cs="Arial" w:eastAsia="Arial" w:hAnsi="Arial"/>
          <w:sz w:val="16"/>
          <w:szCs w:val="16"/>
          <w:color w:val="auto"/>
        </w:rPr>
        <w:t>The means through which customers gather information to inform</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decisions has also evolved in today’s digital world. According to a study by PwC, 78% of consumers were influenced by social media in making online shopping decisions in 2015, up from 68% in the prior year. We believe this trend further promotes the shift to the online retail channel.</w:t>
      </w:r>
    </w:p>
    <w:p>
      <w:pPr>
        <w:spacing w:after="0" w:line="86" w:lineRule="exact"/>
        <w:rPr>
          <w:rFonts w:ascii="Arial" w:cs="Arial" w:eastAsia="Arial" w:hAnsi="Arial"/>
          <w:sz w:val="16"/>
          <w:szCs w:val="16"/>
          <w:i w:val="1"/>
          <w:iCs w:val="1"/>
          <w:color w:val="auto"/>
        </w:rPr>
      </w:pPr>
    </w:p>
    <w:p>
      <w:pPr>
        <w:jc w:val="both"/>
        <w:ind w:left="1320" w:right="459" w:hanging="425"/>
        <w:spacing w:after="0" w:line="270" w:lineRule="auto"/>
        <w:tabs>
          <w:tab w:leader="none" w:pos="1329"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Consumer Preference. </w:t>
      </w:r>
      <w:r>
        <w:rPr>
          <w:rFonts w:ascii="Arial" w:cs="Arial" w:eastAsia="Arial" w:hAnsi="Arial"/>
          <w:sz w:val="17"/>
          <w:szCs w:val="17"/>
          <w:color w:val="auto"/>
        </w:rPr>
        <w:t>Today’s consumer is leveraging the online channel for apparel purchases at</w:t>
      </w:r>
      <w:r>
        <w:rPr>
          <w:rFonts w:ascii="Arial" w:cs="Arial" w:eastAsia="Arial" w:hAnsi="Arial"/>
          <w:sz w:val="17"/>
          <w:szCs w:val="17"/>
          <w:i w:val="1"/>
          <w:iCs w:val="1"/>
          <w:color w:val="auto"/>
        </w:rPr>
        <w:t xml:space="preserve"> </w:t>
      </w:r>
      <w:r>
        <w:rPr>
          <w:rFonts w:ascii="Arial" w:cs="Arial" w:eastAsia="Arial" w:hAnsi="Arial"/>
          <w:sz w:val="17"/>
          <w:szCs w:val="17"/>
          <w:color w:val="auto"/>
        </w:rPr>
        <w:t>a pace that far exceeds traditional brick and mortar purchases. According to a report by Internet Retailer, the online channel represented 17.0% of U.S. apparel sales in 2015, up from 14.8% in 2014. The market share gain corresponds to apparel revenue growth of 19.7% in the online channel and only 1.1% growth in the brick and mortar channel. We believe our installed base reflects the convergence of the growth in online apparel retail and the growth in digital printing. As of December 2016, we estimate that our top 10 accounts in terms of revenue have the capacity to produce 60 million garments per year in aggregate, and that total production across our installed base in 2016 was 70 to 80 million garments.</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New business models have developed in response to the evolution of these consumer trends and the rapid growth of the online retail market. Our solutions enable this category of “web-to-print” businesses to fulfill consumer demand more quickly and cost-effectively in a manner that is differentiated from traditional brick and mortar businesses.</w:t>
      </w:r>
    </w:p>
    <w:p>
      <w:pPr>
        <w:spacing w:after="0" w:line="10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number of large scale web-to-print platforms have emerged. These platforms often leverage digital printing solutions to facilitate business for a variety of content creators. The ecosystem of web-to-print businesses which we currently serve includes:</w:t>
      </w:r>
    </w:p>
    <w:p>
      <w:pPr>
        <w:spacing w:after="0" w:line="114" w:lineRule="exact"/>
        <w:rPr>
          <w:sz w:val="20"/>
          <w:szCs w:val="20"/>
          <w:color w:val="auto"/>
        </w:rPr>
      </w:pPr>
    </w:p>
    <w:p>
      <w:pPr>
        <w:ind w:left="1320" w:right="459" w:hanging="425"/>
        <w:spacing w:after="0" w:line="277" w:lineRule="auto"/>
        <w:tabs>
          <w:tab w:leader="none" w:pos="1329"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websites and through other marketing means.</w:t>
      </w:r>
    </w:p>
    <w:p>
      <w:pPr>
        <w:spacing w:after="0" w:line="102" w:lineRule="exact"/>
        <w:rPr>
          <w:rFonts w:ascii="Arial" w:cs="Arial" w:eastAsia="Arial" w:hAnsi="Arial"/>
          <w:sz w:val="18"/>
          <w:szCs w:val="18"/>
          <w:i w:val="1"/>
          <w:iCs w:val="1"/>
          <w:color w:val="auto"/>
        </w:rPr>
      </w:pPr>
    </w:p>
    <w:p>
      <w:pPr>
        <w:ind w:left="1320" w:right="459" w:hanging="425"/>
        <w:spacing w:after="0" w:line="277" w:lineRule="auto"/>
        <w:tabs>
          <w:tab w:leader="none" w:pos="131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fulfillment providers, who are often also our customers.</w:t>
      </w:r>
    </w:p>
    <w:p>
      <w:pPr>
        <w:spacing w:after="0" w:line="89" w:lineRule="exact"/>
        <w:rPr>
          <w:rFonts w:ascii="Arial" w:cs="Arial" w:eastAsia="Arial" w:hAnsi="Arial"/>
          <w:sz w:val="18"/>
          <w:szCs w:val="18"/>
          <w:i w:val="1"/>
          <w:iCs w:val="1"/>
          <w:color w:val="auto"/>
        </w:rPr>
      </w:pPr>
    </w:p>
    <w:p>
      <w:pPr>
        <w:ind w:left="1320" w:right="459" w:hanging="425"/>
        <w:spacing w:after="0" w:line="342" w:lineRule="auto"/>
        <w:tabs>
          <w:tab w:leader="none" w:pos="1302"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Third Party Fulfillment Centers. </w:t>
      </w:r>
      <w:r>
        <w:rPr>
          <w:rFonts w:ascii="Arial" w:cs="Arial" w:eastAsia="Arial" w:hAnsi="Arial"/>
          <w:sz w:val="16"/>
          <w:szCs w:val="16"/>
          <w:color w:val="auto"/>
        </w:rPr>
        <w:t>Companies serving as third party fulfillment for other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these businesses is typically generated online through other web retailers.</w:t>
      </w:r>
    </w:p>
    <w:p>
      <w:pPr>
        <w:spacing w:after="0" w:line="5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Proximity to the consumer is a key factor for these businesses since it minimizes shipping costs and enables them to offer rapid turnaround. In many cases, retailers have asked us for assistance in identifying our local customers to help with their fulfillment.</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characteristics of digital textile printing have enabled these new business models and are driving the shift from analog to digital textile printing:</w:t>
      </w:r>
    </w:p>
    <w:p>
      <w:pPr>
        <w:spacing w:after="0" w:line="89" w:lineRule="exact"/>
        <w:rPr>
          <w:sz w:val="20"/>
          <w:szCs w:val="20"/>
          <w:color w:val="auto"/>
        </w:rPr>
      </w:pPr>
    </w:p>
    <w:p>
      <w:pPr>
        <w:jc w:val="both"/>
        <w:ind w:left="1320" w:right="459" w:hanging="425"/>
        <w:spacing w:after="0" w:line="302" w:lineRule="auto"/>
        <w:tabs>
          <w:tab w:leader="none" w:pos="1356"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Manufacturing flexibility. </w:t>
      </w:r>
      <w:r>
        <w:rPr>
          <w:rFonts w:ascii="Arial" w:cs="Arial" w:eastAsia="Arial" w:hAnsi="Arial"/>
          <w:sz w:val="16"/>
          <w:szCs w:val="16"/>
          <w:color w:val="auto"/>
        </w:rPr>
        <w:t>Digital textile printing allows a full image or design to be printed on a</w:t>
      </w:r>
      <w:r>
        <w:rPr>
          <w:rFonts w:ascii="Arial" w:cs="Arial" w:eastAsia="Arial" w:hAnsi="Arial"/>
          <w:sz w:val="16"/>
          <w:szCs w:val="16"/>
          <w:i w:val="1"/>
          <w:iCs w:val="1"/>
          <w:color w:val="auto"/>
        </w:rPr>
        <w:t xml:space="preserve"> </w:t>
      </w:r>
      <w:r>
        <w:rPr>
          <w:rFonts w:ascii="Arial" w:cs="Arial" w:eastAsia="Arial" w:hAnsi="Arial"/>
          <w:sz w:val="16"/>
          <w:szCs w:val="16"/>
          <w:color w:val="auto"/>
        </w:rPr>
        <w:t>garment or cut fabric in one manufacturing step compared to multiple steps in an analog printing process. Digital textile printing gives manufacturers the ability to print small runs, with personalization capabilities, in a cost-effective manner with a minimum order quantity of one unit.</w:t>
      </w:r>
    </w:p>
    <w:p>
      <w:pPr>
        <w:spacing w:after="0" w:line="86" w:lineRule="exact"/>
        <w:rPr>
          <w:rFonts w:ascii="Arial" w:cs="Arial" w:eastAsia="Arial" w:hAnsi="Arial"/>
          <w:sz w:val="16"/>
          <w:szCs w:val="16"/>
          <w:i w:val="1"/>
          <w:iCs w:val="1"/>
          <w:color w:val="auto"/>
        </w:rPr>
      </w:pPr>
    </w:p>
    <w:p>
      <w:pPr>
        <w:jc w:val="both"/>
        <w:ind w:left="1320" w:right="459" w:hanging="425"/>
        <w:spacing w:after="0" w:line="286" w:lineRule="auto"/>
        <w:tabs>
          <w:tab w:leader="none" w:pos="1518"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Reduced time between design and production. </w:t>
      </w:r>
      <w:r>
        <w:rPr>
          <w:rFonts w:ascii="Arial" w:cs="Arial" w:eastAsia="Arial" w:hAnsi="Arial"/>
          <w:sz w:val="17"/>
          <w:szCs w:val="17"/>
          <w:color w:val="auto"/>
        </w:rPr>
        <w:t>The digital textile printing process allows for</w:t>
      </w:r>
      <w:r>
        <w:rPr>
          <w:rFonts w:ascii="Arial" w:cs="Arial" w:eastAsia="Arial" w:hAnsi="Arial"/>
          <w:sz w:val="17"/>
          <w:szCs w:val="17"/>
          <w:i w:val="1"/>
          <w:iCs w:val="1"/>
          <w:color w:val="auto"/>
        </w:rPr>
        <w:t xml:space="preserve"> </w:t>
      </w:r>
      <w:r>
        <w:rPr>
          <w:rFonts w:ascii="Arial" w:cs="Arial" w:eastAsia="Arial" w:hAnsi="Arial"/>
          <w:sz w:val="17"/>
          <w:szCs w:val="17"/>
          <w:color w:val="auto"/>
        </w:rPr>
        <w:t>samples to be quickly produced, evaluated, and modified, which permits brand owners to increase the frequency and variety of replenishment cycles in response to fashion trends.</w:t>
      </w:r>
    </w:p>
    <w:p>
      <w:pPr>
        <w:spacing w:after="0" w:line="97" w:lineRule="exact"/>
        <w:rPr>
          <w:rFonts w:ascii="Arial" w:cs="Arial" w:eastAsia="Arial" w:hAnsi="Arial"/>
          <w:sz w:val="17"/>
          <w:szCs w:val="17"/>
          <w:i w:val="1"/>
          <w:iCs w:val="1"/>
          <w:color w:val="auto"/>
        </w:rPr>
      </w:pPr>
    </w:p>
    <w:p>
      <w:pPr>
        <w:jc w:val="both"/>
        <w:ind w:left="1320" w:right="459" w:hanging="425"/>
        <w:spacing w:after="0" w:line="272" w:lineRule="auto"/>
        <w:tabs>
          <w:tab w:leader="none" w:pos="1491"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Decreased risk of excess inventory. </w:t>
      </w:r>
      <w:r>
        <w:rPr>
          <w:rFonts w:ascii="Arial" w:cs="Arial" w:eastAsia="Arial" w:hAnsi="Arial"/>
          <w:sz w:val="17"/>
          <w:szCs w:val="17"/>
          <w:color w:val="auto"/>
        </w:rPr>
        <w:t>The costly and time-consuming upfront setup required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analog production methods is avoided when using digital printing technologies. Therefore, digital printing enables the cost efficient production of a smaller quantity of garments which mitigates excess inventory risk and improves profitability. Stocking blank garments or fabric and decorating them only when demand is identified significantly reduces the amount of inventory at risk. This reduction in working capital requirements has enabled the emergence of numerous online businesses which are focused on the sales of printed textiles.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jc w:val="both"/>
        <w:ind w:left="1320" w:right="459" w:hanging="425"/>
        <w:spacing w:after="0" w:line="272" w:lineRule="auto"/>
        <w:tabs>
          <w:tab w:leader="none" w:pos="1329"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Reduced labor and physical space requirements. </w:t>
      </w:r>
      <w:r>
        <w:rPr>
          <w:rFonts w:ascii="Arial" w:cs="Arial" w:eastAsia="Arial" w:hAnsi="Arial"/>
          <w:sz w:val="17"/>
          <w:szCs w:val="17"/>
          <w:color w:val="auto"/>
        </w:rPr>
        <w:t>Digital textile printing requires significantly less</w:t>
      </w:r>
      <w:r>
        <w:rPr>
          <w:rFonts w:ascii="Arial" w:cs="Arial" w:eastAsia="Arial" w:hAnsi="Arial"/>
          <w:sz w:val="17"/>
          <w:szCs w:val="17"/>
          <w:i w:val="1"/>
          <w:iCs w:val="1"/>
          <w:color w:val="auto"/>
        </w:rPr>
        <w:t xml:space="preserve"> </w:t>
      </w:r>
      <w:r>
        <w:rPr>
          <w:rFonts w:ascii="Arial" w:cs="Arial" w:eastAsia="Arial" w:hAnsi="Arial"/>
          <w:sz w:val="17"/>
          <w:szCs w:val="17"/>
          <w:color w:val="auto"/>
        </w:rPr>
        <w:t>labor to print 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addition to these consumer driven trends, the textile printing industry is being impacted by environmental considerations. Regulatory bodies and consumers are increasingly focused on social 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83185</wp:posOffset>
            </wp:positionV>
            <wp:extent cx="5213985" cy="21355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11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83820</wp:posOffset>
            </wp:positionV>
            <wp:extent cx="5213985" cy="702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20" w:right="459" w:hanging="425"/>
        <w:spacing w:after="0" w:line="270" w:lineRule="auto"/>
        <w:tabs>
          <w:tab w:leader="none" w:pos="1653"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Rotary screen printing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Rotary screen printing is commonly used to print on outerwear,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underwear, sportswear, upholstery and linens. It 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90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100965</wp:posOffset>
            </wp:positionV>
            <wp:extent cx="3044190" cy="2813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4419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320" w:right="459" w:hanging="425"/>
        <w:spacing w:after="0" w:line="268" w:lineRule="auto"/>
        <w:tabs>
          <w:tab w:leader="none" w:pos="1423" w:val="left"/>
        </w:tabs>
        <w:numPr>
          <w:ilvl w:val="0"/>
          <w:numId w:val="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Automated carousel screen printing</w:t>
      </w:r>
      <w:r>
        <w:rPr>
          <w:rFonts w:ascii="Arial" w:cs="Arial" w:eastAsia="Arial" w:hAnsi="Arial"/>
          <w:sz w:val="17"/>
          <w:szCs w:val="17"/>
          <w:color w:val="auto"/>
        </w:rPr>
        <w:t>. Automated carousel screen printing is commonly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print on t-shirts 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90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100330</wp:posOffset>
            </wp:positionV>
            <wp:extent cx="2992755" cy="3550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9275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19"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90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144" w:lineRule="exact"/>
        <w:rPr>
          <w:sz w:val="20"/>
          <w:szCs w:val="20"/>
          <w:color w:val="auto"/>
        </w:rPr>
      </w:pPr>
    </w:p>
    <w:p>
      <w:pPr>
        <w:jc w:val="both"/>
        <w:ind w:left="1320" w:right="459" w:hanging="425"/>
        <w:spacing w:after="0" w:line="259" w:lineRule="auto"/>
        <w:tabs>
          <w:tab w:leader="none" w:pos="1369"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Direct-to-Garment (DTG)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DTG printing, an inkjet printer prints directly on the textile. DTG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printing allows 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64" w:lineRule="exact"/>
        <w:rPr>
          <w:rFonts w:ascii="Arial" w:cs="Arial" w:eastAsia="Arial" w:hAnsi="Arial"/>
          <w:sz w:val="18"/>
          <w:szCs w:val="18"/>
          <w:b w:val="1"/>
          <w:bCs w:val="1"/>
          <w:i w:val="1"/>
          <w:iCs w:val="1"/>
          <w:color w:val="auto"/>
        </w:rPr>
      </w:pPr>
    </w:p>
    <w:p>
      <w:pPr>
        <w:jc w:val="both"/>
        <w:ind w:left="1320" w:right="459" w:hanging="425"/>
        <w:spacing w:after="0" w:line="264" w:lineRule="auto"/>
        <w:tabs>
          <w:tab w:leader="none" w:pos="1558"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Roll-to-Roll (R2R)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R2R printing, rolls of fabric pass in-line through wide-format inkjet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printers that are 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-1024255</wp:posOffset>
            </wp:positionV>
            <wp:extent cx="3439160" cy="506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39160" cy="506095"/>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73025</wp:posOffset>
            </wp:positionV>
            <wp:extent cx="4150995" cy="506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509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impacting these businesses, we believe that the global printed textile industry offers a significant and rapidly growing market for digital printing solutions.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There are a number of trends within the global printed textile industry that we believe are driving greater demand for our solutions. Consumers are continuing to seek to differentiate themselves by wearing customized and personalized garments with colorful and intricate images and designs. Consumers are also increasingly purchasing retail products online, with apparel representing the largest portion of this market.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As consumers increasingly shift to online retail channels, there is an increased need for brand owners and contract printers to improve efficiency, as consumers demand more varied product offerings and faster fulfillment of orders.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smaller quantities of customized products in a time efficient, cost-effective and environmentally friendly manner, effectively allowing them to transition from customary methods of supply and demand to demand and supply.</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32 to 250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as well as value added services aimed at optimizing the use of our systems.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It offers the first single-step, stand-alone R2R digital textile printing solution available on the market. We primarily market the Allegro to web-based businesses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jc w:val="both"/>
        <w:ind w:left="460" w:right="459" w:firstLine="432"/>
        <w:spacing w:after="0" w:line="255" w:lineRule="auto"/>
        <w:rPr>
          <w:sz w:val="20"/>
          <w:szCs w:val="20"/>
          <w:color w:val="auto"/>
        </w:rPr>
      </w:pPr>
      <w:r>
        <w:rPr>
          <w:rFonts w:ascii="Arial" w:cs="Arial" w:eastAsia="Arial" w:hAnsi="Arial"/>
          <w:sz w:val="18"/>
          <w:szCs w:val="18"/>
          <w:color w:val="auto"/>
        </w:rPr>
        <w:t>We were founded in 2002 in Israel, shipped our first system in 2005 and, as of September 30, 2016, had over 1,000 customers globally. As of December 31, 2016, we had 390 employees located across four regions: Israel, the United States, Europe and the Asia Pacific region. In the nine months ended September 30, 2016, we generated revenues of $76.7 million, representing an increase of 25.9% over the prior fiscal year. In the nine months ended September 30, 2016, we generated 69.4% of our revenues from the Americas, 20.5% from EMEA and 10.1% from the Asia Pacific region.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are our key competitive strengths:</w:t>
      </w:r>
    </w:p>
    <w:p>
      <w:pPr>
        <w:spacing w:after="0" w:line="154" w:lineRule="exact"/>
        <w:rPr>
          <w:sz w:val="20"/>
          <w:szCs w:val="20"/>
          <w:color w:val="auto"/>
        </w:rPr>
      </w:pPr>
    </w:p>
    <w:p>
      <w:pPr>
        <w:jc w:val="both"/>
        <w:ind w:left="1320" w:right="459" w:hanging="425"/>
        <w:spacing w:after="0" w:line="268" w:lineRule="auto"/>
        <w:tabs>
          <w:tab w:leader="none" w:pos="1518"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Leading player in fast-growing digital DTG market</w:t>
      </w:r>
      <w:r>
        <w:rPr>
          <w:rFonts w:ascii="Arial" w:cs="Arial" w:eastAsia="Arial" w:hAnsi="Arial"/>
          <w:sz w:val="17"/>
          <w:szCs w:val="17"/>
          <w:color w:val="auto"/>
        </w:rPr>
        <w:t>. We are a leading player in the fast-growing digital DTG market based on our sales and have over 1,000 customers globally. We estimate that global revenue from digital textile printing equipment and ink will grow at a 15.7% CAGR between 2016 and 2021 based on the estimate of such revenue for 2016 and the projection for 2021, in each case, contained in the Pira report. In 2014, we grew our revenues 34.4% compared to 2013 and, in 2015, we grew our revenues 30.2% compared to 2014. We believe that high throughput DTG applications in the textile printing market are positioned to grow at a rate greater than the 15.7% overall industry growth rate projected between 2016 and 2021. We have outperformed the industry growth rate over the past several years, growing our revenue at a 26.7% CAGR from the 12 months ended June 30, 2014 to the 12 months ended June 30, 2016, versus an industry CAGR of 15.6% for the same period, as estimated in the Pira report. The Pira report estimates that the DTG market has an addressable opportunity of six to 10 billion garments a year. According to a prior Smithers Pira report published in 2014, over 300,000 sites globally print primarily t-shirts and other apparel.</w:t>
      </w:r>
    </w:p>
    <w:p>
      <w:pPr>
        <w:spacing w:after="0" w:line="117" w:lineRule="exact"/>
        <w:rPr>
          <w:rFonts w:ascii="Arial" w:cs="Arial" w:eastAsia="Arial" w:hAnsi="Arial"/>
          <w:sz w:val="17"/>
          <w:szCs w:val="17"/>
          <w:b w:val="1"/>
          <w:bCs w:val="1"/>
          <w:color w:val="auto"/>
        </w:rPr>
      </w:pPr>
    </w:p>
    <w:p>
      <w:pPr>
        <w:jc w:val="both"/>
        <w:ind w:left="1320" w:right="459" w:hanging="425"/>
        <w:spacing w:after="0" w:line="287" w:lineRule="auto"/>
        <w:tabs>
          <w:tab w:leader="none" w:pos="165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Well positioned to disrupt the R2R market with our unique single-step manufacturing solution</w:t>
      </w:r>
      <w:r>
        <w:rPr>
          <w:rFonts w:ascii="Arial" w:cs="Arial" w:eastAsia="Arial" w:hAnsi="Arial"/>
          <w:sz w:val="16"/>
          <w:szCs w:val="16"/>
          <w:color w:val="auto"/>
        </w:rPr>
        <w:t>. We believe we are well positioned to capitalize on the growing trend toward customized</w:t>
      </w:r>
      <w:r>
        <w:rPr>
          <w:rFonts w:ascii="Arial" w:cs="Arial" w:eastAsia="Arial" w:hAnsi="Arial"/>
          <w:sz w:val="16"/>
          <w:szCs w:val="16"/>
          <w:b w:val="1"/>
          <w:bCs w:val="1"/>
          <w:color w:val="auto"/>
        </w:rPr>
        <w:t xml:space="preserve"> </w:t>
      </w:r>
      <w:r>
        <w:rPr>
          <w:rFonts w:ascii="Arial" w:cs="Arial" w:eastAsia="Arial" w:hAnsi="Arial"/>
          <w:sz w:val="16"/>
          <w:szCs w:val="16"/>
          <w:color w:val="auto"/>
        </w:rPr>
        <w:t>home décor with our unique R2R solution. Our Allegro system combined with our proprietary process was designed to offer a single-step manufacturing solution which is especially suited for businesses which don’t have a vertically integrated textile mill. Unlike other digital textile printers, the Allegro does not require multiple pre-processing and post-processing steps which are customarily used in vertically integrated textile mills and which utilize high levels of energy and space and have a negative environmental impact. Given its architecture, it is perfectly suited for short and micro runs. Allegro is compact in size and requires a single person to operate and fits very well in an urban and non-industrial setting. Allegro is unique in its ability to print on multiple fabric types without the need for different inks and consumables, while generally other systems and technologies for R2R digital printing require dedication of discrete printers to specific fabric types.</w:t>
      </w:r>
    </w:p>
    <w:p>
      <w:pPr>
        <w:spacing w:after="0" w:line="87" w:lineRule="exact"/>
        <w:rPr>
          <w:rFonts w:ascii="Arial" w:cs="Arial" w:eastAsia="Arial" w:hAnsi="Arial"/>
          <w:sz w:val="16"/>
          <w:szCs w:val="16"/>
          <w:b w:val="1"/>
          <w:bCs w:val="1"/>
          <w:color w:val="auto"/>
        </w:rPr>
      </w:pPr>
    </w:p>
    <w:p>
      <w:pPr>
        <w:jc w:val="both"/>
        <w:ind w:left="1320" w:right="459" w:hanging="425"/>
        <w:spacing w:after="0" w:line="270" w:lineRule="auto"/>
        <w:tabs>
          <w:tab w:leader="none" w:pos="1369"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Disruptive technology that enables our customers to adopt new or improve existing business models</w:t>
      </w:r>
      <w:r>
        <w:rPr>
          <w:rFonts w:ascii="Arial" w:cs="Arial" w:eastAsia="Arial" w:hAnsi="Arial"/>
          <w:sz w:val="17"/>
          <w:szCs w:val="17"/>
          <w:color w:val="auto"/>
        </w:rPr>
        <w:t>. Our digital printing solutions allow our customers to develop new or improve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models by enabling them to produce short to medium runs of high-quality customized garments efficiently. This also facilitates “web to print” business models that manufacture on a “produce to order” basis and allows brand owners to produce garments in house. With a constantly growing worldwide customer base of more than 1,000 customers, we are witnessing the creation of a global fulfillment network of printing specialists which are leveraged by large numbers of websites that offer customizable garment printing services. As demand from these customers continues to grow so does utilization of our systems which in turn consume more ink and once used to their full capacity require purchasing of more systems.</w:t>
      </w:r>
    </w:p>
    <w:p>
      <w:pPr>
        <w:spacing w:after="0" w:line="110" w:lineRule="exact"/>
        <w:rPr>
          <w:rFonts w:ascii="Arial" w:cs="Arial" w:eastAsia="Arial" w:hAnsi="Arial"/>
          <w:sz w:val="17"/>
          <w:szCs w:val="17"/>
          <w:b w:val="1"/>
          <w:bCs w:val="1"/>
          <w:color w:val="auto"/>
        </w:rPr>
      </w:pPr>
    </w:p>
    <w:p>
      <w:pPr>
        <w:jc w:val="both"/>
        <w:ind w:left="1320" w:right="459" w:hanging="425"/>
        <w:spacing w:after="0" w:line="270" w:lineRule="auto"/>
        <w:tabs>
          <w:tab w:leader="none" w:pos="1356"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Attractive business model</w:t>
      </w:r>
      <w:r>
        <w:rPr>
          <w:rFonts w:ascii="Arial" w:cs="Arial" w:eastAsia="Arial" w:hAnsi="Arial"/>
          <w:sz w:val="17"/>
          <w:szCs w:val="17"/>
          <w:color w:val="auto"/>
        </w:rPr>
        <w:t>. We currently offer a broad portfolio of differentiated digital printing</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for the digital DTG market. Our 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 added services to our customers. Our customer relationships are further strengthened by a trend towards ownership of multiple systems, as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jc w:val="both"/>
        <w:ind w:left="1320" w:right="459"/>
        <w:spacing w:after="0" w:line="287" w:lineRule="auto"/>
        <w:rPr>
          <w:sz w:val="20"/>
          <w:szCs w:val="20"/>
          <w:color w:val="auto"/>
        </w:rPr>
      </w:pPr>
      <w:r>
        <w:rPr>
          <w:rFonts w:ascii="Arial" w:cs="Arial" w:eastAsia="Arial" w:hAnsi="Arial"/>
          <w:sz w:val="16"/>
          <w:szCs w:val="16"/>
          <w:color w:val="auto"/>
        </w:rPr>
        <w:t>number of customers with at least two systems has grown from 155 as of December 31, 2014, to 219 as of December 31, 2016 and the number of customers with at least 10 systems has grown from nine as of December 31, 2014, to 15 as of December 31, 2016. We anticipate revenue from services to increase over time as we reach upgrade cycles across our growing installed base. Additionally, sales of ink and other consumables are generally higher in high throughput systems such as the Vulcan, Avalanche and Allegro systems. Large accounts typically run at high utilization rates and can consume up to five times as much ink per year compared to other accounts.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88" w:lineRule="exact"/>
        <w:rPr>
          <w:sz w:val="20"/>
          <w:szCs w:val="20"/>
          <w:color w:val="auto"/>
        </w:rPr>
      </w:pPr>
    </w:p>
    <w:p>
      <w:pPr>
        <w:jc w:val="both"/>
        <w:ind w:left="1320" w:right="459" w:hanging="425"/>
        <w:spacing w:after="0" w:line="254" w:lineRule="auto"/>
        <w:tabs>
          <w:tab w:leader="none" w:pos="131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Robust intellectual property portfolio driven by an innovation-based culture</w:t>
      </w:r>
      <w:r>
        <w:rPr>
          <w:rFonts w:ascii="Arial" w:cs="Arial" w:eastAsia="Arial" w:hAnsi="Arial"/>
          <w:sz w:val="18"/>
          <w:szCs w:val="18"/>
          <w:color w:val="auto"/>
        </w:rPr>
        <w:t>. Our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portfolio reflects over a decade of significant investments in digital textile printing, which we believe creates significant barriers to entry. We have developed a strong base of technology know-how, backed by our portfolio of intellectual property, which includes 19 issued patents and 22 pending patent applications that cover wet-on-wet printing methodology, ink formulations, printing processes and related methods and systems. Our team of over 110 researchers and developers, including chemists, electrical engineers, system engineers and mechanical engineers, ensures that our systems remain technologically advanced, and are well engineered, user-friendly and highly reliable.</w:t>
      </w:r>
    </w:p>
    <w:p>
      <w:pPr>
        <w:spacing w:after="0" w:line="121" w:lineRule="exact"/>
        <w:rPr>
          <w:rFonts w:ascii="Arial" w:cs="Arial" w:eastAsia="Arial" w:hAnsi="Arial"/>
          <w:sz w:val="18"/>
          <w:szCs w:val="18"/>
          <w:b w:val="1"/>
          <w:bCs w:val="1"/>
          <w:color w:val="auto"/>
        </w:rPr>
      </w:pPr>
    </w:p>
    <w:p>
      <w:pPr>
        <w:jc w:val="both"/>
        <w:ind w:left="1320" w:right="459" w:hanging="425"/>
        <w:spacing w:after="0" w:line="271" w:lineRule="auto"/>
        <w:tabs>
          <w:tab w:leader="none" w:pos="1356"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Extensive product portfolio and strong new product pipeline</w:t>
      </w:r>
      <w:r>
        <w:rPr>
          <w:rFonts w:ascii="Arial" w:cs="Arial" w:eastAsia="Arial" w:hAnsi="Arial"/>
          <w:sz w:val="17"/>
          <w:szCs w:val="17"/>
          <w:color w:val="auto"/>
        </w:rPr>
        <w:t>. With throughputs ranging from</w:t>
      </w:r>
      <w:r>
        <w:rPr>
          <w:rFonts w:ascii="Arial" w:cs="Arial" w:eastAsia="Arial" w:hAnsi="Arial"/>
          <w:sz w:val="17"/>
          <w:szCs w:val="17"/>
          <w:b w:val="1"/>
          <w:bCs w:val="1"/>
          <w:color w:val="auto"/>
        </w:rPr>
        <w:t xml:space="preserve"> </w:t>
      </w:r>
      <w:r>
        <w:rPr>
          <w:rFonts w:ascii="Arial" w:cs="Arial" w:eastAsia="Arial" w:hAnsi="Arial"/>
          <w:sz w:val="17"/>
          <w:szCs w:val="17"/>
          <w:color w:val="auto"/>
        </w:rPr>
        <w:t>32 to 250 garments per hour, our DTG systems are suited for smaller commercial operators with limited budgets, as well as mass producers with mature operations and complex needs. We have commercialized two new solutions in the market: the Allegro, a one-step, integrated R2R printing, drying and curing system, and the Vulcan, a cost-effective digital substitution for carousel screen printing. Our future roadmap remains focused on the continued development of proprietary processes, continuously expanding the breadth of applications upon which we can print while pushing the envelope of cost efficient manufacturing further as a means to expand our servable addressable markets.</w:t>
      </w:r>
    </w:p>
    <w:p>
      <w:pPr>
        <w:spacing w:after="0" w:line="106" w:lineRule="exact"/>
        <w:rPr>
          <w:rFonts w:ascii="Arial" w:cs="Arial" w:eastAsia="Arial" w:hAnsi="Arial"/>
          <w:sz w:val="17"/>
          <w:szCs w:val="17"/>
          <w:b w:val="1"/>
          <w:bCs w:val="1"/>
          <w:color w:val="auto"/>
        </w:rPr>
      </w:pPr>
    </w:p>
    <w:p>
      <w:pPr>
        <w:jc w:val="both"/>
        <w:ind w:left="1320" w:right="459" w:hanging="425"/>
        <w:spacing w:after="0" w:line="269" w:lineRule="auto"/>
        <w:tabs>
          <w:tab w:leader="none" w:pos="1437"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Environmentally friendly printing processes</w:t>
      </w:r>
      <w:r>
        <w:rPr>
          <w:rFonts w:ascii="Arial" w:cs="Arial" w:eastAsia="Arial" w:hAnsi="Arial"/>
          <w:sz w:val="17"/>
          <w:szCs w:val="17"/>
          <w:color w:val="auto"/>
        </w:rPr>
        <w:t>. A significant portion of global industrial water</w:t>
      </w:r>
      <w:r>
        <w:rPr>
          <w:rFonts w:ascii="Arial" w:cs="Arial" w:eastAsia="Arial" w:hAnsi="Arial"/>
          <w:sz w:val="17"/>
          <w:szCs w:val="17"/>
          <w:b w:val="1"/>
          <w:bCs w:val="1"/>
          <w:color w:val="auto"/>
        </w:rPr>
        <w:t xml:space="preserve"> </w:t>
      </w:r>
      <w:r>
        <w:rPr>
          <w:rFonts w:ascii="Arial" w:cs="Arial" w:eastAsia="Arial" w:hAnsi="Arial"/>
          <w:sz w:val="17"/>
          <w:szCs w:val="17"/>
          <w:color w:val="auto"/>
        </w:rPr>
        <w:t>pollution comes 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95" w:lineRule="exact"/>
        <w:rPr>
          <w:rFonts w:ascii="Arial" w:cs="Arial" w:eastAsia="Arial" w:hAnsi="Arial"/>
          <w:sz w:val="17"/>
          <w:szCs w:val="17"/>
          <w:b w:val="1"/>
          <w:bCs w:val="1"/>
          <w:color w:val="auto"/>
        </w:rPr>
      </w:pPr>
    </w:p>
    <w:p>
      <w:pPr>
        <w:jc w:val="both"/>
        <w:ind w:left="1320" w:right="459" w:hanging="425"/>
        <w:spacing w:after="0" w:line="289" w:lineRule="auto"/>
        <w:tabs>
          <w:tab w:leader="none" w:pos="130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Strong management team</w:t>
      </w:r>
      <w:r>
        <w:rPr>
          <w:rFonts w:ascii="Arial" w:cs="Arial" w:eastAsia="Arial" w:hAnsi="Arial"/>
          <w:sz w:val="16"/>
          <w:szCs w:val="16"/>
          <w:color w:val="auto"/>
        </w:rPr>
        <w:t>. Our Chief Executive Officer, Gabi Seligsohn, and our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Guy Avidan, bring extensive experience of managing publicly traded companies. Our management team’s industry expertise, history with our company and extensive experience in running global publicly traded companies will enable us to execute our growth strategy. We have recently strengthened our management infrastructure with key hires who are experienced in the management of people, large scale business, innovation and product development in larger organizations including Intel, HP, KlA Tencor and Stratasys. Over the past three years, we have also invested heavily in human resources to support our growth. Since 2013, our workforce has more than doubled from 190 to 390 as of December 31, 2016. Additionally, more than 150 of our employees are in the field, enabling us to provide more localized service for our customers.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140" w:lineRule="exact"/>
        <w:rPr>
          <w:sz w:val="20"/>
          <w:szCs w:val="20"/>
          <w:color w:val="auto"/>
        </w:rPr>
      </w:pPr>
    </w:p>
    <w:p>
      <w:pPr>
        <w:jc w:val="both"/>
        <w:ind w:left="1320" w:right="459" w:hanging="425"/>
        <w:spacing w:after="0" w:line="270" w:lineRule="auto"/>
        <w:tabs>
          <w:tab w:leader="none" w:pos="1302"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Increase sales to existing customers</w:t>
      </w:r>
      <w:r>
        <w:rPr>
          <w:rFonts w:ascii="Arial" w:cs="Arial" w:eastAsia="Arial" w:hAnsi="Arial"/>
          <w:sz w:val="17"/>
          <w:szCs w:val="17"/>
          <w:color w:val="auto"/>
        </w:rPr>
        <w:t>. We are focused on increasing sales to existing customers by</w:t>
      </w:r>
      <w:r>
        <w:rPr>
          <w:rFonts w:ascii="Arial" w:cs="Arial" w:eastAsia="Arial" w:hAnsi="Arial"/>
          <w:sz w:val="17"/>
          <w:szCs w:val="17"/>
          <w:b w:val="1"/>
          <w:bCs w:val="1"/>
          <w:color w:val="auto"/>
        </w:rPr>
        <w:t xml:space="preserve"> </w:t>
      </w:r>
      <w:r>
        <w:rPr>
          <w:rFonts w:ascii="Arial" w:cs="Arial" w:eastAsia="Arial" w:hAnsi="Arial"/>
          <w:sz w:val="17"/>
          <w:szCs w:val="17"/>
          <w:color w:val="auto"/>
        </w:rPr>
        <w:t>introducing new digital printing applications, developing new features and functionality of our systems, increasing sales of software and services, selling systems from our additional product families and enabling our customers to increase utilization of systems by improving productivity and reliability. We also intend to actively refer business to our customers by connecting them with online businesses that seek fulfillment partners, which will enhance customer intimacy. Our direct sales and marketing teams and application development professionals play an active role in customer education and this referral process. Our objective is to help customers operate their businesses more efficiently and to increase utilization of their systems, thereby requiring more ink and other consumables purchases as well as potential investment in new systems as our customers require additional capacity.</w:t>
      </w:r>
    </w:p>
    <w:p>
      <w:pPr>
        <w:spacing w:after="0" w:line="106" w:lineRule="exact"/>
        <w:rPr>
          <w:rFonts w:ascii="Arial" w:cs="Arial" w:eastAsia="Arial" w:hAnsi="Arial"/>
          <w:sz w:val="17"/>
          <w:szCs w:val="17"/>
          <w:b w:val="1"/>
          <w:bCs w:val="1"/>
          <w:color w:val="auto"/>
        </w:rPr>
      </w:pPr>
    </w:p>
    <w:p>
      <w:pPr>
        <w:jc w:val="both"/>
        <w:ind w:left="1320" w:right="459" w:hanging="425"/>
        <w:spacing w:after="0" w:line="289" w:lineRule="auto"/>
        <w:tabs>
          <w:tab w:leader="none" w:pos="1423"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Acquire new high volume customers</w:t>
      </w:r>
      <w:r>
        <w:rPr>
          <w:rFonts w:ascii="Arial" w:cs="Arial" w:eastAsia="Arial" w:hAnsi="Arial"/>
          <w:sz w:val="16"/>
          <w:szCs w:val="16"/>
          <w:color w:val="auto"/>
        </w:rPr>
        <w:t>. Our technology is ideally positioned to enable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models focused on mass customization and personalization. We plan to continue growing our customer base by targeting customers with growth business models and demand for our high throughput solutions, including multiple systems or fleets of our systems. An example of this strategy is the Master Purchase Agreement, signed on January 10, 2017, with an affiliate of Amazon.com, Inc. Under the Purchase Agreement, Amazon may purchase, and we have committed to supply, multiple Avalanche 1000 digital DTG systems and NeoPigment ink and other consumables. We have also agreed to provide maintenance services and extended warranties to Amazon. Prior to the Purchase Agreement, we had more than 20 systems in production with Amazon and expect to growth this relationship meaningfully in the future.</w:t>
      </w:r>
    </w:p>
    <w:p>
      <w:pPr>
        <w:spacing w:after="0" w:line="93" w:lineRule="exact"/>
        <w:rPr>
          <w:rFonts w:ascii="Arial" w:cs="Arial" w:eastAsia="Arial" w:hAnsi="Arial"/>
          <w:sz w:val="16"/>
          <w:szCs w:val="16"/>
          <w:b w:val="1"/>
          <w:bCs w:val="1"/>
          <w:color w:val="auto"/>
        </w:rPr>
      </w:pPr>
    </w:p>
    <w:p>
      <w:pPr>
        <w:jc w:val="both"/>
        <w:ind w:left="1320" w:right="459" w:hanging="425"/>
        <w:spacing w:after="0" w:line="268" w:lineRule="auto"/>
        <w:tabs>
          <w:tab w:leader="none" w:pos="1504"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Capitalize on growth in our targeted markets</w:t>
      </w:r>
      <w:r>
        <w:rPr>
          <w:rFonts w:ascii="Arial" w:cs="Arial" w:eastAsia="Arial" w:hAnsi="Arial"/>
          <w:sz w:val="17"/>
          <w:szCs w:val="17"/>
          <w:color w:val="auto"/>
        </w:rPr>
        <w:t>. Evolving consumer behavior is driving the</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digital printing as well as the shift to online retail. Since the online shopping experience relies heavily on the display of large varieties of designs as well as short cycle times from order to delivery, webstores are faced with a need to carefully manage inventories, which requires the new paradigm of demand and supply. Our solutions enable our customers to print in smaller, customized quantities in a time efficient, cost-effective and environmentally-friendly manner, effectively leading them to move from customary methods of supply and demand to this new paradigm. Digital textile printing allows retailers to establish new fulfillment centers (or re-task existing ones) in different parts of the world to support consumers’ demand for variety, while shortening lead times from order to delivery and protecting against excess or obsolete inventory risks. With over 1,000 customers globally, many of which operate as fulfillment centers, we believe we are well positioned to play an enabling role for this trend. Our high throughput systems and proprietary inks ensure replicable quality and maximum uptime, which in turn, allow our customers to address the demands of online retail. We will continue tailoring our solutions to meet the needs of our customers in this evolving consumer environment through the ongoing development of our technology and the continued investment in the development of new ink formulas for our systems in order to expand the range of fabrics on which we can print and further improve the quality of our high resolution images and designs.</w:t>
      </w:r>
    </w:p>
    <w:p>
      <w:pPr>
        <w:spacing w:after="0" w:line="95" w:lineRule="exact"/>
        <w:rPr>
          <w:rFonts w:ascii="Arial" w:cs="Arial" w:eastAsia="Arial" w:hAnsi="Arial"/>
          <w:sz w:val="17"/>
          <w:szCs w:val="17"/>
          <w:b w:val="1"/>
          <w:bCs w:val="1"/>
          <w:color w:val="auto"/>
        </w:rPr>
      </w:pPr>
    </w:p>
    <w:p>
      <w:pPr>
        <w:ind w:left="1320" w:right="459" w:hanging="425"/>
        <w:spacing w:after="0" w:line="268" w:lineRule="auto"/>
        <w:tabs>
          <w:tab w:leader="none" w:pos="1356"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Extend our serviceable addressable market (SAM) by continuing to enhance our solutions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will continue to expand our SAM as we introduce new features and functionality that enhance the capabilities of our systems and inks, and enable our systems to print on new types of media. We are also continuing to drive adoption of digital DTG printing solutions by customers who primarily use screen printing carousels, which is how the majority of DTG printing jobs are currently performed. While we have started to penetrate this market by offering standalone DTG solutions, such as our Avalanche and Storm II systems, we plan to deepen our penetration and further transition users of these analog systems to digital printing technologies through our Vulcan system. Given Vulcan’s ease of setup, lower cost per print, and high throughput levels, we are seeking to disrupt the core screen printed textile industry and target replacement of a significant installed base of automated carousels We have also begun to expand our SAM by selectively targeting the digital R2R market through our Allegro system, which offers customers the ability to produce limited quantity orders with a high degree of variety and uniquely supports multiple fabric types in a single-step R2R printing process. We believe that our technology portfolio and the industry expertise of our employees and partners will allow us to continue to deliver a broad base of textile solutions to our customers that meet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jc w:val="both"/>
        <w:ind w:left="1320" w:right="459"/>
        <w:spacing w:after="0" w:line="279" w:lineRule="auto"/>
        <w:rPr>
          <w:sz w:val="20"/>
          <w:szCs w:val="20"/>
          <w:color w:val="auto"/>
        </w:rPr>
      </w:pPr>
      <w:r>
        <w:rPr>
          <w:rFonts w:ascii="Arial" w:cs="Arial" w:eastAsia="Arial" w:hAnsi="Arial"/>
          <w:sz w:val="17"/>
          <w:szCs w:val="17"/>
          <w:color w:val="auto"/>
        </w:rPr>
        <w:t>the challenges of printing on textile substrates. Continuing to respond to these challenges will enable us to further expand our SAM as we produce higher quality prints on a wider set of fabrics. This will enable us to expand into areas such as the $97 billion “athleisure” market, where clothing designed for workouts and other athletic activities is worn in other settings.</w:t>
      </w:r>
    </w:p>
    <w:p>
      <w:pPr>
        <w:spacing w:after="0" w:line="86" w:lineRule="exact"/>
        <w:rPr>
          <w:sz w:val="20"/>
          <w:szCs w:val="20"/>
          <w:color w:val="auto"/>
        </w:rPr>
      </w:pPr>
    </w:p>
    <w:p>
      <w:pPr>
        <w:jc w:val="both"/>
        <w:ind w:left="1320" w:right="459" w:hanging="425"/>
        <w:spacing w:after="0" w:line="286" w:lineRule="auto"/>
        <w:tabs>
          <w:tab w:leader="none" w:pos="145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Extend our leadership position through ongoing investments in research and development, acquisitions and strategic partnerships</w:t>
      </w:r>
      <w:r>
        <w:rPr>
          <w:rFonts w:ascii="Arial" w:cs="Arial" w:eastAsia="Arial" w:hAnsi="Arial"/>
          <w:sz w:val="16"/>
          <w:szCs w:val="16"/>
          <w:color w:val="auto"/>
        </w:rPr>
        <w:t>. We seek to continue to differentiate ourselves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extend our leadership position by investing in research and development, acquisitions and strategic partnerships.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From time to time, we may also supplement our internal efforts with complementary inorganic initiatives such as acquisitions and strategic partnerships in order to enhance our positioning. For example, our acquisition of Polymeric Imaging in 2015 expanded our ink technology capabilities, and our acquisition of the digital DTG printing assets of SPSI in 2016 enabled us to strengthen our sales channel and gain access to a large screen printing customer base that we can now target for sales of digital solutions. Each of these acquisitions enhanced the positioning of our company. Future acquisitions may also allow us to strengthen our existing portfolio of solutions or add new capabilities. In an effort to better inform current and prospective customers about the capabilities of our solutions, we have also made investments in our direct sales and marketing teams and application development professionals.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Systems</w:t>
      </w:r>
    </w:p>
    <w:p>
      <w:pPr>
        <w:spacing w:after="0" w:line="16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industrial segment of the DTG market: entry level and high throughput. As our business and marketplace has evolved, we have shifted the mix of our system sales primarily to high throughput systems.</w:t>
      </w:r>
    </w:p>
    <w:p>
      <w:pPr>
        <w:spacing w:after="0" w:line="91" w:lineRule="exact"/>
        <w:rPr>
          <w:sz w:val="20"/>
          <w:szCs w:val="20"/>
          <w:color w:val="auto"/>
        </w:rPr>
      </w:pPr>
    </w:p>
    <w:p>
      <w:pPr>
        <w:jc w:val="both"/>
        <w:ind w:left="1320" w:right="459" w:hanging="425"/>
        <w:spacing w:after="0" w:line="297" w:lineRule="auto"/>
        <w:tabs>
          <w:tab w:leader="none" w:pos="1383"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Entry Level</w:t>
      </w:r>
      <w:r>
        <w:rPr>
          <w:rFonts w:ascii="Arial" w:cs="Arial" w:eastAsia="Arial" w:hAnsi="Arial"/>
          <w:sz w:val="16"/>
          <w:szCs w:val="16"/>
          <w:color w:val="auto"/>
        </w:rPr>
        <w:t>. We currently have one entry level system, our Breeze system. This system reduces</w:t>
      </w:r>
      <w:r>
        <w:rPr>
          <w:rFonts w:ascii="Arial" w:cs="Arial" w:eastAsia="Arial" w:hAnsi="Arial"/>
          <w:sz w:val="16"/>
          <w:szCs w:val="16"/>
          <w:i w:val="1"/>
          <w:iCs w:val="1"/>
          <w:color w:val="auto"/>
        </w:rPr>
        <w:t xml:space="preserve"> </w:t>
      </w:r>
      <w:r>
        <w:rPr>
          <w:rFonts w:ascii="Arial" w:cs="Arial" w:eastAsia="Arial" w:hAnsi="Arial"/>
          <w:sz w:val="16"/>
          <w:szCs w:val="16"/>
          <w:color w:val="auto"/>
        </w:rPr>
        <w:t>the need for floor space for manufacturing equipment by eliminating certain process steps and by consolidating multiple process steps into a single printing system. The Breeze allows businesses to adopt digital technology with a limited upfront investment and use the same technology as our high throughput systems but with smaller garment printing areas and at lower throughput levels.</w:t>
      </w:r>
    </w:p>
    <w:p>
      <w:pPr>
        <w:spacing w:after="0" w:line="77" w:lineRule="exact"/>
        <w:rPr>
          <w:rFonts w:ascii="Arial" w:cs="Arial" w:eastAsia="Arial" w:hAnsi="Arial"/>
          <w:sz w:val="16"/>
          <w:szCs w:val="16"/>
          <w:i w:val="1"/>
          <w:iCs w:val="1"/>
          <w:color w:val="auto"/>
        </w:rPr>
      </w:pPr>
    </w:p>
    <w:p>
      <w:pPr>
        <w:jc w:val="both"/>
        <w:ind w:left="1320" w:right="459" w:hanging="425"/>
        <w:spacing w:after="0" w:line="270" w:lineRule="auto"/>
        <w:tabs>
          <w:tab w:leader="none" w:pos="1572"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High Throughput. </w:t>
      </w:r>
      <w:r>
        <w:rPr>
          <w:rFonts w:ascii="Arial" w:cs="Arial" w:eastAsia="Arial" w:hAnsi="Arial"/>
          <w:sz w:val="17"/>
          <w:szCs w:val="17"/>
          <w:color w:val="auto"/>
        </w:rPr>
        <w:t>We offer a wide range of high throughput systems. We market a hybrid</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the Paradigm II, which connects to existing screen printing carousels for customers who want to combine short runs of multicolor images into their ongoing screen printing operations. Our mid-level platform, the Storm, which employs one axis of print heads and two pallets, consists of four models (Storm 2, Storm Hexa, Storm Duo and Storm 1000). Our next level of high throughput systems is based on the Avalanche platform which employs two print head axis with two pallets and also comes in four different models (Avalanche, Avalanche DC, Avalanche 1000 and Avalanche Hexa). During 2016, we successfully commercially launched our new high throughput platform, the Vulcan which is geared towards addressing the needs of mass production at a significantly lower cost per print relative to our other systems.</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systems vary in throughput and productivity, applications of use, breadth of color gamut and cost per print. The underlying strategy behind our system lineup is to accommodate a variety of customer needs with a variety of capabilities and at a variety of price points. 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Vulcan system is designed to enable mass production of customized garments with high and consistent printing quality. It is designed to run at throughputs higher than any of our existing systems. The system’s architecture takes a different ergonomic approach to the sequence of loading and unloading of garments than that of our existing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jc w:val="both"/>
        <w:ind w:left="460" w:right="459"/>
        <w:spacing w:after="0" w:line="270" w:lineRule="auto"/>
        <w:rPr>
          <w:sz w:val="20"/>
          <w:szCs w:val="20"/>
          <w:color w:val="auto"/>
        </w:rPr>
      </w:pPr>
      <w:r>
        <w:rPr>
          <w:rFonts w:ascii="Arial" w:cs="Arial" w:eastAsia="Arial" w:hAnsi="Arial"/>
          <w:sz w:val="17"/>
          <w:szCs w:val="17"/>
          <w:color w:val="auto"/>
        </w:rPr>
        <w:t>systems, enabling higher throughputs. The system utilizes state of the art print head technology and specially designed inks which allow for significant reduction in cost per print due to an increase in color intensity which allows for use of less ink per printed area as well as a reduction in wasted ink as a result of a transition to recirculating print heads. We began beta testing of the Vulcan at customer sites in the first quarter of 2016 and began realizing revenue from Vulcan sales in the fourth quarter of 2016.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Allegro system was the first R2R printing system to allow for one-step R2R printing. It combines a printing system and a drying and curing module so that a full end to end manufacturing process is enabled. Unlike the Allegro, all other R2R printers require additional steps.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 By using our proprietary pigment based ink, Allegro is able to print on a variety of natural and synthetic fabrics providing customers with a significant level of flexibility. Other dye-based systems are specifically designed to either print on natural fabrics or on synthetics and these systems cannot be used with other types of fabric as the processes and consumables used vary considerably from one to the other.</w:t>
      </w:r>
    </w:p>
    <w:p>
      <w:pPr>
        <w:spacing w:after="0" w:line="11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systems range in price from $60,000 to over $800,000 and consume an average of $5,000 to $300,000 of ink and consumables annually per system.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DTG Systems</w:t>
      </w:r>
    </w:p>
    <w:p>
      <w:pPr>
        <w:spacing w:after="0" w:line="15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The following table summarizes key aspects of our DTG systems, all of which are compatible with a wide range of fabrics, including cotton, wool, polyester, lycra and denim and print at maximum resolutions ranging from 600 to 1,200 DPI. Our systems are currently unable to print at a level of quality acceptable for large scale manufacturing on dyed polyester or nylon. However, we are in advanced stages of developing the capability to print on dyed polyester, giving us the opportunity to penetrate the $97 billion athleisure market.</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Effective</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Throughput</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Dark/Light</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System</w:t>
            </w:r>
          </w:p>
        </w:tc>
        <w:tc>
          <w:tcPr>
            <w:tcW w:w="120" w:type="dxa"/>
            <w:vAlign w:val="bottom"/>
          </w:tcPr>
          <w:p>
            <w:pPr>
              <w:spacing w:after="0"/>
              <w:rPr>
                <w:sz w:val="19"/>
                <w:szCs w:val="19"/>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5"/>
              </w:rPr>
              <w:t>Target Customer</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9"/>
              </w:rPr>
              <w:t>Garments</w:t>
            </w:r>
            <w:r>
              <w:rPr>
                <w:rFonts w:ascii="Arial" w:cs="Arial" w:eastAsia="Arial" w:hAnsi="Arial"/>
                <w:sz w:val="21"/>
                <w:szCs w:val="21"/>
                <w:b w:val="1"/>
                <w:bCs w:val="1"/>
                <w:color w:val="auto"/>
                <w:w w:val="89"/>
                <w:vertAlign w:val="superscript"/>
              </w:rPr>
              <w:t>(1)</w:t>
            </w:r>
          </w:p>
        </w:tc>
        <w:tc>
          <w:tcPr>
            <w:tcW w:w="120" w:type="dxa"/>
            <w:vAlign w:val="bottom"/>
          </w:tcPr>
          <w:p>
            <w:pPr>
              <w:spacing w:after="0"/>
              <w:rPr>
                <w:sz w:val="19"/>
                <w:szCs w:val="19"/>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Colors</w:t>
            </w: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Max. Printing Area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Breeze</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Entry Level</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w w:val="84"/>
              </w:rPr>
              <w:t>32/25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CMYK + White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 x 18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Storm II</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120/65</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Storm 1000</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170/85</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Storm Hexa</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170/85</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7"/>
              </w:rPr>
              <w:t>CMYKRG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Avalanche</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150/100</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b w:val="1"/>
                <w:bCs w:val="1"/>
                <w:color w:val="auto"/>
              </w:rPr>
              <w:t>Avalanche DC Pro</w:t>
            </w:r>
          </w:p>
        </w:tc>
        <w:tc>
          <w:tcPr>
            <w:tcW w:w="14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150/100</w:t>
            </w:r>
          </w:p>
        </w:tc>
        <w:tc>
          <w:tcPr>
            <w:tcW w:w="15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CMYK + White +</w:t>
            </w:r>
          </w:p>
        </w:tc>
        <w:tc>
          <w:tcPr>
            <w:tcW w:w="15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Discharge ink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62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1560" w:type="dxa"/>
            <w:vAlign w:val="bottom"/>
            <w:gridSpan w:val="2"/>
          </w:tcPr>
          <w:p>
            <w:pPr>
              <w:spacing w:after="0"/>
              <w:rPr>
                <w:sz w:val="3"/>
                <w:szCs w:val="3"/>
                <w:color w:val="auto"/>
              </w:rPr>
            </w:pPr>
          </w:p>
        </w:tc>
        <w:tc>
          <w:tcPr>
            <w:tcW w:w="15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Avalanche 1000</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220/160</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Avalanche Hexa</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180/140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7"/>
              </w:rPr>
              <w:t>CMYKRG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Paradigm II</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120/120</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15.5 x 19.5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Vulcan</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250/250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7"/>
              </w:rPr>
              <w:t>CMYKRG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28 x 39 in</w:t>
            </w:r>
          </w:p>
        </w:tc>
        <w:tc>
          <w:tcPr>
            <w:tcW w:w="0" w:type="dxa"/>
            <w:vAlign w:val="bottom"/>
          </w:tcPr>
          <w:p>
            <w:pPr>
              <w:spacing w:after="0"/>
              <w:rPr>
                <w:sz w:val="1"/>
                <w:szCs w:val="1"/>
                <w:color w:val="auto"/>
              </w:rPr>
            </w:pPr>
          </w:p>
        </w:tc>
      </w:tr>
      <w:tr>
        <w:trPr>
          <w:trHeight w:val="219"/>
        </w:trPr>
        <w:tc>
          <w:tcPr>
            <w:tcW w:w="264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900" w:right="459" w:hanging="438"/>
        <w:spacing w:after="0" w:line="302" w:lineRule="auto"/>
        <w:tabs>
          <w:tab w:leader="none" w:pos="1018" w:val="left"/>
        </w:tabs>
        <w:numPr>
          <w:ilvl w:val="0"/>
          <w:numId w:val="42"/>
        </w:numPr>
        <w:rPr>
          <w:rFonts w:ascii="Arial" w:cs="Arial" w:eastAsia="Arial" w:hAnsi="Arial"/>
          <w:sz w:val="15"/>
          <w:szCs w:val="15"/>
          <w:color w:val="auto"/>
        </w:rPr>
      </w:pPr>
      <w:r>
        <w:rPr>
          <w:rFonts w:ascii="Arial" w:cs="Arial" w:eastAsia="Arial" w:hAnsi="Arial"/>
          <w:sz w:val="15"/>
          <w:szCs w:val="15"/>
          <w:color w:val="auto"/>
        </w:rPr>
        <w:t>Maximum output for sellable product for dark and light garments. Output for all systems, except the Vulcan, is measured in High Productivity print mode using A4 size prints per hour with pretreatment included. Output for the Vulcan system is measured in Standard print mode using 12 x 12 in size prints per hour with pretreatment included.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Ink and Other Consumables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optimal use exclusively in our systems. Our patented wet-on-wet printing methodology combines the use of pigments rather than dyes in conjunction with our proprietary binding agent, and allows us to print on a wide range of fabrics without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jc w:val="both"/>
        <w:ind w:left="460" w:right="459"/>
        <w:spacing w:after="0" w:line="257" w:lineRule="auto"/>
        <w:rPr>
          <w:sz w:val="20"/>
          <w:szCs w:val="20"/>
          <w:color w:val="auto"/>
        </w:rPr>
      </w:pPr>
      <w:r>
        <w:rPr>
          <w:rFonts w:ascii="Arial" w:cs="Arial" w:eastAsia="Arial" w:hAnsi="Arial"/>
          <w:sz w:val="18"/>
          <w:szCs w:val="18"/>
          <w:color w:val="auto"/>
        </w:rPr>
        <w:t>the need for a separate pre-treatment process or system reconfiguration, resulting in minimal setup times for each run and high throughput levels. Given the proprietary nature of our printing methodology, our ink and consumables attachment rate is near 100%. We also continuously invest in the development of new ink formulas for our systems in order to expand the range of fabrics on which we can print and further improve the quality of our high resolution images and designs.</w:t>
      </w:r>
    </w:p>
    <w:p>
      <w:pPr>
        <w:spacing w:after="0" w:line="10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Integrated Software</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All of our DTG systems arrive with our QuickP Production software embedded. The software manages the system operation and prepares image files for print. QuickP Production is a simple to use solution that allows users to control key operating parameters, such as ink dots per inch, or DPI, perform maintenance and calibration procedures and import image files and prepare them for print.</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Many of our customers also purchase our QuickP Designer standalone software. QuickP Designer is a software package that combines our own internally developed Ruster Image Processing, or RIP, software with other print job management capabilities and includes an advanced ink consumption estimation tool. A single QuickP Designer license can be used to support multiple Kornit systems.</w:t>
      </w:r>
    </w:p>
    <w:p>
      <w:pPr>
        <w:spacing w:after="0" w:line="90"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We also offer our QuickP Plus 2.0 software suite, which provides customers with a full workflow solution from design creation and acceptance of job orders through production and order management.</w:t>
      </w:r>
    </w:p>
    <w:p>
      <w:pPr>
        <w:spacing w:after="0" w:line="79"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Another solution that we are developing for use with our systems is Konnect, a cloud based service that gathers production data from our systems and presents it in a coherent and accessible way. With Konnect, customers can easily monitor their systems and identify different production trends, gaining important business insights relating to production costs, system utilization, system uptime and other metrics.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services consist of maintenance and support, and professional services. We are seeking to increase the number of customers that rely on us to provide services for their systems by expanding our service capabilities. As of December 31, 2016, we had service contracts in place with approximately 16% of our installed base.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During 2016 we began to introduce hardware and software upgrades to our existing systems. These upgrades are geared towards improving productivity, adding important features and functionality while improving user experience, extending application usage and improving system reliability. We plan to continue to develop upgrade packages over time as part of our commitment to protecting customers’ investment in our solutions.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 both in person and through advanced web based learning systems.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diverse global customer base consisted of more than 1,000 customers as of September 30, 2016.</w:t>
      </w:r>
    </w:p>
    <w:p>
      <w:pPr>
        <w:spacing w:after="0" w:line="18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Throughout our growing installed base, our customers are able to serve a variety of different business models, particularly the new business models that have developed in response to the evolution of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 scale web-to-print platforms have emerged. These platforms often leverage digital printing solutions to facilitate business for other content providers.</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ecosystem of web-to-print businesses which we currently serve includes:</w:t>
      </w:r>
    </w:p>
    <w:p>
      <w:pPr>
        <w:spacing w:after="0" w:line="144" w:lineRule="exact"/>
        <w:rPr>
          <w:sz w:val="20"/>
          <w:szCs w:val="20"/>
          <w:color w:val="auto"/>
        </w:rPr>
      </w:pPr>
    </w:p>
    <w:p>
      <w:pPr>
        <w:ind w:left="1320" w:right="459" w:hanging="425"/>
        <w:spacing w:after="0" w:line="277" w:lineRule="auto"/>
        <w:tabs>
          <w:tab w:leader="none" w:pos="1329"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websites and through other marketing means.</w:t>
      </w:r>
    </w:p>
    <w:p>
      <w:pPr>
        <w:spacing w:after="0" w:line="102" w:lineRule="exact"/>
        <w:rPr>
          <w:rFonts w:ascii="Arial" w:cs="Arial" w:eastAsia="Arial" w:hAnsi="Arial"/>
          <w:sz w:val="18"/>
          <w:szCs w:val="18"/>
          <w:i w:val="1"/>
          <w:iCs w:val="1"/>
          <w:color w:val="auto"/>
        </w:rPr>
      </w:pPr>
    </w:p>
    <w:p>
      <w:pPr>
        <w:ind w:left="1320" w:right="459" w:hanging="425"/>
        <w:spacing w:after="0" w:line="277" w:lineRule="auto"/>
        <w:tabs>
          <w:tab w:leader="none" w:pos="131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fulfillment providers, who are often also our customers.</w:t>
      </w:r>
    </w:p>
    <w:p>
      <w:pPr>
        <w:spacing w:after="0" w:line="102" w:lineRule="exact"/>
        <w:rPr>
          <w:rFonts w:ascii="Arial" w:cs="Arial" w:eastAsia="Arial" w:hAnsi="Arial"/>
          <w:sz w:val="18"/>
          <w:szCs w:val="18"/>
          <w:i w:val="1"/>
          <w:iCs w:val="1"/>
          <w:color w:val="auto"/>
        </w:rPr>
      </w:pPr>
    </w:p>
    <w:p>
      <w:pPr>
        <w:jc w:val="both"/>
        <w:ind w:left="1320" w:right="459" w:hanging="425"/>
        <w:spacing w:after="0" w:line="264" w:lineRule="auto"/>
        <w:tabs>
          <w:tab w:leader="none" w:pos="1302"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Third Party Fulfillment Centers. </w:t>
      </w:r>
      <w:r>
        <w:rPr>
          <w:rFonts w:ascii="Arial" w:cs="Arial" w:eastAsia="Arial" w:hAnsi="Arial"/>
          <w:sz w:val="18"/>
          <w:szCs w:val="18"/>
          <w:color w:val="auto"/>
        </w:rPr>
        <w:t>Companies serving as third party fulfillment for other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fulfillment providers include a number of our customers. Demand for these businesses is typically generated online through other web retailers.</w:t>
      </w:r>
    </w:p>
    <w:p>
      <w:pPr>
        <w:spacing w:after="0" w:line="10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Distribution</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go to market strategy consists of a hybrid model of indirect and direct sales. We generate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September 30, 2016, our global network of channel partners consisted of approximately 70 independent distributors and resellers. Sales by our distributors accounted for approximately 50% of our revenues in the nine months ended September 30, 2016, approximately 64% of our revenues in 2015 and approximately 72% in 2014. In addition to working closely with our channel partners, our direct sales force engages in direct sales in certain geographies, and also with our largest customers, irrespective of their location. We continually evaluate our go to market strategy in the geographies we serve in an effort to best serve our direct or indirect customers. As our roadmap continues to evolve, the sophistication of our systems and our selling prices will require us to continue to advance the capabilities of our sales and marketing teams as well as those of our distributors.</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substantial portion of our sales in North America are performed through independent distributors. Hirsch International Corporation and SPSI, Inc. were our top two independent distributors by revenues in 2014, 2015, and the nine months ended September 30, 2016, accounting for 25%, 18% and 21% of our revenues in each such period in the case of Hirsch, and SPSI accounting for 15%, 15% and 6% of our revenues in each such period. We entered into a distributor agreement with Hirsch, dated April 1, 2014, with an initial term of three years, which will renew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4" w:name="page55"/>
    <w:bookmarkEnd w:id="54"/>
    <w:p>
      <w:pPr>
        <w:jc w:val="both"/>
        <w:ind w:left="460" w:right="459"/>
        <w:spacing w:after="0" w:line="273" w:lineRule="auto"/>
        <w:rPr>
          <w:sz w:val="20"/>
          <w:szCs w:val="20"/>
          <w:color w:val="auto"/>
        </w:rPr>
      </w:pPr>
      <w:r>
        <w:rPr>
          <w:rFonts w:ascii="Arial" w:cs="Arial" w:eastAsia="Arial" w:hAnsi="Arial"/>
          <w:sz w:val="17"/>
          <w:szCs w:val="17"/>
          <w:color w:val="auto"/>
        </w:rPr>
        <w:t>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of the United States, as well as five Canadian provinces. We maintain projected sales plans for a number of different systems on a yearly basis and there is a minimum yearly sales requirement for systems and ink and other consumables.</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July 2016 we acquired the digital direct to garment printing assets of SPSI. We had been partners with SPSI since 2004 and our agreement with SPSI was previously a non-exclusive distribution contract across the United States, including 20 states mainly in the Midwest, Northwest and Southwest regions. The decision to acquire the SPSI assets was made in light of the fact that the territory covered by SPSI had an increasing number of larger accounts which required a more direct relationship with such customers. By fostering direct relationships with these customers, we aim to deepen our technical relationship with them as well better align our product roadmap to meet their needs. Through the acquisition we attained access to over 5,000 screen printing customers of SPSI, who represent a market opportunity for us to potentially provide systems that will facilitate their transition to digital printing.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Marketing</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systems are assembled by ITS Industrial Techno-logic Solutions Ltd., or ITS, at its facilities in Rosh Ha’Ayin, Israel and by Flex Ltd., or Flex, at its facilities in Yavne, Israel. Aside from our print heads, we source many of the components of our systems directly, which we believe allows us to manage our material costs and take advantage of the overall volume of systems manufactured at both facilities without the overhead of having in house manufacturing.</w:t>
      </w:r>
    </w:p>
    <w:p>
      <w:pPr>
        <w:spacing w:after="0" w:line="12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entered into a manufacturing services agreement with Flex in May 2015, pursuant to which Flex manufactures our Avalanche, Storm, Breeze and Paradigm II systems and also manufactures our Vulcan system on a full turnkey basis in accordance with our bill of materials, drawings and designs. The initial term of the agreement is three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jc w:val="both"/>
        <w:ind w:left="460" w:right="459"/>
        <w:spacing w:after="0" w:line="276" w:lineRule="auto"/>
        <w:rPr>
          <w:sz w:val="20"/>
          <w:szCs w:val="20"/>
          <w:color w:val="auto"/>
        </w:rPr>
      </w:pPr>
      <w:r>
        <w:rPr>
          <w:rFonts w:ascii="Arial" w:cs="Arial" w:eastAsia="Arial" w:hAnsi="Arial"/>
          <w:sz w:val="17"/>
          <w:szCs w:val="17"/>
          <w:color w:val="auto"/>
        </w:rPr>
        <w:t>and it renews automatically for additional periods of 24 months unless notice of termination is given by either party at least 180 days prior to the end of the initial term or a renewal term. We can terminate the agreement at any time upon 180 days’ notice and Flex may terminate the agreement at any time upon 365 days’ notice. Prices are set in advance for periods of 18 months but are subject to change based on certain enumerated circumstances set forth in the agreement or as agreed between Flex and us.</w:t>
      </w:r>
    </w:p>
    <w:p>
      <w:pPr>
        <w:spacing w:after="0" w:line="9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We produce and bottle our ink and other consumables at our facility in Kiryat Gat, Israel using raw materials purchased from various suppliers for milling pigments and mixing, bottling and packaging.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2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first entered into an agreement with FDMX in 2006. In December 2015, we entered into a new agreement with FDMX. Pursuant to this agreement, FDMX sells us print heads and additional by-products.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provides that beginning with the start of the first one-year renewal period, FDMX may increase the prices of the products that we purchase from it upon 90-days’ prior notice, subject to certain conditions. Our current agreement terminates in December 2019 and provides for one three-year renewal period and one-year renewal periods thereafter. Our agreement further provides that FDMX may, at its option, discontinue products supplied under the agreement, provided that we are given one year’s notice of the planned discontinuance and are provided with an end of life purchase program.</w:t>
      </w:r>
    </w:p>
    <w:p>
      <w:pPr>
        <w:spacing w:after="0" w:line="8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 chemical used in some of our inks is supplied by BG Bond.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other inks, this chemical is supplied by The Dow Chemical Corporation, a large multinational manufacturer of chemicals. We currently purchase these chemicals on a purchase order basis.</w:t>
      </w:r>
    </w:p>
    <w:p>
      <w:pPr>
        <w:spacing w:after="0" w:line="11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 — If our relationships with suppliers, especially with single source suppliers of components, were to terminate, our business could be harmed.”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We are also focused on enhancing our current DTG systems with new features and functionality, improving system reliability and uptime and making our systems even more user-friendly, and investing in new chemistry for broadening our span of applications. Our research and development expenses were $9.5 million and $12.0 million in the year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jc w:val="both"/>
        <w:ind w:left="460" w:right="459"/>
        <w:spacing w:after="0" w:line="277" w:lineRule="auto"/>
        <w:rPr>
          <w:sz w:val="20"/>
          <w:szCs w:val="20"/>
          <w:color w:val="auto"/>
        </w:rPr>
      </w:pPr>
      <w:r>
        <w:rPr>
          <w:rFonts w:ascii="Arial" w:cs="Arial" w:eastAsia="Arial" w:hAnsi="Arial"/>
          <w:sz w:val="18"/>
          <w:szCs w:val="18"/>
          <w:color w:val="auto"/>
        </w:rPr>
        <w:t>ended December 31, 2014 and 2015, respectively, and $8.6 million and $12.3 million in the nine months ended September 30, 2016,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7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As of December 31, 2016, we owned nine issued patents in the United States and 12 provisional or pending U.S. patent applications. We also had ten patents issued in non-U.S. jurisdictions, along with ten pending non-U.S. applications, and have six pending Patent Cooperation Treaty patent applications, which are counterparts of our U.S. patent applications. The non-U.S. jurisdictions in which we have issued patents or pending applications are China, the European Union or European countries of the European Union, Hong Kong, Israel and India. The principal granted patents relate to our wet-on-wet printing methodology, ink formulations, printing processes and related methods and systems, with expiration dates ranging from 2020 to 2035.</w:t>
      </w:r>
    </w:p>
    <w:p>
      <w:pPr>
        <w:spacing w:after="0" w:line="100"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9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1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Within the R2R market, we continue to see conversion from rotary screen printing to digital printing, as high throughput digital R2R systems are now increasingly capable of printing complex, customized images and designs. Our competitors in the R2R market include Dover Corporation, through its MS Printing Solutions S.r.l. subsidiary, Durst Phototechnik AG, Electronics for Imaging, Inc., through its Reggiani Macchine SpA subsidiary, Mimaki Engineering Co., Ltd., and a number of smaller competitors. Our digital R2R solutions offer customers the ability to produce limited quantity orders, with a high degree of variety, and allow us to uniquely support multiple fabric types in a single step R2R printing process, whereas competitive solutions require multiple pre-processing and post-processing steps. We believe our differentiated, end-to-end solutions will enable us to effectively compete with other textile printer and ink manufacturers in the digital R2R market.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Infrastructure</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Our corporate headquarters are located in Rosh Ha’Ayin, Israel in an office and research and development facility consisting of approximately 72,000 square feet. The lease for this office expires in December 2020, with</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jc w:val="both"/>
        <w:ind w:left="460" w:right="459"/>
        <w:spacing w:after="0" w:line="269" w:lineRule="auto"/>
        <w:rPr>
          <w:sz w:val="20"/>
          <w:szCs w:val="20"/>
          <w:color w:val="auto"/>
        </w:rPr>
      </w:pPr>
      <w:r>
        <w:rPr>
          <w:rFonts w:ascii="Arial" w:cs="Arial" w:eastAsia="Arial" w:hAnsi="Arial"/>
          <w:sz w:val="17"/>
          <w:szCs w:val="17"/>
          <w:color w:val="auto"/>
        </w:rPr>
        <w:t>an option to extend the lease for an additional five years. We recently leased an additional facility of approximately 8,000 square feet near our corporate headquarters. The lease for this additional space expires in December 2020, with an option to extend the lease for an additional 18 months. In Israel, we also lease a manufacturing facility in Kiryat Gat, which consists of approximately 15,000 square feet. The lease for the Kiryat Gat manufacturing facility expires on May 30, 2018,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 for this office expires in June 2018. We maintain additional sales, support and marketing offices in Dusseldorf, Hong Kong, Shanghai and Florida.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 and Directors</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 supplement.</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1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40" w:type="dxa"/>
            <w:vAlign w:val="bottom"/>
          </w:tcPr>
          <w:p>
            <w:pPr>
              <w:spacing w:after="0"/>
              <w:rPr>
                <w:sz w:val="18"/>
                <w:szCs w:val="18"/>
                <w:color w:val="auto"/>
              </w:rPr>
            </w:pPr>
          </w:p>
        </w:tc>
        <w:tc>
          <w:tcPr>
            <w:tcW w:w="5420" w:type="dxa"/>
            <w:vAlign w:val="bottom"/>
            <w:tcBorders>
              <w:bottom w:val="single" w:sz="8" w:color="auto"/>
            </w:tcBorders>
          </w:tcPr>
          <w:p>
            <w:pPr>
              <w:ind w:left="2420"/>
              <w:spacing w:after="0"/>
              <w:rPr>
                <w:sz w:val="20"/>
                <w:szCs w:val="20"/>
                <w:color w:val="auto"/>
              </w:rPr>
            </w:pPr>
            <w:r>
              <w:rPr>
                <w:rFonts w:ascii="Arial" w:cs="Arial" w:eastAsia="Arial" w:hAnsi="Arial"/>
                <w:sz w:val="16"/>
                <w:szCs w:val="16"/>
                <w:b w:val="1"/>
                <w:bCs w:val="1"/>
                <w:color w:val="auto"/>
              </w:rPr>
              <w:t>Position</w:t>
            </w:r>
          </w:p>
        </w:tc>
      </w:tr>
      <w:tr>
        <w:trPr>
          <w:trHeight w:val="240"/>
        </w:trPr>
        <w:tc>
          <w:tcPr>
            <w:tcW w:w="1820" w:type="dxa"/>
            <w:vAlign w:val="bottom"/>
          </w:tcPr>
          <w:p>
            <w:pPr>
              <w:spacing w:after="0"/>
              <w:rPr>
                <w:sz w:val="20"/>
                <w:szCs w:val="20"/>
                <w:color w:val="auto"/>
              </w:rPr>
            </w:pPr>
            <w:r>
              <w:rPr>
                <w:rFonts w:ascii="Arial" w:cs="Arial" w:eastAsia="Arial" w:hAnsi="Arial"/>
                <w:sz w:val="18"/>
                <w:szCs w:val="18"/>
                <w:i w:val="1"/>
                <w:iCs w:val="1"/>
                <w:color w:val="auto"/>
              </w:rPr>
              <w:t>Executive Officers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Gabi Seligsohn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50</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Nuriel Amir</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Technology Officer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Guy Avidan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Gilad Yron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of Global Business</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Ofer Sandelson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Operating Officer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Guy Zimmerman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Vice President of Marketing &amp; Business Development</w:t>
            </w:r>
          </w:p>
        </w:tc>
      </w:tr>
      <w:tr>
        <w:trPr>
          <w:trHeight w:val="486"/>
        </w:trPr>
        <w:tc>
          <w:tcPr>
            <w:tcW w:w="182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Yuval Cohen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 Directors</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Gabi Seligsohn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50</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Eli Blatt</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56"/>
        </w:trPr>
        <w:tc>
          <w:tcPr>
            <w:tcW w:w="1820" w:type="dxa"/>
            <w:vAlign w:val="bottom"/>
          </w:tcPr>
          <w:p>
            <w:pPr>
              <w:spacing w:after="0"/>
              <w:rPr>
                <w:sz w:val="20"/>
                <w:szCs w:val="20"/>
                <w:color w:val="auto"/>
              </w:rPr>
            </w:pPr>
            <w:r>
              <w:rPr>
                <w:rFonts w:ascii="Arial" w:cs="Arial" w:eastAsia="Arial" w:hAnsi="Arial"/>
                <w:sz w:val="18"/>
                <w:szCs w:val="18"/>
                <w:color w:val="auto"/>
                <w:w w:val="99"/>
              </w:rPr>
              <w:t>Lauri Hanover</w:t>
            </w:r>
            <w:r>
              <w:rPr>
                <w:rFonts w:ascii="Arial" w:cs="Arial" w:eastAsia="Arial" w:hAnsi="Arial"/>
                <w:sz w:val="21"/>
                <w:szCs w:val="21"/>
                <w:color w:val="auto"/>
                <w:w w:val="99"/>
                <w:vertAlign w:val="superscript"/>
              </w:rPr>
              <w:t>(1)(2)(3)(4)</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Marc Lesnick</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50</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56"/>
        </w:trPr>
        <w:tc>
          <w:tcPr>
            <w:tcW w:w="1820" w:type="dxa"/>
            <w:vAlign w:val="bottom"/>
          </w:tcPr>
          <w:p>
            <w:pPr>
              <w:spacing w:after="0"/>
              <w:rPr>
                <w:sz w:val="20"/>
                <w:szCs w:val="20"/>
                <w:color w:val="auto"/>
              </w:rPr>
            </w:pPr>
            <w:r>
              <w:rPr>
                <w:rFonts w:ascii="Arial" w:cs="Arial" w:eastAsia="Arial" w:hAnsi="Arial"/>
                <w:sz w:val="18"/>
                <w:szCs w:val="18"/>
                <w:color w:val="auto"/>
              </w:rPr>
              <w:t>Alon Lumbroso</w:t>
            </w:r>
            <w:r>
              <w:rPr>
                <w:rFonts w:ascii="Arial" w:cs="Arial" w:eastAsia="Arial" w:hAnsi="Arial"/>
                <w:sz w:val="21"/>
                <w:szCs w:val="21"/>
                <w:color w:val="auto"/>
                <w:vertAlign w:val="superscript"/>
              </w:rPr>
              <w:t>(3)</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59</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8"/>
                <w:szCs w:val="28"/>
                <w:color w:val="auto"/>
                <w:vertAlign w:val="subscript"/>
              </w:rPr>
              <w:t>Jerry Mandel</w:t>
            </w:r>
            <w:r>
              <w:rPr>
                <w:rFonts w:ascii="Arial" w:cs="Arial" w:eastAsia="Arial" w:hAnsi="Arial"/>
                <w:sz w:val="10"/>
                <w:szCs w:val="10"/>
                <w:color w:val="auto"/>
              </w:rPr>
              <w:t>(1)(2)(3)(4)</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8"/>
                <w:szCs w:val="28"/>
                <w:color w:val="auto"/>
                <w:vertAlign w:val="subscript"/>
              </w:rPr>
              <w:t>Dov Ofer</w:t>
            </w:r>
            <w:r>
              <w:rPr>
                <w:rFonts w:ascii="Arial" w:cs="Arial" w:eastAsia="Arial" w:hAnsi="Arial"/>
                <w:sz w:val="10"/>
                <w:szCs w:val="10"/>
                <w:color w:val="auto"/>
              </w:rPr>
              <w:t>(1)(2)(3)</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21"/>
        </w:trPr>
        <w:tc>
          <w:tcPr>
            <w:tcW w:w="1820" w:type="dxa"/>
            <w:vAlign w:val="bottom"/>
          </w:tcPr>
          <w:p>
            <w:pPr>
              <w:spacing w:after="0"/>
              <w:rPr>
                <w:sz w:val="20"/>
                <w:szCs w:val="20"/>
                <w:color w:val="auto"/>
              </w:rPr>
            </w:pPr>
            <w:r>
              <w:rPr>
                <w:rFonts w:ascii="Arial" w:cs="Arial" w:eastAsia="Arial" w:hAnsi="Arial"/>
                <w:sz w:val="18"/>
                <w:szCs w:val="18"/>
                <w:color w:val="auto"/>
              </w:rPr>
              <w:t>Ofer Ben-Zur</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06"/>
        </w:trPr>
        <w:tc>
          <w:tcPr>
            <w:tcW w:w="1820" w:type="dxa"/>
            <w:vAlign w:val="bottom"/>
          </w:tcPr>
          <w:p>
            <w:pPr>
              <w:spacing w:after="0"/>
              <w:rPr>
                <w:sz w:val="20"/>
                <w:szCs w:val="20"/>
                <w:color w:val="auto"/>
              </w:rPr>
            </w:pPr>
            <w:r>
              <w:rPr>
                <w:rFonts w:ascii="Arial" w:cs="Arial" w:eastAsia="Arial" w:hAnsi="Arial"/>
                <w:sz w:val="16"/>
                <w:szCs w:val="16"/>
                <w:color w:val="auto"/>
              </w:rPr>
              <w:t>____________</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r>
    </w:tbl>
    <w:p>
      <w:pPr>
        <w:ind w:left="880" w:hanging="418"/>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18" w:lineRule="exact"/>
        <w:rPr>
          <w:rFonts w:ascii="Arial" w:cs="Arial" w:eastAsia="Arial" w:hAnsi="Arial"/>
          <w:sz w:val="16"/>
          <w:szCs w:val="16"/>
          <w:color w:val="auto"/>
        </w:rPr>
      </w:pPr>
    </w:p>
    <w:p>
      <w:pPr>
        <w:ind w:left="880" w:hanging="418"/>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Member of our compensation committee.</w:t>
      </w:r>
    </w:p>
    <w:p>
      <w:pPr>
        <w:spacing w:after="0" w:line="15" w:lineRule="exact"/>
        <w:rPr>
          <w:rFonts w:ascii="Arial" w:cs="Arial" w:eastAsia="Arial" w:hAnsi="Arial"/>
          <w:sz w:val="16"/>
          <w:szCs w:val="16"/>
          <w:color w:val="auto"/>
        </w:rPr>
      </w:pPr>
    </w:p>
    <w:p>
      <w:pPr>
        <w:ind w:left="880" w:hanging="418"/>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Independent director under the NASDAQ Stock Market rules.</w:t>
      </w:r>
    </w:p>
    <w:p>
      <w:pPr>
        <w:spacing w:after="0" w:line="5" w:lineRule="exact"/>
        <w:rPr>
          <w:rFonts w:ascii="Arial" w:cs="Arial" w:eastAsia="Arial" w:hAnsi="Arial"/>
          <w:sz w:val="16"/>
          <w:szCs w:val="16"/>
          <w:color w:val="auto"/>
        </w:rPr>
      </w:pPr>
    </w:p>
    <w:p>
      <w:pPr>
        <w:ind w:left="880" w:hanging="418"/>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Serves as an external director under the Israeli Companies Law.</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and has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since April 2014. 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9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Nuriel Amir </w:t>
      </w:r>
      <w:r>
        <w:rPr>
          <w:rFonts w:ascii="Arial" w:cs="Arial" w:eastAsia="Arial" w:hAnsi="Arial"/>
          <w:sz w:val="17"/>
          <w:szCs w:val="17"/>
          <w:color w:val="auto"/>
        </w:rPr>
        <w:t>has served as our Chief Technology Officer since July 2016. From 2012 until mid-2016, Dr.</w:t>
      </w:r>
      <w:r>
        <w:rPr>
          <w:rFonts w:ascii="Arial" w:cs="Arial" w:eastAsia="Arial" w:hAnsi="Arial"/>
          <w:sz w:val="17"/>
          <w:szCs w:val="17"/>
          <w:i w:val="1"/>
          <w:iCs w:val="1"/>
          <w:color w:val="auto"/>
        </w:rPr>
        <w:t xml:space="preserve"> </w:t>
      </w:r>
      <w:r>
        <w:rPr>
          <w:rFonts w:ascii="Arial" w:cs="Arial" w:eastAsia="Arial" w:hAnsi="Arial"/>
          <w:sz w:val="17"/>
          <w:szCs w:val="17"/>
          <w:color w:val="auto"/>
        </w:rPr>
        <w:t>Amir served as the Tech director of KLA-Tencor, focusing on application development and marketing. From 2008 until 2012, Dr. Amir served as the R&amp;D director for Numonyx B.V. and Micron Technology, Inc. (NASDAQ: MU), leading the technology development and transfer to production of 45nm flash NOR technology. From 1977 until 2008, Dr. Amir served in several positions at Intel in Israel and the U.S. in the fields of: R&amp;D, transfer to production, Process Integration, Yield, Device, Labs and Quality and Reliability, culminating as Yield department manager. Dr. Amir holds a Ph.D. from the microelectronic research center at the Electrical Engineering Faculty at the Technion, and has taught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9" w:name="page60"/>
    <w:bookmarkEnd w:id="59"/>
    <w:p>
      <w:pPr>
        <w:jc w:val="both"/>
        <w:ind w:left="460" w:right="459"/>
        <w:spacing w:after="0" w:line="277" w:lineRule="auto"/>
        <w:rPr>
          <w:sz w:val="20"/>
          <w:szCs w:val="20"/>
          <w:color w:val="auto"/>
        </w:rPr>
      </w:pPr>
      <w:r>
        <w:rPr>
          <w:rFonts w:ascii="Arial" w:cs="Arial" w:eastAsia="Arial" w:hAnsi="Arial"/>
          <w:sz w:val="18"/>
          <w:szCs w:val="18"/>
          <w:color w:val="auto"/>
        </w:rPr>
        <w:t>at several universities and colleges. Dr. Amir has 20 patent applications and over 40 publications including talks in the Society of Photo-Optical Instrumentation Engineers International, or SPIE.</w:t>
      </w:r>
    </w:p>
    <w:p>
      <w:pPr>
        <w:spacing w:after="0" w:line="8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Guy Avidan </w:t>
      </w:r>
      <w:r>
        <w:rPr>
          <w:rFonts w:ascii="Arial" w:cs="Arial" w:eastAsia="Arial" w:hAnsi="Arial"/>
          <w:sz w:val="17"/>
          <w:szCs w:val="17"/>
          <w:color w:val="auto"/>
        </w:rPr>
        <w:t>has served as our Chief Financial Officer since September 2014. From July 2010 until</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2014, Mr. Avidan served as Vice 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Gilad Yron </w:t>
      </w:r>
      <w:r>
        <w:rPr>
          <w:rFonts w:ascii="Arial" w:cs="Arial" w:eastAsia="Arial" w:hAnsi="Arial"/>
          <w:sz w:val="18"/>
          <w:szCs w:val="18"/>
          <w:color w:val="auto"/>
        </w:rPr>
        <w:t>has served as our Executive Vice President of Global Business since May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2015 until April 2016, Mr. Yron served as Senior Vice President of Products at Stratasys, Ltd. (NASDAQ: SSYS). His previous positions with Stratasys included VP Business Development and strategic alliances and Managing Director of Asia Pacific and Japan operating out of Hong Kong. From 2006 until 2010, Mr. Yron served in various positions for Nur Macroprinters, which later became part of HP, including Business Manager for the Asia-Pacific region and Service Director. Mr. Yron holds a Bs.C. in Physics from Tel Aviv University.</w:t>
      </w:r>
    </w:p>
    <w:p>
      <w:pPr>
        <w:spacing w:after="0" w:line="12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Ofer Sandelson </w:t>
      </w:r>
      <w:r>
        <w:rPr>
          <w:rFonts w:ascii="Arial" w:cs="Arial" w:eastAsia="Arial" w:hAnsi="Arial"/>
          <w:sz w:val="16"/>
          <w:szCs w:val="16"/>
          <w:color w:val="auto"/>
        </w:rPr>
        <w:t>has served as our Chief Operating Officer since July 2013. Prior to joining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Mr. 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9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Guy Zimmerman </w:t>
      </w:r>
      <w:r>
        <w:rPr>
          <w:rFonts w:ascii="Arial" w:cs="Arial" w:eastAsia="Arial" w:hAnsi="Arial"/>
          <w:sz w:val="17"/>
          <w:szCs w:val="17"/>
          <w:color w:val="auto"/>
        </w:rPr>
        <w:t>has served as our Vice President of Marketing and Business Development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2013. From 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Yuval Cohen </w:t>
      </w:r>
      <w:r>
        <w:rPr>
          <w:rFonts w:ascii="Arial" w:cs="Arial" w:eastAsia="Arial" w:hAnsi="Arial"/>
          <w:sz w:val="17"/>
          <w:szCs w:val="17"/>
          <w:color w:val="auto"/>
        </w:rPr>
        <w:t>has served as the Chairman of our board of directors since August 2011. Mr. Cohen is the</w:t>
      </w:r>
      <w:r>
        <w:rPr>
          <w:rFonts w:ascii="Arial" w:cs="Arial" w:eastAsia="Arial" w:hAnsi="Arial"/>
          <w:sz w:val="17"/>
          <w:szCs w:val="17"/>
          <w:i w:val="1"/>
          <w:iCs w:val="1"/>
          <w:color w:val="auto"/>
        </w:rPr>
        <w:t xml:space="preserve"> </w:t>
      </w:r>
      <w:r>
        <w:rPr>
          <w:rFonts w:ascii="Arial" w:cs="Arial" w:eastAsia="Arial" w:hAnsi="Arial"/>
          <w:sz w:val="17"/>
          <w:szCs w:val="17"/>
          <w:color w:val="auto"/>
        </w:rPr>
        <w:t>founding and 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Eli Blatt </w:t>
      </w:r>
      <w:r>
        <w:rPr>
          <w:rFonts w:ascii="Arial" w:cs="Arial" w:eastAsia="Arial" w:hAnsi="Arial"/>
          <w:sz w:val="18"/>
          <w:szCs w:val="18"/>
          <w:color w:val="auto"/>
        </w:rPr>
        <w:t>has served as a member of our board of directors since August 2011. Mr. Blatt joined Fortissimo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in 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jc w:val="both"/>
        <w:ind w:left="460" w:right="459"/>
        <w:spacing w:after="0" w:line="264" w:lineRule="auto"/>
        <w:rPr>
          <w:sz w:val="20"/>
          <w:szCs w:val="20"/>
          <w:color w:val="auto"/>
        </w:rPr>
      </w:pPr>
      <w:r>
        <w:rPr>
          <w:rFonts w:ascii="Arial" w:cs="Arial" w:eastAsia="Arial" w:hAnsi="Arial"/>
          <w:sz w:val="18"/>
          <w:szCs w:val="18"/>
          <w:color w:val="auto"/>
        </w:rPr>
        <w:t>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0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 xml:space="preserve">Lauri Hanover </w:t>
      </w:r>
      <w:r>
        <w:rPr>
          <w:rFonts w:ascii="Arial" w:cs="Arial" w:eastAsia="Arial" w:hAnsi="Arial"/>
          <w:sz w:val="16"/>
          <w:szCs w:val="16"/>
          <w:color w:val="auto"/>
        </w:rPr>
        <w:t>has served as a member of our board of directors since March 2015 and is an external</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under the Companies Law, the chairperson of our audit committee and a member of our compensation committee. Ms. Hanover has served as the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of the University of Pennsylvania, as well as an M.B.A. from New York University in New York</w:t>
      </w:r>
    </w:p>
    <w:p>
      <w:pPr>
        <w:spacing w:after="0" w:line="32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Marc Lesnick </w:t>
      </w:r>
      <w:r>
        <w:rPr>
          <w:rFonts w:ascii="Arial" w:cs="Arial" w:eastAsia="Arial" w:hAnsi="Arial"/>
          <w:sz w:val="17"/>
          <w:szCs w:val="17"/>
          <w:color w:val="auto"/>
        </w:rPr>
        <w:t>has served as a member of our board of directors since August 2011. Mr. Lesnick joined</w:t>
      </w:r>
      <w:r>
        <w:rPr>
          <w:rFonts w:ascii="Arial" w:cs="Arial" w:eastAsia="Arial" w:hAnsi="Arial"/>
          <w:sz w:val="17"/>
          <w:szCs w:val="17"/>
          <w:i w:val="1"/>
          <w:iCs w:val="1"/>
          <w:color w:val="auto"/>
        </w:rPr>
        <w:t xml:space="preserve"> </w:t>
      </w:r>
      <w:r>
        <w:rPr>
          <w:rFonts w:ascii="Arial" w:cs="Arial" w:eastAsia="Arial" w:hAnsi="Arial"/>
          <w:sz w:val="17"/>
          <w:szCs w:val="17"/>
          <w:color w:val="auto"/>
        </w:rPr>
        <w:t>Fortissimo 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i w:val="1"/>
          <w:iCs w:val="1"/>
          <w:color w:val="auto"/>
        </w:rPr>
        <w:t xml:space="preserve">Alon Lumbroso </w:t>
      </w:r>
      <w:r>
        <w:rPr>
          <w:rFonts w:ascii="Arial" w:cs="Arial" w:eastAsia="Arial" w:hAnsi="Arial"/>
          <w:sz w:val="16"/>
          <w:szCs w:val="16"/>
          <w:color w:val="auto"/>
        </w:rPr>
        <w:t>has served as a member of our board of directors since March 2015. Since June 2015, Mr.</w:t>
      </w:r>
      <w:r>
        <w:rPr>
          <w:rFonts w:ascii="Arial" w:cs="Arial" w:eastAsia="Arial" w:hAnsi="Arial"/>
          <w:sz w:val="16"/>
          <w:szCs w:val="16"/>
          <w:i w:val="1"/>
          <w:iCs w:val="1"/>
          <w:color w:val="auto"/>
        </w:rPr>
        <w:t xml:space="preserve"> </w:t>
      </w:r>
      <w:r>
        <w:rPr>
          <w:rFonts w:ascii="Arial" w:cs="Arial" w:eastAsia="Arial" w:hAnsi="Arial"/>
          <w:sz w:val="16"/>
          <w:szCs w:val="16"/>
          <w:color w:val="auto"/>
        </w:rPr>
        <w:t>Lumbroso has been the chief executive officer of DipTech Ltd. From January 2014 until March 2015, Mr. Lumbroso was a founder and partner 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91"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i w:val="1"/>
          <w:iCs w:val="1"/>
          <w:color w:val="auto"/>
        </w:rPr>
        <w:t xml:space="preserve">Jerry Mandel </w:t>
      </w:r>
      <w:r>
        <w:rPr>
          <w:rFonts w:ascii="Arial" w:cs="Arial" w:eastAsia="Arial" w:hAnsi="Arial"/>
          <w:sz w:val="16"/>
          <w:szCs w:val="16"/>
          <w:color w:val="auto"/>
        </w:rPr>
        <w:t>has served as a member of our board of directors since March 2015 and is an external</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under the Companies Law, chairman of our compensation committee and a member of our audit committee. Mr. Mandel is the owner and CEO of Galil Capital Finance Ltd., a privately held company that provides financial advisory and investment management services. Mr. Mandel is also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 Merrill Lynch &amp; Co. and responsible for the origination and execution of investment banking activities in Israel. Currently, Mr. Mandel serves as a director and audit committee member of Direct Insurance</w:t>
      </w:r>
    </w:p>
    <w:p>
      <w:pPr>
        <w:spacing w:after="0" w:line="4" w:lineRule="exact"/>
        <w:rPr>
          <w:sz w:val="20"/>
          <w:szCs w:val="20"/>
          <w:color w:val="auto"/>
        </w:rPr>
      </w:pPr>
    </w:p>
    <w:p>
      <w:pPr>
        <w:ind w:left="460" w:right="459"/>
        <w:spacing w:after="0" w:line="261" w:lineRule="auto"/>
        <w:rPr>
          <w:sz w:val="20"/>
          <w:szCs w:val="20"/>
          <w:color w:val="auto"/>
        </w:rPr>
      </w:pPr>
      <w:r>
        <w:rPr>
          <w:rFonts w:ascii="Arial" w:cs="Arial" w:eastAsia="Arial" w:hAnsi="Arial"/>
          <w:sz w:val="18"/>
          <w:szCs w:val="18"/>
          <w:color w:val="auto"/>
        </w:rPr>
        <w:t>— Financial Investments Ltd. (TASE: DIFI). Mr. Mandel holds a B.Sc. in Industrial Engineering from Tel Aviv University in Israel and an M.B.A. from Columbia Business School in New York.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Dov Ofer </w:t>
      </w:r>
      <w:r>
        <w:rPr>
          <w:rFonts w:ascii="Arial" w:cs="Arial" w:eastAsia="Arial" w:hAnsi="Arial"/>
          <w:sz w:val="17"/>
          <w:szCs w:val="17"/>
          <w:color w:val="auto"/>
        </w:rPr>
        <w:t>has served as a member of our board of directors since March 2015 and is a member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audit and compensation committees. From 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10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i w:val="1"/>
          <w:iCs w:val="1"/>
          <w:color w:val="auto"/>
        </w:rPr>
        <w:t xml:space="preserve">Ofer Ben-Zur </w:t>
      </w:r>
      <w:r>
        <w:rPr>
          <w:rFonts w:ascii="Arial" w:cs="Arial" w:eastAsia="Arial" w:hAnsi="Arial"/>
          <w:sz w:val="16"/>
          <w:szCs w:val="16"/>
          <w:color w:val="auto"/>
        </w:rPr>
        <w:t>is a co-founder of our company and has served as director since 2002. From April 2014 to</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2016, Mr. Ben-Zur served as our President and Chief Technology Officer.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Generally, a non-Israeli 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who derives capital 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3" w:name="page64"/>
    <w:bookmarkEnd w:id="63"/>
    <w:p>
      <w:pPr>
        <w:jc w:val="both"/>
        <w:ind w:left="460" w:right="459"/>
        <w:spacing w:after="0" w:line="273" w:lineRule="auto"/>
        <w:rPr>
          <w:sz w:val="20"/>
          <w:szCs w:val="20"/>
          <w:color w:val="auto"/>
        </w:rPr>
      </w:pPr>
      <w:r>
        <w:rPr>
          <w:rFonts w:ascii="Arial" w:cs="Arial" w:eastAsia="Arial" w:hAnsi="Arial"/>
          <w:sz w:val="17"/>
          <w:szCs w:val="17"/>
          <w:color w:val="auto"/>
        </w:rPr>
        <w:t>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9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Israeli 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10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115"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7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Excess tax</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Individuals who are subject to tax in Israel are also subject to an additional tax at a rate of 2% on annual income exceeding NIS 810,720 for 2016, which amount is linked to the annual change in the Israeli consumer price index, including, but not limited to, dividends, interest and capital gain, subject to the provisions of an applicable tax treaty. Pursuant to a new legislation enacted recently, as of 2017 such tax rate is increased to 3% on annual income exceeding NIS 640,000 (which amount is linked to the annual change in the Israeli consumer price index).</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relating to the ownership and disposition of our ordinary shares by a U.S. Holder (as defined below). This description addresses only the U.S.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112" w:lineRule="exact"/>
        <w:rPr>
          <w:sz w:val="20"/>
          <w:szCs w:val="20"/>
          <w:color w:val="auto"/>
        </w:rPr>
      </w:pPr>
    </w:p>
    <w:p>
      <w:pPr>
        <w:ind w:left="1300" w:hanging="40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94" w:val="left"/>
        </w:tabs>
        <w:numPr>
          <w:ilvl w:val="0"/>
          <w:numId w:val="46"/>
        </w:numPr>
        <w:rPr>
          <w:rFonts w:ascii="Arial" w:cs="Arial" w:eastAsia="Arial" w:hAnsi="Arial"/>
          <w:sz w:val="17"/>
          <w:szCs w:val="17"/>
          <w:color w:val="auto"/>
        </w:rPr>
      </w:pPr>
      <w:r>
        <w:rPr>
          <w:rFonts w:ascii="Arial" w:cs="Arial" w:eastAsia="Arial" w:hAnsi="Arial"/>
          <w:sz w:val="17"/>
          <w:szCs w:val="17"/>
          <w:color w:val="auto"/>
        </w:rPr>
        <w:t>partnerships (including entities classified as partnerships for U.S. federal income tax purposes) or other pass-through entities, or persons that will hold our shares through such an entity;</w:t>
      </w:r>
    </w:p>
    <w:p>
      <w:pPr>
        <w:spacing w:after="0" w:line="79" w:lineRule="exact"/>
        <w:rPr>
          <w:rFonts w:ascii="Arial" w:cs="Arial" w:eastAsia="Arial" w:hAnsi="Arial"/>
          <w:sz w:val="17"/>
          <w:szCs w:val="17"/>
          <w:color w:val="auto"/>
        </w:rPr>
      </w:pPr>
    </w:p>
    <w:p>
      <w:pPr>
        <w:ind w:left="1300" w:hanging="40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 or</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persons that own directly, indirectly or through attribution 10.0% or more of the voting power or value of our shares.</w:t>
      </w:r>
    </w:p>
    <w:p>
      <w:pPr>
        <w:spacing w:after="0" w:line="8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1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This description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consequences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30" w:lineRule="exact"/>
        <w:rPr>
          <w:sz w:val="20"/>
          <w:szCs w:val="20"/>
          <w:color w:val="auto"/>
        </w:rPr>
      </w:pPr>
    </w:p>
    <w:p>
      <w:pPr>
        <w:ind w:left="1300" w:hanging="405"/>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3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00" w:lineRule="exact"/>
        <w:rPr>
          <w:rFonts w:ascii="Arial" w:cs="Arial" w:eastAsia="Arial" w:hAnsi="Arial"/>
          <w:sz w:val="18"/>
          <w:szCs w:val="18"/>
          <w:color w:val="auto"/>
        </w:rPr>
      </w:pPr>
    </w:p>
    <w:p>
      <w:pPr>
        <w:ind w:left="1300" w:hanging="405"/>
        <w:spacing w:after="0"/>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0" w:lineRule="exact"/>
        <w:rPr>
          <w:rFonts w:ascii="Arial" w:cs="Arial" w:eastAsia="Arial" w:hAnsi="Arial"/>
          <w:sz w:val="16"/>
          <w:szCs w:val="16"/>
          <w:color w:val="auto"/>
        </w:rPr>
      </w:pPr>
    </w:p>
    <w:p>
      <w:pPr>
        <w:jc w:val="both"/>
        <w:ind w:left="1320" w:right="459" w:hanging="425"/>
        <w:spacing w:after="0" w:line="259" w:lineRule="auto"/>
        <w:tabs>
          <w:tab w:leader="none" w:pos="13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5" w:name="page66"/>
    <w:bookmarkEnd w:id="65"/>
    <w:p>
      <w:pPr>
        <w:jc w:val="both"/>
        <w:ind w:left="460" w:right="459" w:firstLine="432"/>
        <w:spacing w:after="0" w:line="257"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owning and disposing of our ordinary shares in its particular circumstance.</w:t>
      </w:r>
    </w:p>
    <w:p>
      <w:pPr>
        <w:spacing w:after="0" w:line="103"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2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8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0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after any reduction in rates available to such U.S. Holder under the United States-Israel Tax Treaty,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 U.S. Holders should consult their tax advisers regarding the availability of the foreign tax credit in their particular circumstances.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14" w:lineRule="exact"/>
        <w:rPr>
          <w:sz w:val="20"/>
          <w:szCs w:val="20"/>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44" w:lineRule="exact"/>
        <w:rPr>
          <w:rFonts w:ascii="Arial" w:cs="Arial" w:eastAsia="Arial" w:hAnsi="Arial"/>
          <w:sz w:val="18"/>
          <w:szCs w:val="18"/>
          <w:color w:val="auto"/>
        </w:rPr>
      </w:pPr>
    </w:p>
    <w:p>
      <w:pPr>
        <w:jc w:val="both"/>
        <w:ind w:left="1320" w:right="459" w:hanging="425"/>
        <w:spacing w:after="0" w:line="259" w:lineRule="auto"/>
        <w:tabs>
          <w:tab w:leader="none" w:pos="13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historic and certain estimates of our gross income, gross assets, and market capitalization (which may fluctuate from time to time) and the nature of our business, we do not believe that we were a PFIC for the taxable year ending December 31, 2016 and we do not expect that we will be classified as a PFIC for the taxable year ending December 31, 2017. However, because PFIC status is based on our income, assets and activities for the entire taxable year, it is not possible to determine whether we will be characterized as a PFIC for the 2017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2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7" w:name="page68"/>
    <w:bookmarkEnd w:id="67"/>
    <w:p>
      <w:pPr>
        <w:jc w:val="both"/>
        <w:ind w:left="460" w:right="459"/>
        <w:spacing w:after="0" w:line="288" w:lineRule="auto"/>
        <w:rPr>
          <w:sz w:val="20"/>
          <w:szCs w:val="20"/>
          <w:color w:val="auto"/>
        </w:rPr>
      </w:pPr>
      <w:r>
        <w:rPr>
          <w:rFonts w:ascii="Arial" w:cs="Arial" w:eastAsia="Arial" w:hAnsi="Arial"/>
          <w:sz w:val="16"/>
          <w:szCs w:val="16"/>
          <w:color w:val="auto"/>
        </w:rPr>
        <w:t>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8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2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a U.S. Holder makes the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investment in our ordinary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Medicare tax</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Barclays Capital Inc. and Citigroup Global Markets Inc. are acting as representatives of the underwriters and joint book-running managers of this offering. Under the terms of an underwriting agreement, dated January 25, 2017, each of the underwriters named below has severally agreed to purchase from us and the selling shareholders the respective number of ordinary shares shown opposite its name below:</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Underwriters</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Canaccord Genuity Inc.</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Needham &amp; Company, LLC</w:t>
            </w: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underwriting agreement provides that the underwriters’ obligation to purchase ordinary shares depends on the satisfaction of the conditions contained in the underwriting agreement including:</w:t>
      </w:r>
    </w:p>
    <w:p>
      <w:pPr>
        <w:spacing w:after="0" w:line="79" w:lineRule="exact"/>
        <w:rPr>
          <w:sz w:val="20"/>
          <w:szCs w:val="20"/>
          <w:color w:val="auto"/>
        </w:rPr>
      </w:pPr>
    </w:p>
    <w:p>
      <w:pPr>
        <w:jc w:val="both"/>
        <w:ind w:left="1320" w:right="459" w:hanging="425"/>
        <w:spacing w:after="0" w:line="264" w:lineRule="auto"/>
        <w:tabs>
          <w:tab w:leader="none" w:pos="13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shares as described below), if any of the shares are purchased;</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3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shareholders to the underwriters are true;</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the selling shareholders deliver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Expenses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following table summarizes the underwriting discounts and commissions we and the selling shareholders will pay to the underwriters. These amounts are shown assuming both no exercise and full exercise of the underwriters’ option to purchase additional shares. The underwriting fee is the difference between the initial price to the public and the amount the underwriters pay to us and the selling shareholders for the ordinary shares.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Us</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Selling Shareholders</w:t>
            </w:r>
          </w:p>
        </w:tc>
      </w:t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1"/>
              </w:rPr>
              <w:t>No Exercise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1"/>
              </w:rPr>
              <w:t>Full Exercise</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1"/>
              </w:rPr>
              <w:t>No Exercise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1"/>
              </w:rPr>
              <w:t>Full Exercise</w:t>
            </w:r>
          </w:p>
        </w:tc>
      </w:tr>
      <w:tr>
        <w:trPr>
          <w:trHeight w:val="236"/>
        </w:trPr>
        <w:tc>
          <w:tcPr>
            <w:tcW w:w="20" w:type="dxa"/>
            <w:vAlign w:val="bottom"/>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0.825</w:t>
            </w: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4,537,500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5,218,125</w:t>
            </w:r>
          </w:p>
        </w:tc>
      </w:tr>
    </w:tbl>
    <w:p>
      <w:pPr>
        <w:spacing w:after="0" w:line="187"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The representatives have advised us that the underwriters propose to offer the ordinary shares directly to the public at the public offering price set forth on the cover of this prospectus supplement and to selected dealers, which may include the underwriters, at such offering price less a selling concession not in excess of $0.495 per share. After the offering, the representatives may change the offering price and other selling terms.</w:t>
      </w:r>
    </w:p>
    <w:p>
      <w:pPr>
        <w:spacing w:after="0" w:line="8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expenses of the offering that are payable by us are estimated to be approximately $950,000 (excluding underwriting discounts and commissions). We have agreed to pay expenses incurred by the selling shareholders in connection with the offering, other than the underwriting discounts and commissions. We have also agreed to reimburse the underwriters for expenses relating to clearance of this offering with the Financial Industry Regulatory Authority up to $15,000.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and the selling shareholders have granted the underwriters an option exercisable for 30 days after the date of this prospectus supplement to purchase, from time to time, in whole or in part, up to an aggregate of 300,000 shares from us and 825,000 shares from one of the selling shareholders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and all of our directors and executive officers and the selling shareholders, have agreed that, for a period of 90 days after the date of this prospectus supplement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and the selling shareholders have agreed to indemnify the underwriters against certain liabilities, including liabilities under the Securities Act, and to contribute to payments that the underwriters may be required to make for these liabilities.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84" w:lineRule="exact"/>
        <w:rPr>
          <w:sz w:val="20"/>
          <w:szCs w:val="20"/>
          <w:color w:val="auto"/>
        </w:rPr>
      </w:pPr>
    </w:p>
    <w:p>
      <w:pPr>
        <w:ind w:left="1320" w:right="459" w:hanging="425"/>
        <w:spacing w:after="0" w:line="277" w:lineRule="auto"/>
        <w:tabs>
          <w:tab w:leader="none" w:pos="14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02" w:lineRule="exact"/>
        <w:rPr>
          <w:rFonts w:ascii="Arial" w:cs="Arial" w:eastAsia="Arial" w:hAnsi="Arial"/>
          <w:sz w:val="18"/>
          <w:szCs w:val="18"/>
          <w:color w:val="auto"/>
        </w:rPr>
      </w:pPr>
    </w:p>
    <w:p>
      <w:pPr>
        <w:jc w:val="both"/>
        <w:ind w:left="1320" w:right="459" w:hanging="425"/>
        <w:spacing w:after="0" w:line="268" w:lineRule="auto"/>
        <w:tabs>
          <w:tab w:leader="none" w:pos="133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1" w:name="page72"/>
    <w:bookmarkEnd w:id="71"/>
    <w:p>
      <w:pPr>
        <w:ind w:left="1320" w:right="459" w:hanging="425"/>
        <w:spacing w:after="0" w:line="308" w:lineRule="auto"/>
        <w:tabs>
          <w:tab w:leader="none" w:pos="13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ordinary shares in the open market after the distribution has been completed in order to cover syndicate short positions.</w:t>
      </w:r>
    </w:p>
    <w:p>
      <w:pPr>
        <w:spacing w:after="0" w:line="65" w:lineRule="exact"/>
        <w:rPr>
          <w:rFonts w:ascii="Arial" w:cs="Arial" w:eastAsia="Arial" w:hAnsi="Arial"/>
          <w:sz w:val="17"/>
          <w:szCs w:val="17"/>
          <w:color w:val="auto"/>
        </w:rPr>
      </w:pPr>
    </w:p>
    <w:p>
      <w:pPr>
        <w:jc w:val="both"/>
        <w:ind w:left="1320" w:right="459" w:hanging="425"/>
        <w:spacing w:after="0" w:line="264" w:lineRule="auto"/>
        <w:tabs>
          <w:tab w:leader="none" w:pos="14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114"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05"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offering, underwriters and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 Any such allocation for online distributions will be made by the representatives on the same basis as other allocations.</w:t>
      </w:r>
    </w:p>
    <w:p>
      <w:pPr>
        <w:spacing w:after="0" w:line="110"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jc w:val="both"/>
        <w:ind w:left="460" w:right="459" w:firstLine="432"/>
        <w:spacing w:after="0" w:line="268"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91" w:lineRule="exact"/>
        <w:rPr>
          <w:sz w:val="20"/>
          <w:szCs w:val="20"/>
          <w:color w:val="auto"/>
        </w:rPr>
      </w:pPr>
    </w:p>
    <w:p>
      <w:pPr>
        <w:ind w:left="1300" w:hanging="40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184" w:lineRule="exact"/>
        <w:rPr>
          <w:rFonts w:ascii="Arial" w:cs="Arial" w:eastAsia="Arial" w:hAnsi="Arial"/>
          <w:sz w:val="18"/>
          <w:szCs w:val="18"/>
          <w:color w:val="auto"/>
        </w:rPr>
      </w:pPr>
    </w:p>
    <w:p>
      <w:pPr>
        <w:ind w:left="4340"/>
        <w:spacing w:after="0"/>
        <w:rPr>
          <w:rFonts w:ascii="Arial" w:cs="Arial" w:eastAsia="Arial" w:hAnsi="Arial"/>
          <w:sz w:val="18"/>
          <w:szCs w:val="18"/>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jc w:val="both"/>
        <w:ind w:left="1320" w:right="459" w:hanging="425"/>
        <w:spacing w:after="0" w:line="257" w:lineRule="auto"/>
        <w:tabs>
          <w:tab w:leader="none" w:pos="15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07" w:lineRule="exact"/>
        <w:rPr>
          <w:rFonts w:ascii="Arial" w:cs="Arial" w:eastAsia="Arial" w:hAnsi="Arial"/>
          <w:sz w:val="18"/>
          <w:szCs w:val="18"/>
          <w:color w:val="auto"/>
        </w:rPr>
      </w:pPr>
    </w:p>
    <w:p>
      <w:pPr>
        <w:jc w:val="both"/>
        <w:ind w:left="1320" w:right="459" w:hanging="425"/>
        <w:spacing w:after="0" w:line="279" w:lineRule="auto"/>
        <w:tabs>
          <w:tab w:leader="none" w:pos="1349"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ordinary shares shall result in a requirement for us, the selling shareholders or any underwriter to publish a prospectus pursuant to Article 3 of the Prospectus Directive or supplement a prospectus pursuant to Article 16 of the Prospectus Directive.</w:t>
      </w:r>
    </w:p>
    <w:p>
      <w:pPr>
        <w:spacing w:after="0" w:line="10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the selling shareholders and us that:</w:t>
      </w:r>
    </w:p>
    <w:p>
      <w:pPr>
        <w:spacing w:after="0" w:line="98" w:lineRule="exact"/>
        <w:rPr>
          <w:sz w:val="20"/>
          <w:szCs w:val="20"/>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a qualified investor as defined under the Prospectus Directive; and</w:t>
      </w:r>
    </w:p>
    <w:p>
      <w:pPr>
        <w:spacing w:after="0" w:line="144" w:lineRule="exact"/>
        <w:rPr>
          <w:rFonts w:ascii="Arial" w:cs="Arial" w:eastAsia="Arial" w:hAnsi="Arial"/>
          <w:sz w:val="18"/>
          <w:szCs w:val="18"/>
          <w:color w:val="auto"/>
        </w:rPr>
      </w:pPr>
    </w:p>
    <w:p>
      <w:pPr>
        <w:jc w:val="both"/>
        <w:ind w:left="1320" w:right="459" w:hanging="425"/>
        <w:spacing w:after="0" w:line="270" w:lineRule="auto"/>
        <w:tabs>
          <w:tab w:leader="none" w:pos="1363"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supplement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5" w:name="page76"/>
    <w:bookmarkEnd w:id="75"/>
    <w:p>
      <w:pPr>
        <w:ind w:left="1320" w:right="459" w:hanging="425"/>
        <w:spacing w:after="0" w:line="277" w:lineRule="auto"/>
        <w:tabs>
          <w:tab w:leader="none" w:pos="14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97"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0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www.kornit.com</w:t>
      </w:r>
      <w:r>
        <w:rPr>
          <w:rFonts w:ascii="Arial" w:cs="Arial" w:eastAsia="Arial" w:hAnsi="Arial"/>
          <w:sz w:val="16"/>
          <w:szCs w:val="16"/>
          <w:color w:val="auto"/>
        </w:rPr>
        <w:t>.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SEC allows us to “incorporate by reference” into this prospectus supplement and the accompanying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jc w:val="both"/>
        <w:ind w:left="460" w:right="459"/>
        <w:spacing w:after="0" w:line="293" w:lineRule="auto"/>
        <w:rPr>
          <w:sz w:val="20"/>
          <w:szCs w:val="20"/>
          <w:color w:val="auto"/>
        </w:rPr>
      </w:pPr>
      <w:r>
        <w:rPr>
          <w:rFonts w:ascii="Arial" w:cs="Arial" w:eastAsia="Arial" w:hAnsi="Arial"/>
          <w:sz w:val="16"/>
          <w:szCs w:val="16"/>
          <w:color w:val="auto"/>
        </w:rPr>
        <w:t>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later.</w:t>
      </w:r>
    </w:p>
    <w:p>
      <w:pPr>
        <w:spacing w:after="0" w:line="8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incorporate by reference into this prospectus supplement and the accompanying prospectus documents listed below and any future filings made with the SEC under Sections 13(a), 13(c), 14 or 15(d) of the Exchange Act, and, to the extent specifically designated therein, reports on Form 6-K we furnish to the SEC until we terminate the offering. : In addition, we will incorporate by reference certain future materials furnished to the SEC on Form 6-K, but only to the extent specifically indicated in those submissions or in a future prospectus supplement.</w:t>
      </w:r>
    </w:p>
    <w:p>
      <w:pPr>
        <w:spacing w:after="0" w:line="126" w:lineRule="exact"/>
        <w:rPr>
          <w:sz w:val="20"/>
          <w:szCs w:val="20"/>
          <w:color w:val="auto"/>
        </w:rPr>
      </w:pPr>
    </w:p>
    <w:p>
      <w:pPr>
        <w:ind w:left="1300" w:hanging="405"/>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filed with the SEC on:</w:t>
      </w:r>
    </w:p>
    <w:p>
      <w:pPr>
        <w:spacing w:after="0" w:line="144" w:lineRule="exact"/>
        <w:rPr>
          <w:rFonts w:ascii="Arial" w:cs="Arial" w:eastAsia="Arial" w:hAnsi="Arial"/>
          <w:sz w:val="18"/>
          <w:szCs w:val="18"/>
          <w:color w:val="auto"/>
        </w:rPr>
      </w:pPr>
    </w:p>
    <w:p>
      <w:pPr>
        <w:ind w:left="1760" w:right="459" w:hanging="432"/>
        <w:spacing w:after="0" w:line="30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May 6, 2016 (only the U.S. GAAP financial statements with respect to the quarter ended March 31, 2016 attached to the press release annexed as Exhibit 99.1 thereto);</w:t>
      </w:r>
    </w:p>
    <w:p>
      <w:pPr>
        <w:spacing w:after="0" w:line="79"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July 14, 2016;</w:t>
      </w:r>
    </w:p>
    <w:p>
      <w:pPr>
        <w:spacing w:after="0" w:line="157" w:lineRule="exact"/>
        <w:rPr>
          <w:rFonts w:ascii="Arial" w:cs="Arial" w:eastAsia="Arial" w:hAnsi="Arial"/>
          <w:sz w:val="18"/>
          <w:szCs w:val="18"/>
          <w:color w:val="auto"/>
        </w:rPr>
      </w:pPr>
    </w:p>
    <w:p>
      <w:pPr>
        <w:ind w:left="1760" w:right="459" w:hanging="432"/>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August 3, 2016 (only the U.S. GAAP financial statements with respect to the quarter and six months ended June 30, 2016 attached to the press release annexed as Exhibit 99.1 thereto);</w:t>
      </w:r>
    </w:p>
    <w:p>
      <w:pPr>
        <w:spacing w:after="0" w:line="42" w:lineRule="exact"/>
        <w:rPr>
          <w:rFonts w:ascii="Arial" w:cs="Arial" w:eastAsia="Arial" w:hAnsi="Arial"/>
          <w:sz w:val="18"/>
          <w:szCs w:val="18"/>
          <w:color w:val="auto"/>
        </w:rPr>
      </w:pPr>
    </w:p>
    <w:p>
      <w:pPr>
        <w:ind w:left="1760" w:right="459" w:hanging="432"/>
        <w:spacing w:after="0" w:line="264" w:lineRule="auto"/>
        <w:rPr>
          <w:rFonts w:ascii="Arial" w:cs="Arial" w:eastAsia="Arial" w:hAnsi="Arial"/>
          <w:sz w:val="18"/>
          <w:szCs w:val="18"/>
          <w:color w:val="auto"/>
        </w:rPr>
      </w:pPr>
      <w:r>
        <w:rPr>
          <w:rFonts w:ascii="Arial" w:cs="Arial" w:eastAsia="Arial" w:hAnsi="Arial"/>
          <w:sz w:val="18"/>
          <w:szCs w:val="18"/>
          <w:color w:val="auto"/>
        </w:rPr>
        <w:t>oNovember 9, 2016 (only the U.S. GAAP financial statements with respect to the quarter and nine months ended, September 30, 2016 attached to the press release appended as Exhibit 99.1 thereto); and</w:t>
      </w:r>
    </w:p>
    <w:p>
      <w:pPr>
        <w:spacing w:after="0" w:line="113" w:lineRule="exact"/>
        <w:rPr>
          <w:rFonts w:ascii="Arial" w:cs="Arial" w:eastAsia="Arial" w:hAnsi="Arial"/>
          <w:sz w:val="18"/>
          <w:szCs w:val="18"/>
          <w:color w:val="auto"/>
        </w:rPr>
      </w:pPr>
    </w:p>
    <w:p>
      <w:pPr>
        <w:ind w:left="1760" w:right="459" w:hanging="432"/>
        <w:spacing w:after="0" w:line="257" w:lineRule="auto"/>
        <w:rPr>
          <w:rFonts w:ascii="Arial" w:cs="Arial" w:eastAsia="Arial" w:hAnsi="Arial"/>
          <w:sz w:val="18"/>
          <w:szCs w:val="18"/>
          <w:color w:val="auto"/>
        </w:rPr>
      </w:pPr>
      <w:r>
        <w:rPr>
          <w:rFonts w:ascii="Arial" w:cs="Arial" w:eastAsia="Arial" w:hAnsi="Arial"/>
          <w:sz w:val="18"/>
          <w:szCs w:val="18"/>
          <w:color w:val="auto"/>
        </w:rPr>
        <w:t>oJanuary 3, 2017 (including our condensed interim consolidated financial statements as of September 30, 2016 and our Management’s Discussion and Analysis of Financial Condition and Results of Operations for the nine months ended September 30, 2016 appended as Exhibits 99.1 and 99.2 thereto, respectively) (in each case, solely to the extent filed and not furnished).</w:t>
      </w:r>
    </w:p>
    <w:p>
      <w:pPr>
        <w:spacing w:after="0" w:line="120" w:lineRule="exact"/>
        <w:rPr>
          <w:rFonts w:ascii="Arial" w:cs="Arial" w:eastAsia="Arial" w:hAnsi="Arial"/>
          <w:sz w:val="18"/>
          <w:szCs w:val="18"/>
          <w:color w:val="auto"/>
        </w:rPr>
      </w:pPr>
    </w:p>
    <w:p>
      <w:pPr>
        <w:jc w:val="both"/>
        <w:ind w:left="1320" w:right="459" w:hanging="425"/>
        <w:spacing w:after="0" w:line="259" w:lineRule="auto"/>
        <w:tabs>
          <w:tab w:leader="none" w:pos="16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Unless expressly incorporated by reference, nothing in this prospectus supplement and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jc w:val="both"/>
        <w:ind w:left="460" w:right="459"/>
        <w:spacing w:after="0" w:line="282" w:lineRule="auto"/>
        <w:rPr>
          <w:sz w:val="20"/>
          <w:szCs w:val="20"/>
          <w:color w:val="auto"/>
        </w:rPr>
      </w:pPr>
      <w:r>
        <w:rPr>
          <w:rFonts w:ascii="Arial" w:cs="Arial" w:eastAsia="Arial" w:hAnsi="Arial"/>
          <w:sz w:val="18"/>
          <w:szCs w:val="18"/>
          <w:color w:val="D80000"/>
        </w:rPr>
        <w:t>The information in this prospectus is not complete and may be changed. Neither we nor the selling shareholders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D80000"/>
        </w:rPr>
        <w:t>Subject to completion, dated January 3, 2017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PROSPECTUS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$100,000,000 of Ordinary Shares, Warrants, Rights, Debt Securities</w:t>
      </w:r>
    </w:p>
    <w:p>
      <w:pPr>
        <w:jc w:val="center"/>
        <w:spacing w:after="0" w:line="184" w:lineRule="auto"/>
        <w:rPr>
          <w:sz w:val="20"/>
          <w:szCs w:val="20"/>
          <w:color w:val="auto"/>
        </w:rPr>
      </w:pPr>
      <w:r>
        <w:rPr>
          <w:rFonts w:ascii="Arial" w:cs="Arial" w:eastAsia="Arial" w:hAnsi="Arial"/>
          <w:sz w:val="26"/>
          <w:szCs w:val="26"/>
          <w:color w:val="auto"/>
        </w:rPr>
        <w:t>and/or Units Offered by the Company</w:t>
      </w:r>
    </w:p>
    <w:p>
      <w:pPr>
        <w:jc w:val="center"/>
        <w:spacing w:after="0" w:line="184" w:lineRule="auto"/>
        <w:rPr>
          <w:sz w:val="20"/>
          <w:szCs w:val="20"/>
          <w:color w:val="auto"/>
        </w:rPr>
      </w:pPr>
      <w:r>
        <w:rPr>
          <w:rFonts w:ascii="Arial" w:cs="Arial" w:eastAsia="Arial" w:hAnsi="Arial"/>
          <w:sz w:val="26"/>
          <w:szCs w:val="26"/>
          <w:color w:val="auto"/>
        </w:rPr>
        <w:t>and</w:t>
      </w:r>
    </w:p>
    <w:p>
      <w:pPr>
        <w:jc w:val="center"/>
        <w:spacing w:after="0" w:line="184" w:lineRule="auto"/>
        <w:rPr>
          <w:sz w:val="20"/>
          <w:szCs w:val="20"/>
          <w:color w:val="auto"/>
        </w:rPr>
      </w:pPr>
      <w:r>
        <w:rPr>
          <w:rFonts w:ascii="Arial" w:cs="Arial" w:eastAsia="Arial" w:hAnsi="Arial"/>
          <w:sz w:val="26"/>
          <w:szCs w:val="26"/>
          <w:color w:val="auto"/>
        </w:rPr>
        <w:t>Up to 15,127,481 Ordinary Shares Offered by the Selling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53975</wp:posOffset>
            </wp:positionV>
            <wp:extent cx="2221230" cy="1372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154" w:lineRule="exact"/>
        <w:rPr>
          <w:sz w:val="20"/>
          <w:szCs w:val="20"/>
          <w:color w:val="auto"/>
        </w:rPr>
      </w:pPr>
    </w:p>
    <w:p>
      <w:pPr>
        <w:jc w:val="both"/>
        <w:ind w:left="460" w:right="459" w:firstLine="432"/>
        <w:spacing w:after="0" w:line="244" w:lineRule="auto"/>
        <w:rPr>
          <w:sz w:val="20"/>
          <w:szCs w:val="20"/>
          <w:color w:val="auto"/>
        </w:rPr>
      </w:pPr>
      <w:r>
        <w:rPr>
          <w:rFonts w:ascii="Arial" w:cs="Arial" w:eastAsia="Arial" w:hAnsi="Arial"/>
          <w:sz w:val="20"/>
          <w:szCs w:val="20"/>
          <w:color w:val="auto"/>
        </w:rPr>
        <w:t>We may offer from time to time in one or more series or issuances ordinary shares, warrants to purchase ordinary shares, rights, debt securities consisting of debentures, notes or other evidences of indebtedness and/or securities and units comprised of, or other combinations of, the foregoing securities. We refer to the ordinary shares, warrants, rights, debt securities and units collectively as “securities” in this prospectus.</w:t>
      </w:r>
    </w:p>
    <w:p>
      <w:pPr>
        <w:spacing w:after="0" w:line="87"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20"/>
          <w:szCs w:val="20"/>
          <w:color w:val="auto"/>
        </w:rPr>
        <w:t>In addition, the selling shareholders identified in this prospectus may offer up to 15,127,481 ordinary shares. We will not receive any of the proceeds from the sale of ordinary shares by the selling shareholders.</w:t>
      </w:r>
    </w:p>
    <w:p>
      <w:pPr>
        <w:spacing w:after="0" w:line="78" w:lineRule="exact"/>
        <w:rPr>
          <w:sz w:val="20"/>
          <w:szCs w:val="20"/>
          <w:color w:val="auto"/>
        </w:rPr>
      </w:pPr>
    </w:p>
    <w:p>
      <w:pPr>
        <w:jc w:val="both"/>
        <w:ind w:left="460" w:right="459" w:firstLine="432"/>
        <w:spacing w:after="0" w:line="246" w:lineRule="auto"/>
        <w:rPr>
          <w:sz w:val="20"/>
          <w:szCs w:val="20"/>
          <w:color w:val="auto"/>
        </w:rPr>
      </w:pPr>
      <w:r>
        <w:rPr>
          <w:rFonts w:ascii="Arial" w:cs="Arial" w:eastAsia="Arial" w:hAnsi="Arial"/>
          <w:sz w:val="20"/>
          <w:szCs w:val="20"/>
          <w:color w:val="auto"/>
        </w:rPr>
        <w:t>Each time we or the selling shareholders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9"/>
          <w:szCs w:val="19"/>
          <w:color w:val="auto"/>
        </w:rPr>
        <w:t>We may, from time to time, offer the securities and the selling shareholders may, from time to time, offer the ordinary shares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71" w:lineRule="exact"/>
        <w:rPr>
          <w:sz w:val="20"/>
          <w:szCs w:val="20"/>
          <w:color w:val="auto"/>
        </w:rPr>
      </w:pPr>
    </w:p>
    <w:p>
      <w:pPr>
        <w:jc w:val="both"/>
        <w:ind w:left="460" w:right="459" w:firstLine="432"/>
        <w:spacing w:after="0" w:line="245" w:lineRule="auto"/>
        <w:rPr>
          <w:sz w:val="20"/>
          <w:szCs w:val="20"/>
          <w:color w:val="auto"/>
        </w:rPr>
      </w:pPr>
      <w:r>
        <w:rPr>
          <w:rFonts w:ascii="Arial" w:cs="Arial" w:eastAsia="Arial" w:hAnsi="Arial"/>
          <w:sz w:val="20"/>
          <w:szCs w:val="20"/>
          <w:color w:val="auto"/>
        </w:rPr>
        <w:t>Our ordinary shares are traded on the NASDAQ Global Select Market under the symbol “KRNT.” The closing price of our ordinary shares, as reported on the NASDAQ Global Select Market on December 30, 2016 was $12.65.</w:t>
      </w:r>
    </w:p>
    <w:p>
      <w:pPr>
        <w:ind w:left="3580"/>
        <w:spacing w:after="0"/>
        <w:rPr>
          <w:sz w:val="20"/>
          <w:szCs w:val="20"/>
          <w:color w:val="auto"/>
        </w:rPr>
      </w:pPr>
      <w:r>
        <w:rPr>
          <w:rFonts w:ascii="Arial" w:cs="Arial" w:eastAsia="Arial" w:hAnsi="Arial"/>
          <w:sz w:val="20"/>
          <w:szCs w:val="20"/>
          <w:b w:val="1"/>
          <w:bCs w:val="1"/>
          <w:color w:val="auto"/>
        </w:rPr>
        <w:t>___________________</w:t>
      </w:r>
    </w:p>
    <w:p>
      <w:pPr>
        <w:spacing w:after="0" w:line="41" w:lineRule="exact"/>
        <w:rPr>
          <w:sz w:val="20"/>
          <w:szCs w:val="20"/>
          <w:color w:val="auto"/>
        </w:rPr>
      </w:pPr>
    </w:p>
    <w:p>
      <w:pPr>
        <w:jc w:val="both"/>
        <w:ind w:left="460" w:right="459" w:firstLine="432"/>
        <w:spacing w:after="0" w:line="226" w:lineRule="auto"/>
        <w:rPr>
          <w:sz w:val="20"/>
          <w:szCs w:val="20"/>
          <w:color w:val="auto"/>
        </w:rPr>
      </w:pPr>
      <w:r>
        <w:rPr>
          <w:rFonts w:ascii="Arial" w:cs="Arial" w:eastAsia="Arial" w:hAnsi="Arial"/>
          <w:sz w:val="22"/>
          <w:szCs w:val="22"/>
          <w:b w:val="1"/>
          <w:bCs w:val="1"/>
          <w:color w:val="auto"/>
        </w:rPr>
        <w:t>We are an “emerging growth company” as defined under U.S. federal securities laws and, as such, may elect to comply with certain reduced public company reporting requirements.</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___________________</w:t>
      </w:r>
    </w:p>
    <w:p>
      <w:pPr>
        <w:spacing w:after="0" w:line="41"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22"/>
          <w:szCs w:val="22"/>
          <w:b w:val="1"/>
          <w:bCs w:val="1"/>
          <w:color w:val="auto"/>
        </w:rPr>
        <w:t>Investing in these securities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securities.</w:t>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___________________</w:t>
      </w:r>
    </w:p>
    <w:p>
      <w:pPr>
        <w:spacing w:after="0" w:line="54" w:lineRule="exact"/>
        <w:rPr>
          <w:sz w:val="20"/>
          <w:szCs w:val="20"/>
          <w:color w:val="auto"/>
        </w:rPr>
      </w:pPr>
    </w:p>
    <w:p>
      <w:pPr>
        <w:jc w:val="both"/>
        <w:ind w:left="460" w:right="459" w:firstLine="432"/>
        <w:spacing w:after="0" w:line="224"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1" w:lineRule="exact"/>
        <w:rPr>
          <w:sz w:val="20"/>
          <w:szCs w:val="20"/>
          <w:color w:val="auto"/>
        </w:rPr>
      </w:pPr>
    </w:p>
    <w:tbl>
      <w:tblPr>
        <w:tblLayout w:type="fixed"/>
        <w:tblInd w:w="2600" w:type="dxa"/>
        <w:tblCellMar>
          <w:top w:w="0" w:type="dxa"/>
          <w:left w:w="0" w:type="dxa"/>
          <w:bottom w:w="0" w:type="dxa"/>
          <w:right w:w="0" w:type="dxa"/>
        </w:tblCellMar>
      </w:tblPr>
      <w:tr>
        <w:trPr>
          <w:trHeight w:val="256"/>
        </w:trPr>
        <w:tc>
          <w:tcPr>
            <w:tcW w:w="3100" w:type="dxa"/>
            <w:vAlign w:val="bottom"/>
          </w:tcPr>
          <w:p>
            <w:pPr>
              <w:jc w:val="right"/>
              <w:ind w:right="141"/>
              <w:spacing w:after="0"/>
              <w:rPr>
                <w:sz w:val="20"/>
                <w:szCs w:val="20"/>
                <w:color w:val="auto"/>
              </w:rPr>
            </w:pPr>
            <w:r>
              <w:rPr>
                <w:rFonts w:ascii="Arial" w:cs="Arial" w:eastAsia="Arial" w:hAnsi="Arial"/>
                <w:sz w:val="20"/>
                <w:szCs w:val="20"/>
                <w:b w:val="1"/>
                <w:bCs w:val="1"/>
                <w:color w:val="auto"/>
              </w:rPr>
              <w:t>___________________</w:t>
            </w:r>
          </w:p>
        </w:tc>
        <w:tc>
          <w:tcPr>
            <w:tcW w:w="740" w:type="dxa"/>
            <w:vAlign w:val="bottom"/>
          </w:tcPr>
          <w:p>
            <w:pPr>
              <w:spacing w:after="0"/>
              <w:rPr>
                <w:sz w:val="22"/>
                <w:szCs w:val="22"/>
                <w:color w:val="auto"/>
              </w:rPr>
            </w:pPr>
          </w:p>
        </w:tc>
      </w:tr>
      <w:tr>
        <w:trPr>
          <w:trHeight w:val="343"/>
        </w:trPr>
        <w:tc>
          <w:tcPr>
            <w:tcW w:w="3100" w:type="dxa"/>
            <w:vAlign w:val="bottom"/>
          </w:tcPr>
          <w:p>
            <w:pPr>
              <w:jc w:val="right"/>
              <w:ind w:right="701"/>
              <w:spacing w:after="0"/>
              <w:rPr>
                <w:sz w:val="20"/>
                <w:szCs w:val="20"/>
                <w:color w:val="auto"/>
              </w:rPr>
            </w:pPr>
            <w:r>
              <w:rPr>
                <w:rFonts w:ascii="Arial" w:cs="Arial" w:eastAsia="Arial" w:hAnsi="Arial"/>
                <w:sz w:val="20"/>
                <w:szCs w:val="20"/>
                <w:color w:val="auto"/>
                <w:w w:val="87"/>
              </w:rPr>
              <w:t>The date of this prospectus is</w:t>
            </w:r>
          </w:p>
        </w:tc>
        <w:tc>
          <w:tcPr>
            <w:tcW w:w="740" w:type="dxa"/>
            <w:vAlign w:val="bottom"/>
          </w:tcPr>
          <w:p>
            <w:pPr>
              <w:jc w:val="right"/>
              <w:spacing w:after="0"/>
              <w:rPr>
                <w:sz w:val="20"/>
                <w:szCs w:val="20"/>
                <w:color w:val="auto"/>
              </w:rPr>
            </w:pPr>
            <w:r>
              <w:rPr>
                <w:rFonts w:ascii="Arial" w:cs="Arial" w:eastAsia="Arial" w:hAnsi="Arial"/>
                <w:sz w:val="20"/>
                <w:szCs w:val="20"/>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254635</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1" w:right="1440" w:bottom="545" w:gutter="0" w:footer="0" w:header="0"/>
        </w:sectPr>
      </w:pPr>
    </w:p>
    <w:bookmarkStart w:id="78" w:name="page79"/>
    <w:bookmarkEnd w:id="78"/>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Kornit Digital Ltd.</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Selling Shareholders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Description of Rights</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Description of Units</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Experts</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18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process, we may offer and sell our securities under this prospectus and the selling shareholders referred to in this prospectus and identified in supplements to this prospectus may also offer and sell our ordinary shares under this prospectus.</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this shelf process, we may sell the securities described in this prospectus in one or more offerings up to a total price to the public of $100 million. The selling shareholders may sell up to 15,127,481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10541-10601 North Commerce Street, Mequon, Wisconsin 53092, and its telephone number is (262) 518-0200.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An investment in our securities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under the caption “Risk Factors” in our annual report on Form 20-F for the year ended December 31, 2015 and in any other filings we make with the SEC subsequent to the date of this prospectus which are incorporated herein by reference, and in any supplement to this prospectus, before making your investment decision.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sell from time to time pursuant to this prospectus (as may be detailed in a prospectus supplement) an indeterminate number of ordinary shares, warrants to purchase ordinary shares, rights and/or units comprised of any of the foregoing securities as shall have a maximum aggregate offering price of $100 million. The selling shareholders may sell from time to time pursuant to this prospectus up to 15,127,481 ordinary shares. The actual price per share or per security of the securities that we or the selling shareholders will offer pursuant hereto will depend on a number of factors that may be relevant as of the time of offer. See “Plan of Distribution.”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following table sets forth our ratio of earnings to fixed charges for the periods indicated. The ratio of earnings to fixed charges is computed by dividing fixed charges into earnings before income taxes plus fixed charges.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Nine Months</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w w:val="95"/>
              </w:rPr>
              <w:t>Year Ended December 31,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2012</w:t>
            </w:r>
          </w:p>
        </w:tc>
        <w:tc>
          <w:tcPr>
            <w:tcW w:w="96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2013</w:t>
            </w:r>
          </w:p>
        </w:tc>
        <w:tc>
          <w:tcPr>
            <w:tcW w:w="92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6"/>
                <w:szCs w:val="16"/>
                <w:b w:val="1"/>
                <w:bCs w:val="1"/>
                <w:color w:val="auto"/>
              </w:rPr>
              <w:t>2015</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1"/>
                <w:szCs w:val="21"/>
                <w:color w:val="auto"/>
                <w:vertAlign w:val="superscript"/>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ind w:left="920" w:hanging="458"/>
        <w:spacing w:after="0"/>
        <w:tabs>
          <w:tab w:leader="none" w:pos="9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ratio of earnings to fixed charges is computed by dividing (i) income before income taxes plus fixed charges by</w:t>
      </w:r>
    </w:p>
    <w:p>
      <w:pPr>
        <w:spacing w:after="0" w:line="30" w:lineRule="exact"/>
        <w:rPr>
          <w:rFonts w:ascii="Arial" w:cs="Arial" w:eastAsia="Arial" w:hAnsi="Arial"/>
          <w:sz w:val="15"/>
          <w:szCs w:val="15"/>
          <w:color w:val="auto"/>
        </w:rPr>
      </w:pPr>
    </w:p>
    <w:p>
      <w:pPr>
        <w:jc w:val="both"/>
        <w:ind w:left="900" w:right="459" w:hanging="5"/>
        <w:spacing w:after="0" w:line="276" w:lineRule="auto"/>
        <w:tabs>
          <w:tab w:leader="none" w:pos="1149" w:val="left"/>
        </w:tabs>
        <w:numPr>
          <w:ilvl w:val="1"/>
          <w:numId w:val="58"/>
        </w:numPr>
        <w:rPr>
          <w:rFonts w:ascii="Arial" w:cs="Arial" w:eastAsia="Arial" w:hAnsi="Arial"/>
          <w:sz w:val="16"/>
          <w:szCs w:val="16"/>
          <w:color w:val="auto"/>
        </w:rPr>
      </w:pPr>
      <w:r>
        <w:rPr>
          <w:rFonts w:ascii="Arial" w:cs="Arial" w:eastAsia="Arial" w:hAnsi="Arial"/>
          <w:sz w:val="16"/>
          <w:szCs w:val="16"/>
          <w:color w:val="auto"/>
        </w:rPr>
        <w:t>fixed charges. Fixed charges include the portion of rental expense that management believes is representative of the interest component and amortization of premium. See Exhibit 12.1 of the Registration Statement on Form F-3, of which this prospectus is a part.</w:t>
      </w:r>
    </w:p>
    <w:p>
      <w:pPr>
        <w:spacing w:after="0" w:line="11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As of the date of this prospectus, we have no preferred shares outstanding and have neither declared nor paid any dividends on preferred shares for the periods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Our capitalization will be set forth in a prospectus supplement to this prospectus or in a report of a foreign private issuer on Form 6-K subsequently furnished to the SEC and specifically incorporated herein by 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20" w:type="dxa"/>
            <w:vAlign w:val="bottom"/>
            <w:gridSpan w:val="3"/>
          </w:tcPr>
          <w:p>
            <w:pPr>
              <w:jc w:val="right"/>
              <w:ind w:right="471"/>
              <w:spacing w:after="0"/>
              <w:rPr>
                <w:sz w:val="20"/>
                <w:szCs w:val="20"/>
                <w:color w:val="auto"/>
              </w:rPr>
            </w:pPr>
            <w:r>
              <w:rPr>
                <w:rFonts w:ascii="Arial" w:cs="Arial" w:eastAsia="Arial" w:hAnsi="Arial"/>
                <w:sz w:val="16"/>
                <w:szCs w:val="16"/>
                <w:color w:val="auto"/>
              </w:rPr>
              <w:t>(in U.S. dollars)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Third Quarter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First Quarter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Third Quarter 2015</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2016 (through December 30,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November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September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July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June 2016</w:t>
            </w: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-3249295</wp:posOffset>
            </wp:positionV>
            <wp:extent cx="144081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0815" cy="154305"/>
                    </a:xfrm>
                    <a:prstGeom prst="rect">
                      <a:avLst/>
                    </a:prstGeom>
                    <a:noFill/>
                  </pic:spPr>
                </pic:pic>
              </a:graphicData>
            </a:graphic>
          </wp:anchor>
        </w:drawing>
      </w:r>
    </w:p>
    <w:p>
      <w:pPr>
        <w:spacing w:after="0" w:line="155" w:lineRule="exact"/>
        <w:rPr>
          <w:sz w:val="20"/>
          <w:szCs w:val="20"/>
          <w:color w:val="auto"/>
        </w:rPr>
      </w:pPr>
    </w:p>
    <w:p>
      <w:pPr>
        <w:jc w:val="center"/>
        <w:ind w:left="2080" w:right="260"/>
        <w:spacing w:after="0" w:line="481" w:lineRule="auto"/>
        <w:rPr>
          <w:sz w:val="20"/>
          <w:szCs w:val="20"/>
          <w:color w:val="auto"/>
        </w:rPr>
      </w:pPr>
      <w:r>
        <w:rPr>
          <w:rFonts w:ascii="Arial" w:cs="Arial" w:eastAsia="Arial" w:hAnsi="Arial"/>
          <w:sz w:val="18"/>
          <w:szCs w:val="18"/>
          <w:color w:val="auto"/>
        </w:rPr>
        <w:t>The closing price of our ordinary shares, as reported on NASDAQ on December 30, 2016, was $12.65.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-131445</wp:posOffset>
            </wp:positionV>
            <wp:extent cx="51454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will not receive any proceeds from the sale of ordinary shares by the selling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In addition to the securities that may be offered by us from time to time, this prospectus relates to the possible offering and sale, from time to time, of up to 15,127,481 ordinary shares by the selling shareholders.</w:t>
      </w:r>
    </w:p>
    <w:p>
      <w:pPr>
        <w:spacing w:after="0" w:line="5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table sets forth: (1) the number and percentage of our ordinary shares that each selling shareholder beneficially owned prior to the offering of the shares; (2) the number of our ordinary shares offered by each selling shareholder from time to time; and (3) the number and percentage of our ordinary shares to be beneficially owned by each selling shareholder assuming the sale of all of the ordinary shares offered by such selling shareholder. The applicable percentages of beneficial ownership are based on an aggregate of 30,989,873 ordinary shares outstanding as of December 31, 2016.</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Shares Beneficially Owned</w:t>
            </w:r>
          </w:p>
        </w:tc>
        <w:tc>
          <w:tcPr>
            <w:tcW w:w="120" w:type="dxa"/>
            <w:vAlign w:val="bottom"/>
          </w:tcPr>
          <w:p>
            <w:pPr>
              <w:spacing w:after="0"/>
              <w:rPr>
                <w:sz w:val="17"/>
                <w:szCs w:val="17"/>
                <w:color w:val="auto"/>
              </w:rPr>
            </w:pPr>
          </w:p>
        </w:tc>
        <w:tc>
          <w:tcPr>
            <w:tcW w:w="18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5"/>
              </w:rPr>
              <w:t>Number of Shares to be</w:t>
            </w:r>
          </w:p>
        </w:tc>
        <w:tc>
          <w:tcPr>
            <w:tcW w:w="1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Prior to Offering</w:t>
            </w:r>
          </w:p>
        </w:tc>
        <w:tc>
          <w:tcPr>
            <w:tcW w:w="12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Offered</w:t>
            </w:r>
          </w:p>
        </w:tc>
        <w:tc>
          <w:tcPr>
            <w:tcW w:w="12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6"/>
                <w:szCs w:val="16"/>
                <w:b w:val="1"/>
                <w:bCs w:val="1"/>
                <w:color w:val="auto"/>
              </w:rPr>
              <w:t>After Offering</w:t>
            </w:r>
          </w:p>
        </w:tc>
      </w:tr>
      <w:tr>
        <w:trPr>
          <w:trHeight w:val="220"/>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Selling Shareholders</w:t>
            </w:r>
          </w:p>
        </w:tc>
        <w:tc>
          <w:tcPr>
            <w:tcW w:w="880" w:type="dxa"/>
            <w:vAlign w:val="bottom"/>
          </w:tcPr>
          <w:p>
            <w:pPr>
              <w:jc w:val="right"/>
              <w:ind w:right="75"/>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Arial" w:cs="Arial" w:eastAsia="Arial" w:hAnsi="Arial"/>
                <w:sz w:val="16"/>
                <w:szCs w:val="16"/>
                <w:b w:val="1"/>
                <w:bCs w:val="1"/>
                <w:color w:val="auto"/>
              </w:rPr>
              <w:t>Percent</w:t>
            </w:r>
          </w:p>
        </w:tc>
      </w:tr>
      <w:tr>
        <w:trPr>
          <w:trHeight w:val="201"/>
        </w:trPr>
        <w:tc>
          <w:tcPr>
            <w:tcW w:w="2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Fortissimo Capital Fund II</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71"/>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(Israel), L.P.</w:t>
            </w:r>
            <w:r>
              <w:rPr>
                <w:rFonts w:ascii="Arial" w:cs="Arial" w:eastAsia="Arial" w:hAnsi="Arial"/>
                <w:sz w:val="21"/>
                <w:szCs w:val="2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15,037,481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15,037,481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7"/>
        </w:trPr>
        <w:tc>
          <w:tcPr>
            <w:tcW w:w="2260" w:type="dxa"/>
            <w:vAlign w:val="bottom"/>
            <w:gridSpan w:val="2"/>
          </w:tcPr>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21"/>
                <w:szCs w:val="21"/>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528,914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438,914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jc w:val="both"/>
        <w:ind w:left="900" w:right="459" w:hanging="438"/>
        <w:spacing w:after="0" w:line="281" w:lineRule="auto"/>
        <w:tabs>
          <w:tab w:leader="none" w:pos="938"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4" w:lineRule="exact"/>
        <w:rPr>
          <w:rFonts w:ascii="Arial" w:cs="Arial" w:eastAsia="Arial" w:hAnsi="Arial"/>
          <w:sz w:val="15"/>
          <w:szCs w:val="15"/>
          <w:color w:val="auto"/>
        </w:rPr>
      </w:pPr>
    </w:p>
    <w:p>
      <w:pPr>
        <w:jc w:val="both"/>
        <w:ind w:left="900" w:right="459" w:hanging="438"/>
        <w:spacing w:after="0" w:line="254" w:lineRule="auto"/>
        <w:tabs>
          <w:tab w:leader="none" w:pos="97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36,357 ordinary shares and options to purchase 492,557 ordinary shares exercisable within 60 days of January 3, 2017. As of January 3, 2017, Mr. Seligsohn also holds additional options to purchase 398,435 ordinary shares that are not exercisable within 60 days of January 3, 2017. Mr. Seligsohn’s address is c/o Kornit Digital Ltd., 12 Ha’Amal Street, Rosh Ha’Ayin 4809246, Israel.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9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rights and/or units comprising any combination of these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and incorporated by reference herein.</w:t>
      </w:r>
    </w:p>
    <w:p>
      <w:pPr>
        <w:spacing w:after="0" w:line="11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or our articles and the Israeli Companies Law, are summaries and do not purport to be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authorized share capital consists of 200,000,000 ordinary shares, par value NIS 0.01 per share, of which 30,989,873 shares were issued and outstanding as of December 31, 2016. As of December 31, 2016, no preferred shares were authorized under our articles of association.</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is to engage in any lawful activity.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of Shares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10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our articles of association, our board of directors must consist of not less than five but no more than nine directors, including two external directors 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4" w:name="page85"/>
    <w:bookmarkEnd w:id="84"/>
    <w:p>
      <w:pPr>
        <w:jc w:val="both"/>
        <w:ind w:left="460" w:right="459"/>
        <w:spacing w:after="0" w:line="255" w:lineRule="auto"/>
        <w:rPr>
          <w:sz w:val="20"/>
          <w:szCs w:val="20"/>
          <w:color w:val="auto"/>
        </w:rPr>
      </w:pPr>
      <w:r>
        <w:rPr>
          <w:rFonts w:ascii="Arial" w:cs="Arial" w:eastAsia="Arial" w:hAnsi="Arial"/>
          <w:sz w:val="18"/>
          <w:szCs w:val="18"/>
          <w:color w:val="auto"/>
        </w:rPr>
        <w:t>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and Liquidation Rights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0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Controls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Meetings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07" w:lineRule="exact"/>
        <w:rPr>
          <w:sz w:val="20"/>
          <w:szCs w:val="20"/>
          <w:color w:val="auto"/>
        </w:rPr>
      </w:pPr>
    </w:p>
    <w:p>
      <w:pPr>
        <w:ind w:left="1300" w:hanging="40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57" w:lineRule="exact"/>
        <w:rPr>
          <w:rFonts w:ascii="Arial" w:cs="Arial" w:eastAsia="Arial" w:hAnsi="Arial"/>
          <w:sz w:val="18"/>
          <w:szCs w:val="18"/>
          <w:color w:val="auto"/>
        </w:rPr>
      </w:pPr>
    </w:p>
    <w:p>
      <w:pPr>
        <w:ind w:left="4460" w:right="3779" w:hanging="3565"/>
        <w:spacing w:after="0" w:line="481" w:lineRule="auto"/>
        <w:tabs>
          <w:tab w:leader="none" w:pos="12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-131445</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1300" w:hanging="405"/>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44" w:lineRule="exact"/>
        <w:rPr>
          <w:rFonts w:ascii="Arial" w:cs="Arial" w:eastAsia="Arial" w:hAnsi="Arial"/>
          <w:sz w:val="18"/>
          <w:szCs w:val="18"/>
          <w:color w:val="auto"/>
        </w:rPr>
      </w:pPr>
    </w:p>
    <w:p>
      <w:pPr>
        <w:jc w:val="both"/>
        <w:ind w:left="1320" w:right="459" w:hanging="425"/>
        <w:spacing w:after="0" w:line="264" w:lineRule="auto"/>
        <w:tabs>
          <w:tab w:leader="none" w:pos="14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2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Israeli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9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Under the Israeli Companies Law and under our articles, shareholders are not permitted to take action by way of written consent in lieu of a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3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Israeli Companies Law or by our articles. Under the Israeli Companies Law, each of</w:t>
      </w:r>
    </w:p>
    <w:p>
      <w:pPr>
        <w:jc w:val="both"/>
        <w:ind w:left="460" w:right="459" w:firstLine="2"/>
        <w:spacing w:after="0" w:line="268" w:lineRule="auto"/>
        <w:tabs>
          <w:tab w:leader="none" w:pos="68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approval of an extraordinary transaction with a controlling shareholder, (ii) the terms of employment or other engagement of the controlling shareholder of the company or such controlling shareholder’s relative (even if such terms are not extraordinary) and (iii) approval of certain compensation-related matters requires the approval of special majorities by shareholders.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sz w:val="20"/>
          <w:szCs w:val="20"/>
          <w:color w:val="auto"/>
        </w:rPr>
      </w:pPr>
      <w:r>
        <w:rPr>
          <w:rFonts w:ascii="Arial" w:cs="Arial" w:eastAsia="Arial" w:hAnsi="Arial"/>
          <w:sz w:val="18"/>
          <w:szCs w:val="18"/>
          <w:b w:val="1"/>
          <w:bCs w:val="1"/>
          <w:color w:val="auto"/>
        </w:rPr>
        <w:t>Access to Corporate Records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the Israeli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Demand Registration Rights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At any time, Fortissimo Capital Fund II (Israel), L.P., or Fortissimo Capital, which owns 48.5% of our outstanding shares as of the date of this prospectus,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Piggyback Registration Rights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Shelf Registration Rights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Provisions</w:t>
      </w:r>
    </w:p>
    <w:p>
      <w:pPr>
        <w:spacing w:after="0" w:line="158"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7" w:name="page88"/>
    <w:bookmarkEnd w:id="87"/>
    <w:p>
      <w:pPr>
        <w:jc w:val="both"/>
        <w:ind w:left="460" w:right="459" w:firstLine="432"/>
        <w:spacing w:after="0" w:line="264"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Full Tender Offer</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1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Tender Offer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2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sz w:val="20"/>
          <w:szCs w:val="20"/>
          <w:color w:val="auto"/>
        </w:rPr>
      </w:pPr>
      <w:r>
        <w:rPr>
          <w:rFonts w:ascii="Arial" w:cs="Arial" w:eastAsia="Arial" w:hAnsi="Arial"/>
          <w:sz w:val="18"/>
          <w:szCs w:val="18"/>
          <w:i w:val="1"/>
          <w:iCs w:val="1"/>
          <w:color w:val="auto"/>
        </w:rPr>
        <w:t>Merger</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Borrowing Powers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issue warrants to purchase our ordinary shares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8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103" w:lineRule="exact"/>
        <w:rPr>
          <w:sz w:val="20"/>
          <w:szCs w:val="20"/>
          <w:color w:val="auto"/>
        </w:rPr>
      </w:pPr>
    </w:p>
    <w:p>
      <w:pPr>
        <w:ind w:left="1300" w:hanging="40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upon exercise of such warrants may be purchased;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designation, amount and terms of the securities purchasable upon exercise of such warrants;</w:t>
      </w:r>
    </w:p>
    <w:p>
      <w:pPr>
        <w:spacing w:after="0" w:line="167" w:lineRule="exact"/>
        <w:rPr>
          <w:rFonts w:ascii="Arial" w:cs="Arial" w:eastAsia="Arial" w:hAnsi="Arial"/>
          <w:sz w:val="16"/>
          <w:szCs w:val="16"/>
          <w:color w:val="auto"/>
        </w:rPr>
      </w:pPr>
    </w:p>
    <w:p>
      <w:pPr>
        <w:ind w:left="1320" w:right="459" w:hanging="425"/>
        <w:spacing w:after="0" w:line="277" w:lineRule="auto"/>
        <w:tabs>
          <w:tab w:leader="none" w:pos="13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any material Israeli and U.S. federal income tax considerations;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 and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may issue subscription rights to purchase our ordinary shares. Rights may be issued independently or together with any other offered security and may or may not be transferable by the person purchasing or receiving the rights.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8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103" w:lineRule="exact"/>
        <w:rPr>
          <w:sz w:val="20"/>
          <w:szCs w:val="20"/>
          <w:color w:val="auto"/>
        </w:rPr>
      </w:pPr>
    </w:p>
    <w:p>
      <w:pPr>
        <w:ind w:left="1300" w:hanging="405"/>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the material Israeli and U.S. income tax considerations applicable to the issuance or exercise of such rights;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right to exercise such rights shall commence, and the date on which such rights shall expire (subject to any extension);</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34"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applicable, the material terms of any standby underwriting or other purchase arrangement, or any agency agreement, that we may enter into in connection with the rights offering; and</w:t>
      </w:r>
    </w:p>
    <w:p>
      <w:pPr>
        <w:spacing w:after="0" w:line="65" w:lineRule="exact"/>
        <w:rPr>
          <w:rFonts w:ascii="Arial" w:cs="Arial" w:eastAsia="Arial" w:hAnsi="Arial"/>
          <w:sz w:val="17"/>
          <w:szCs w:val="17"/>
          <w:color w:val="auto"/>
        </w:rPr>
      </w:pPr>
    </w:p>
    <w:p>
      <w:pPr>
        <w:ind w:left="1320" w:right="459" w:hanging="425"/>
        <w:spacing w:after="0" w:line="277" w:lineRule="auto"/>
        <w:tabs>
          <w:tab w:leader="none" w:pos="13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terms of such rights, including terms, procedures and limitations relating to the exchange and exercise of such rights.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Rights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right will entitle the holder of the right to purchase for cash such number of ordinary shares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may issue debt securities together with other securities or separately, as described in the applicable prospectus supplement, under an indenture to be entered into between Kornit Digital Ltd.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1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03" w:lineRule="exact"/>
        <w:rPr>
          <w:sz w:val="20"/>
          <w:szCs w:val="20"/>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8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5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denominations in which such debt securities may be issuable, if other than denomination of $1,000, or any integral multiple of that number;</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debt securities or global debt securities;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89" w:lineRule="exact"/>
        <w:rPr>
          <w:rFonts w:ascii="Arial" w:cs="Arial" w:eastAsia="Arial" w:hAnsi="Arial"/>
          <w:sz w:val="18"/>
          <w:szCs w:val="18"/>
          <w:color w:val="auto"/>
        </w:rPr>
      </w:pPr>
    </w:p>
    <w:p>
      <w:pPr>
        <w:jc w:val="both"/>
        <w:ind w:left="1320" w:right="459" w:hanging="425"/>
        <w:spacing w:after="0" w:line="286" w:lineRule="auto"/>
        <w:tabs>
          <w:tab w:leader="none" w:pos="1302"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97" w:lineRule="exact"/>
        <w:rPr>
          <w:rFonts w:ascii="Arial" w:cs="Arial" w:eastAsia="Arial" w:hAnsi="Arial"/>
          <w:sz w:val="17"/>
          <w:szCs w:val="17"/>
          <w:color w:val="auto"/>
        </w:rPr>
      </w:pPr>
    </w:p>
    <w:p>
      <w:pPr>
        <w:jc w:val="both"/>
        <w:ind w:left="1320" w:right="459" w:hanging="425"/>
        <w:spacing w:after="0" w:line="259" w:lineRule="auto"/>
        <w:tabs>
          <w:tab w:leader="none" w:pos="13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05"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ordinary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ind w:left="1320" w:right="459" w:hanging="425"/>
        <w:spacing w:after="0" w:line="277" w:lineRule="auto"/>
        <w:tabs>
          <w:tab w:leader="none" w:pos="13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other indebtedness of Kornit Digital Ltd.</w:t>
      </w:r>
    </w:p>
    <w:p>
      <w:pPr>
        <w:spacing w:after="0" w:line="103"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8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0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As specified in the applicable prospectus supplement, we may issue units consisting of our ordinary shares, warrants, rights, debt securities and/or any combination of such securities. The applicable prospectus supplement will describe:</w:t>
      </w:r>
    </w:p>
    <w:p>
      <w:pPr>
        <w:spacing w:after="0" w:line="100" w:lineRule="exact"/>
        <w:rPr>
          <w:sz w:val="20"/>
          <w:szCs w:val="20"/>
          <w:color w:val="auto"/>
        </w:rPr>
      </w:pPr>
    </w:p>
    <w:p>
      <w:pPr>
        <w:jc w:val="both"/>
        <w:ind w:left="1320" w:right="459" w:hanging="425"/>
        <w:spacing w:after="0" w:line="264" w:lineRule="auto"/>
        <w:tabs>
          <w:tab w:leader="none" w:pos="13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warrants, rights and/or debt securities comprising the units, including whether and under what circumstances the securities comprising the units may be traded separately;</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4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or any arrangement with an agent that may act on our behalf in connection with the unit offering; and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description of the provisions for the payment, settlement, transfer or exchange of the units.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We or the selling shareholders may sell the securities included in this prospectus from time to time in one or more transactions, including without limitation:</w:t>
      </w:r>
    </w:p>
    <w:p>
      <w:pPr>
        <w:spacing w:after="0" w:line="89" w:lineRule="exact"/>
        <w:rPr>
          <w:sz w:val="20"/>
          <w:szCs w:val="20"/>
          <w:color w:val="auto"/>
        </w:rPr>
      </w:pPr>
    </w:p>
    <w:p>
      <w:pPr>
        <w:ind w:left="1300" w:hanging="40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or through one or more underwriters on a firm commitment or agency basis;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the securities;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on a negotiated basis or otherwise;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or</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0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8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25"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ectPr>
          <w:pgSz w:w="11900" w:h="16838" w:orient="portrait"/>
          <w:cols w:equalWidth="0" w:num="1">
            <w:col w:w="9019"/>
          </w:cols>
          <w:pgMar w:left="1440" w:top="337"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5" w:name="page96"/>
    <w:bookmarkEnd w:id="95"/>
    <w:p>
      <w:pPr>
        <w:jc w:val="both"/>
        <w:ind w:left="460" w:right="459" w:firstLine="432"/>
        <w:spacing w:after="0" w:line="259" w:lineRule="auto"/>
        <w:rPr>
          <w:sz w:val="20"/>
          <w:szCs w:val="20"/>
          <w:color w:val="auto"/>
        </w:rPr>
      </w:pPr>
      <w:r>
        <w:rPr>
          <w:rFonts w:ascii="Arial" w:cs="Arial" w:eastAsia="Arial" w:hAnsi="Arial"/>
          <w:sz w:val="18"/>
          <w:szCs w:val="18"/>
          <w:color w:val="auto"/>
        </w:rPr>
        <w:t>If a dealer is used in the sale of the securities, we,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2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Agents, underwriters and dealers may be entitled under agreements which may be entered into with us or the selling shareholders to indemnification by us against specified liabilities, including liabilities incurred under the Securities Act, or to contribution by us or the selling shareholders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97"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05" w:lineRule="exact"/>
        <w:rPr>
          <w:sz w:val="20"/>
          <w:szCs w:val="20"/>
          <w:color w:val="auto"/>
        </w:rPr>
      </w:pPr>
    </w:p>
    <w:p>
      <w:pPr>
        <w:ind w:left="1320" w:right="459" w:hanging="425"/>
        <w:spacing w:after="0" w:line="277" w:lineRule="auto"/>
        <w:tabs>
          <w:tab w:leader="none" w:pos="13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102" w:lineRule="exact"/>
        <w:rPr>
          <w:rFonts w:ascii="Arial" w:cs="Arial" w:eastAsia="Arial" w:hAnsi="Arial"/>
          <w:sz w:val="18"/>
          <w:szCs w:val="18"/>
          <w:color w:val="auto"/>
        </w:rPr>
      </w:pPr>
    </w:p>
    <w:p>
      <w:pPr>
        <w:jc w:val="both"/>
        <w:ind w:left="1320" w:right="459" w:hanging="425"/>
        <w:spacing w:after="0" w:line="264" w:lineRule="auto"/>
        <w:tabs>
          <w:tab w:leader="none" w:pos="15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00" w:lineRule="exact"/>
        <w:rPr>
          <w:rFonts w:ascii="Arial" w:cs="Arial" w:eastAsia="Arial" w:hAnsi="Arial"/>
          <w:sz w:val="18"/>
          <w:szCs w:val="18"/>
          <w:color w:val="auto"/>
        </w:rPr>
      </w:pPr>
    </w:p>
    <w:p>
      <w:pPr>
        <w:jc w:val="both"/>
        <w:ind w:left="1320" w:right="459" w:hanging="425"/>
        <w:spacing w:after="0" w:line="312" w:lineRule="auto"/>
        <w:tabs>
          <w:tab w:leader="none" w:pos="1444"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These transactions may be effected on an exchange, if the securities are listed on that exchange, or in the over-the-counter market or otherwise.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8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2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addition, ordinary shares may be issued upon conversion of or in exchange for debt securities or other securities.</w:t>
      </w:r>
    </w:p>
    <w:p>
      <w:pPr>
        <w:spacing w:after="0" w:line="10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Any underwriters to whom offered securities are sold for public offering and sale may make a market in such offered securities, but such underwriters will not be obligated to do so and may discontinue any market making at 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jc w:val="both"/>
        <w:ind w:left="460" w:right="459"/>
        <w:spacing w:after="0" w:line="277" w:lineRule="auto"/>
        <w:rPr>
          <w:sz w:val="20"/>
          <w:szCs w:val="20"/>
          <w:color w:val="auto"/>
        </w:rPr>
      </w:pPr>
      <w:r>
        <w:rPr>
          <w:rFonts w:ascii="Arial" w:cs="Arial" w:eastAsia="Arial" w:hAnsi="Arial"/>
          <w:sz w:val="18"/>
          <w:szCs w:val="18"/>
          <w:color w:val="auto"/>
        </w:rPr>
        <w:t>time without notice. The offered securities may or may not be listed on a national securities exchange. No assurance can be given that there will be a market for the offered securities.</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securities that qualify for sale pursuant to Rule 144 or Regulation S under the Securities Act may be sold under Rule 144 or Regulation S rather than pursuant to this prospectus.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To the extent that we or the selling shareholders make sales to or through one or more underwriters or agents in at-the-market offerings, we or the selling shareholders will do so pursuant to the terms of a distribution agreement between us or the selling shareholders and the underwriters or agents. If we engage in at-the-market sales pursuant to a distribution agreement, we or the selling shareholders will sell our ordinary shares to or through one or more underwriters or agents, which may act on an agency basis or on a principal basis. During the term of any such agreement, we or the selling shareholders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or the selling shareholders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107"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the selling shareholders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7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connection with offerings made through underwriters or agents, we or the selling shareholders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or the selling shareholders under these arrangements to close out any related open borrowings of securities.</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or the selling shareholders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shareholders or borrowed from us, the selling shareholders or others to settle those sales or to close out any related open borrowings of shares, and may use securities received from us or the selling shareholders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10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EXPENSES ASSOCIATED WITH THE REGISTRATION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FINRA filing fee</w:t>
            </w:r>
          </w:p>
        </w:tc>
        <w:tc>
          <w:tcPr>
            <w:tcW w:w="3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36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80" w:type="dxa"/>
            <w:vAlign w:val="bottom"/>
            <w:vMerge w:val="restart"/>
          </w:tcPr>
          <w:p>
            <w:pPr>
              <w:jc w:val="right"/>
              <w:ind w:right="259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Liquornik Geva Leshem Tal, Ramat Gan, Israel. Certain legal matters with respect to New York law and the validity of the debt securities under New York law will be passed upon for us by White &amp; Case LLP, New York, New York.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8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99"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73" w:lineRule="exact"/>
        <w:rPr>
          <w:sz w:val="20"/>
          <w:szCs w:val="20"/>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130" w:lineRule="exact"/>
        <w:rPr>
          <w:rFonts w:ascii="Arial" w:cs="Arial" w:eastAsia="Arial" w:hAnsi="Arial"/>
          <w:sz w:val="18"/>
          <w:szCs w:val="18"/>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30" w:lineRule="exact"/>
        <w:rPr>
          <w:rFonts w:ascii="Arial" w:cs="Arial" w:eastAsia="Arial" w:hAnsi="Arial"/>
          <w:sz w:val="18"/>
          <w:szCs w:val="18"/>
          <w:color w:val="auto"/>
        </w:rPr>
      </w:pPr>
    </w:p>
    <w:p>
      <w:pPr>
        <w:ind w:left="1700" w:right="459" w:hanging="432"/>
        <w:spacing w:after="0" w:line="293"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8"/>
          <w:szCs w:val="18"/>
          <w:color w:val="auto"/>
        </w:rPr>
        <w:t>May 5, 2016 (only the GAAP financial statements with respect to the quarter ended March 31, 2016 attached to the press release annexed as Exhibit 99.1 thereto);</w:t>
      </w:r>
    </w:p>
    <w:p>
      <w:pPr>
        <w:spacing w:after="0" w:line="75"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3"/>
          <w:szCs w:val="13"/>
          <w:color w:val="auto"/>
        </w:rPr>
        <w:t xml:space="preserve">O    </w:t>
      </w:r>
      <w:r>
        <w:rPr>
          <w:rFonts w:ascii="Arial" w:cs="Arial" w:eastAsia="Arial" w:hAnsi="Arial"/>
          <w:sz w:val="18"/>
          <w:szCs w:val="18"/>
          <w:color w:val="auto"/>
        </w:rPr>
        <w:t>July 14, 2016;</w:t>
      </w:r>
    </w:p>
    <w:p>
      <w:pPr>
        <w:spacing w:after="0" w:line="144" w:lineRule="exact"/>
        <w:rPr>
          <w:rFonts w:ascii="Arial" w:cs="Arial" w:eastAsia="Arial" w:hAnsi="Arial"/>
          <w:sz w:val="18"/>
          <w:szCs w:val="18"/>
          <w:color w:val="auto"/>
        </w:rPr>
      </w:pPr>
    </w:p>
    <w:p>
      <w:pPr>
        <w:ind w:left="1640" w:right="459" w:hanging="432"/>
        <w:spacing w:after="0" w:line="360"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6"/>
          <w:szCs w:val="16"/>
          <w:color w:val="auto"/>
        </w:rPr>
        <w:t>August 3, 2016 (only the GAAP financial statements with respect to the quarter and six months ended June 30, 2016 attached to the press release annexed as Exhibit 99.1 thereto);</w:t>
      </w:r>
    </w:p>
    <w:p>
      <w:pPr>
        <w:spacing w:after="0" w:line="15" w:lineRule="exact"/>
        <w:rPr>
          <w:rFonts w:ascii="Arial" w:cs="Arial" w:eastAsia="Arial" w:hAnsi="Arial"/>
          <w:sz w:val="18"/>
          <w:szCs w:val="18"/>
          <w:color w:val="auto"/>
        </w:rPr>
      </w:pPr>
    </w:p>
    <w:p>
      <w:pPr>
        <w:ind w:left="1720" w:right="459" w:hanging="432"/>
        <w:spacing w:after="0" w:line="271"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8"/>
          <w:szCs w:val="18"/>
          <w:color w:val="auto"/>
        </w:rPr>
        <w:t>November 9, 2016 (only the GAAP financial statements with respect to the quarter and nine months ended September 30, 2016 attached to the press release annexed as Exhibit 99.1 thereto); and</w:t>
      </w:r>
    </w:p>
    <w:p>
      <w:pPr>
        <w:spacing w:after="0" w:line="95" w:lineRule="exact"/>
        <w:rPr>
          <w:rFonts w:ascii="Arial" w:cs="Arial" w:eastAsia="Arial" w:hAnsi="Arial"/>
          <w:sz w:val="18"/>
          <w:szCs w:val="18"/>
          <w:color w:val="auto"/>
        </w:rPr>
      </w:pPr>
    </w:p>
    <w:p>
      <w:pPr>
        <w:ind w:left="1680" w:right="459" w:hanging="432"/>
        <w:spacing w:after="0" w:line="264"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8"/>
          <w:szCs w:val="18"/>
          <w:color w:val="auto"/>
        </w:rPr>
        <w:t>January 3, 2017 (including our condensed interim consolidated financial statements as of, and for the nine months ended, September 30, 2016, and our management’s Operating and Financial Review and Prospects for that nine month period appended as Exhibits 99.1 and 99.2 thereto, respectively).</w:t>
      </w:r>
    </w:p>
    <w:p>
      <w:pPr>
        <w:spacing w:after="0" w:line="88" w:lineRule="exact"/>
        <w:rPr>
          <w:rFonts w:ascii="Arial" w:cs="Arial" w:eastAsia="Arial" w:hAnsi="Arial"/>
          <w:sz w:val="18"/>
          <w:szCs w:val="18"/>
          <w:color w:val="auto"/>
        </w:rPr>
      </w:pPr>
    </w:p>
    <w:p>
      <w:pPr>
        <w:jc w:val="both"/>
        <w:ind w:left="1320" w:right="459" w:hanging="425"/>
        <w:spacing w:after="0" w:line="259" w:lineRule="auto"/>
        <w:tabs>
          <w:tab w:leader="none" w:pos="16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ectPr>
          <w:pgSz w:w="11900" w:h="16838" w:orient="portrait"/>
          <w:cols w:equalWidth="0" w:num="1">
            <w:col w:w="9019"/>
          </w:cols>
          <w:pgMar w:left="1440" w:top="33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8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26035"/>
                    </a:xfrm>
                    <a:prstGeom prst="rect">
                      <a:avLst/>
                    </a:prstGeom>
                    <a:noFill/>
                  </pic:spPr>
                </pic:pic>
              </a:graphicData>
            </a:graphic>
          </wp:anchor>
        </w:drawing>
        <w:t>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254635</wp:posOffset>
            </wp:positionV>
            <wp:extent cx="2221230" cy="1372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375"/>
        </w:trPr>
        <w:tc>
          <w:tcPr>
            <w:tcW w:w="2340" w:type="dxa"/>
            <w:vAlign w:val="bottom"/>
          </w:tcPr>
          <w:p>
            <w:pPr>
              <w:spacing w:after="0"/>
              <w:rPr>
                <w:sz w:val="24"/>
                <w:szCs w:val="24"/>
                <w:color w:val="auto"/>
              </w:rPr>
            </w:pPr>
          </w:p>
        </w:tc>
        <w:tc>
          <w:tcPr>
            <w:tcW w:w="5780" w:type="dxa"/>
            <w:vAlign w:val="bottom"/>
          </w:tcPr>
          <w:p>
            <w:pPr>
              <w:jc w:val="center"/>
              <w:ind w:right="2246"/>
              <w:spacing w:after="0"/>
              <w:rPr>
                <w:sz w:val="20"/>
                <w:szCs w:val="20"/>
                <w:color w:val="auto"/>
              </w:rPr>
            </w:pPr>
            <w:r>
              <w:rPr>
                <w:rFonts w:ascii="Arial" w:cs="Arial" w:eastAsia="Arial" w:hAnsi="Arial"/>
                <w:sz w:val="29"/>
                <w:szCs w:val="29"/>
                <w:b w:val="1"/>
                <w:bCs w:val="1"/>
                <w:color w:val="auto"/>
                <w:w w:val="96"/>
              </w:rPr>
              <w:t>Kornit Digital Ltd.</w:t>
            </w:r>
          </w:p>
        </w:tc>
      </w:tr>
      <w:tr>
        <w:trPr>
          <w:trHeight w:val="432"/>
        </w:trPr>
        <w:tc>
          <w:tcPr>
            <w:tcW w:w="2340" w:type="dxa"/>
            <w:vAlign w:val="bottom"/>
          </w:tcPr>
          <w:p>
            <w:pPr>
              <w:spacing w:after="0"/>
              <w:rPr>
                <w:sz w:val="24"/>
                <w:szCs w:val="24"/>
                <w:color w:val="auto"/>
              </w:rPr>
            </w:pPr>
          </w:p>
        </w:tc>
        <w:tc>
          <w:tcPr>
            <w:tcW w:w="5780" w:type="dxa"/>
            <w:vAlign w:val="bottom"/>
          </w:tcPr>
          <w:p>
            <w:pPr>
              <w:jc w:val="center"/>
              <w:ind w:right="2246"/>
              <w:spacing w:after="0"/>
              <w:rPr>
                <w:sz w:val="20"/>
                <w:szCs w:val="20"/>
                <w:color w:val="auto"/>
              </w:rPr>
            </w:pPr>
            <w:r>
              <w:rPr>
                <w:rFonts w:ascii="Arial" w:cs="Arial" w:eastAsia="Arial" w:hAnsi="Arial"/>
                <w:sz w:val="29"/>
                <w:szCs w:val="29"/>
                <w:b w:val="1"/>
                <w:bCs w:val="1"/>
                <w:color w:val="auto"/>
                <w:w w:val="91"/>
              </w:rPr>
              <w:t>Ordinary Shares</w:t>
            </w:r>
          </w:p>
        </w:tc>
      </w:tr>
      <w:tr>
        <w:trPr>
          <w:trHeight w:val="1021"/>
        </w:trPr>
        <w:tc>
          <w:tcPr>
            <w:tcW w:w="2340" w:type="dxa"/>
            <w:vAlign w:val="bottom"/>
          </w:tcPr>
          <w:p>
            <w:pPr>
              <w:spacing w:after="0"/>
              <w:rPr>
                <w:sz w:val="24"/>
                <w:szCs w:val="24"/>
                <w:color w:val="auto"/>
              </w:rPr>
            </w:pPr>
          </w:p>
        </w:tc>
        <w:tc>
          <w:tcPr>
            <w:tcW w:w="5780" w:type="dxa"/>
            <w:vAlign w:val="bottom"/>
          </w:tcPr>
          <w:p>
            <w:pPr>
              <w:jc w:val="center"/>
              <w:ind w:right="2246"/>
              <w:spacing w:after="0"/>
              <w:rPr>
                <w:sz w:val="20"/>
                <w:szCs w:val="20"/>
                <w:color w:val="auto"/>
              </w:rPr>
            </w:pPr>
            <w:r>
              <w:rPr>
                <w:rFonts w:ascii="Arial" w:cs="Arial" w:eastAsia="Arial" w:hAnsi="Arial"/>
                <w:sz w:val="18"/>
                <w:szCs w:val="18"/>
                <w:b w:val="1"/>
                <w:bCs w:val="1"/>
                <w:color w:val="auto"/>
                <w:w w:val="89"/>
              </w:rPr>
              <w:t>___________________</w:t>
            </w:r>
          </w:p>
        </w:tc>
      </w:tr>
      <w:tr>
        <w:trPr>
          <w:trHeight w:val="252"/>
        </w:trPr>
        <w:tc>
          <w:tcPr>
            <w:tcW w:w="2340" w:type="dxa"/>
            <w:vAlign w:val="bottom"/>
          </w:tcPr>
          <w:p>
            <w:pPr>
              <w:spacing w:after="0"/>
              <w:rPr>
                <w:sz w:val="21"/>
                <w:szCs w:val="21"/>
                <w:color w:val="auto"/>
              </w:rPr>
            </w:pPr>
          </w:p>
        </w:tc>
        <w:tc>
          <w:tcPr>
            <w:tcW w:w="5780" w:type="dxa"/>
            <w:vAlign w:val="bottom"/>
          </w:tcPr>
          <w:p>
            <w:pPr>
              <w:jc w:val="center"/>
              <w:ind w:right="2246"/>
              <w:spacing w:after="0"/>
              <w:rPr>
                <w:sz w:val="20"/>
                <w:szCs w:val="20"/>
                <w:color w:val="auto"/>
              </w:rPr>
            </w:pPr>
            <w:r>
              <w:rPr>
                <w:rFonts w:ascii="Arial" w:cs="Arial" w:eastAsia="Arial" w:hAnsi="Arial"/>
                <w:sz w:val="20"/>
                <w:szCs w:val="20"/>
                <w:b w:val="1"/>
                <w:bCs w:val="1"/>
                <w:color w:val="auto"/>
                <w:w w:val="86"/>
              </w:rPr>
              <w:t>Prospectus Supplement</w:t>
            </w:r>
          </w:p>
        </w:tc>
      </w:tr>
      <w:tr>
        <w:trPr>
          <w:trHeight w:val="234"/>
        </w:trPr>
        <w:tc>
          <w:tcPr>
            <w:tcW w:w="2340" w:type="dxa"/>
            <w:vAlign w:val="bottom"/>
          </w:tcPr>
          <w:p>
            <w:pPr>
              <w:spacing w:after="0"/>
              <w:rPr>
                <w:sz w:val="20"/>
                <w:szCs w:val="20"/>
                <w:color w:val="auto"/>
              </w:rPr>
            </w:pPr>
          </w:p>
        </w:tc>
        <w:tc>
          <w:tcPr>
            <w:tcW w:w="5780" w:type="dxa"/>
            <w:vAlign w:val="bottom"/>
          </w:tcPr>
          <w:p>
            <w:pPr>
              <w:jc w:val="center"/>
              <w:ind w:right="2246"/>
              <w:spacing w:after="0"/>
              <w:rPr>
                <w:sz w:val="20"/>
                <w:szCs w:val="20"/>
                <w:color w:val="auto"/>
              </w:rPr>
            </w:pPr>
            <w:r>
              <w:rPr>
                <w:rFonts w:ascii="Arial" w:cs="Arial" w:eastAsia="Arial" w:hAnsi="Arial"/>
                <w:sz w:val="18"/>
                <w:szCs w:val="18"/>
                <w:b w:val="1"/>
                <w:bCs w:val="1"/>
                <w:color w:val="auto"/>
                <w:w w:val="89"/>
              </w:rPr>
              <w:t>___________________</w:t>
            </w:r>
          </w:p>
        </w:tc>
      </w:tr>
      <w:tr>
        <w:trPr>
          <w:trHeight w:val="1021"/>
        </w:trPr>
        <w:tc>
          <w:tcPr>
            <w:tcW w:w="23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5780" w:type="dxa"/>
            <w:vAlign w:val="bottom"/>
          </w:tcPr>
          <w:p>
            <w:pPr>
              <w:jc w:val="right"/>
              <w:spacing w:after="0"/>
              <w:rPr>
                <w:sz w:val="20"/>
                <w:szCs w:val="20"/>
                <w:color w:val="auto"/>
              </w:rPr>
            </w:pPr>
            <w:r>
              <w:rPr>
                <w:rFonts w:ascii="Arial" w:cs="Arial" w:eastAsia="Arial" w:hAnsi="Arial"/>
                <w:sz w:val="25"/>
                <w:szCs w:val="25"/>
                <w:b w:val="1"/>
                <w:bCs w:val="1"/>
                <w:color w:val="auto"/>
              </w:rPr>
              <w:t>Citigroup</w:t>
            </w:r>
          </w:p>
        </w:tc>
      </w:tr>
      <w:tr>
        <w:trPr>
          <w:trHeight w:val="488"/>
        </w:trPr>
        <w:tc>
          <w:tcPr>
            <w:tcW w:w="2340" w:type="dxa"/>
            <w:vAlign w:val="bottom"/>
          </w:tcPr>
          <w:p>
            <w:pPr>
              <w:spacing w:after="0"/>
              <w:rPr>
                <w:sz w:val="20"/>
                <w:szCs w:val="20"/>
                <w:color w:val="auto"/>
              </w:rPr>
            </w:pPr>
            <w:r>
              <w:rPr>
                <w:rFonts w:ascii="Arial" w:cs="Arial" w:eastAsia="Arial" w:hAnsi="Arial"/>
                <w:sz w:val="22"/>
                <w:szCs w:val="22"/>
                <w:b w:val="1"/>
                <w:bCs w:val="1"/>
                <w:color w:val="auto"/>
              </w:rPr>
              <w:t>William Blair</w:t>
            </w:r>
          </w:p>
        </w:tc>
        <w:tc>
          <w:tcPr>
            <w:tcW w:w="578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486"/>
        </w:trPr>
        <w:tc>
          <w:tcPr>
            <w:tcW w:w="2340" w:type="dxa"/>
            <w:vAlign w:val="bottom"/>
          </w:tcPr>
          <w:p>
            <w:pPr>
              <w:spacing w:after="0"/>
              <w:rPr>
                <w:sz w:val="20"/>
                <w:szCs w:val="20"/>
                <w:color w:val="auto"/>
              </w:rPr>
            </w:pPr>
            <w:r>
              <w:rPr>
                <w:rFonts w:ascii="Arial" w:cs="Arial" w:eastAsia="Arial" w:hAnsi="Arial"/>
                <w:sz w:val="22"/>
                <w:szCs w:val="22"/>
                <w:b w:val="1"/>
                <w:bCs w:val="1"/>
                <w:color w:val="auto"/>
              </w:rPr>
              <w:t>Canaccord Genuity</w:t>
            </w:r>
          </w:p>
        </w:tc>
        <w:tc>
          <w:tcPr>
            <w:tcW w:w="5780" w:type="dxa"/>
            <w:vAlign w:val="bottom"/>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969"/>
        </w:trPr>
        <w:tc>
          <w:tcPr>
            <w:tcW w:w="23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tcPr>
          <w:p>
            <w:pPr>
              <w:spacing w:after="0"/>
              <w:rPr>
                <w:sz w:val="4"/>
                <w:szCs w:val="4"/>
                <w:color w:val="auto"/>
              </w:rPr>
            </w:pPr>
          </w:p>
        </w:tc>
      </w:tr>
      <w:tr>
        <w:trPr>
          <w:trHeight w:val="392"/>
        </w:trPr>
        <w:tc>
          <w:tcPr>
            <w:tcW w:w="23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7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2"/>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2"/>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2"/>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emdash "/>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1"/>
    </w:lvl>
    <w:lvl w:ilvl="1">
      <w:lvlJc w:val="left"/>
      <w:lvlText w:val="(%2)"/>
      <w:numFmt w:val="lowerRoman"/>
      <w:start w:val="2"/>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lowerRoman"/>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2019-12-08T01:44:44Z</dcterms:created>
  <dcterms:modified xsi:type="dcterms:W3CDTF">2019-12-08T01:44:44Z</dcterms:modified>
</cp:coreProperties>
</file>