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1520" w:right="1479"/>
        <w:spacing w:after="0" w:line="286" w:lineRule="auto"/>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14, 2020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18415</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60960</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1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Kornit Digital Ltd.</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6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189"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404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Israel</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0" w:type="dxa"/>
            <w:vAlign w:val="bottom"/>
          </w:tcPr>
          <w:p>
            <w:pPr>
              <w:spacing w:after="0"/>
              <w:rPr>
                <w:sz w:val="1"/>
                <w:szCs w:val="1"/>
                <w:color w:val="auto"/>
              </w:rPr>
            </w:pPr>
          </w:p>
        </w:tc>
      </w:tr>
      <w:tr>
        <w:trPr>
          <w:trHeight w:val="40"/>
        </w:trPr>
        <w:tc>
          <w:tcPr>
            <w:tcW w:w="396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3960" w:type="dxa"/>
            <w:vAlign w:val="bottom"/>
          </w:tcPr>
          <w:p>
            <w:pPr>
              <w:ind w:left="92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0" w:type="dxa"/>
            <w:vAlign w:val="bottom"/>
            <w:vMerge w:val="continue"/>
          </w:tcPr>
          <w:p>
            <w:pPr>
              <w:spacing w:after="0"/>
              <w:rPr>
                <w:sz w:val="16"/>
                <w:szCs w:val="16"/>
                <w:color w:val="auto"/>
              </w:rPr>
            </w:pPr>
          </w:p>
        </w:tc>
        <w:tc>
          <w:tcPr>
            <w:tcW w:w="4060" w:type="dxa"/>
            <w:vAlign w:val="bottom"/>
          </w:tcPr>
          <w:p>
            <w:pPr>
              <w:ind w:left="1460"/>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40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 Ha’Amal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Park Afek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Rosh Ha’Ayin 4802946, Israel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+972-3-908-5800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offices)</w:t>
      </w:r>
    </w:p>
    <w:p>
      <w:pPr>
        <w:spacing w:after="0" w:line="6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North America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 South Dean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Englewood, NJ 07631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(888) 456-7648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27"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of all communications, including communications sent to agent for service, should be sent to:</w:t>
      </w:r>
    </w:p>
    <w:p>
      <w:pPr>
        <w:spacing w:after="0" w:line="185" w:lineRule="exact"/>
        <w:rPr>
          <w:sz w:val="24"/>
          <w:szCs w:val="24"/>
          <w:color w:val="auto"/>
        </w:rPr>
      </w:pPr>
    </w:p>
    <w:tbl>
      <w:tblPr>
        <w:tblLayout w:type="fixed"/>
        <w:tblInd w:w="1340" w:type="dxa"/>
        <w:tblCellMar>
          <w:top w:w="0" w:type="dxa"/>
          <w:left w:w="0" w:type="dxa"/>
          <w:bottom w:w="0" w:type="dxa"/>
          <w:right w:w="0" w:type="dxa"/>
        </w:tblCellMar>
      </w:tblPr>
      <w:tr>
        <w:trPr>
          <w:trHeight w:val="216"/>
        </w:trPr>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Colin J. Diamond, Esq.</w:t>
            </w:r>
          </w:p>
        </w:tc>
        <w:tc>
          <w:tcPr>
            <w:tcW w:w="394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8"/>
              </w:rPr>
              <w:t>Aviv Avidan-Shalit, Adv.</w:t>
            </w:r>
          </w:p>
        </w:tc>
      </w:tr>
      <w:tr>
        <w:trPr>
          <w:trHeight w:val="216"/>
        </w:trPr>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Elliott Smith, Esq.</w:t>
            </w:r>
          </w:p>
        </w:tc>
        <w:tc>
          <w:tcPr>
            <w:tcW w:w="394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Jonathan M. Nathan, Adv.</w:t>
            </w:r>
          </w:p>
        </w:tc>
      </w:tr>
      <w:tr>
        <w:trPr>
          <w:trHeight w:val="216"/>
        </w:trPr>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White &amp; Case LLP</w:t>
            </w:r>
          </w:p>
        </w:tc>
        <w:tc>
          <w:tcPr>
            <w:tcW w:w="394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Meitar Law Offices</w:t>
            </w:r>
          </w:p>
        </w:tc>
      </w:tr>
      <w:tr>
        <w:trPr>
          <w:trHeight w:val="216"/>
        </w:trPr>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1155 Avenue of the Americas</w:t>
            </w:r>
          </w:p>
        </w:tc>
        <w:tc>
          <w:tcPr>
            <w:tcW w:w="394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16 Abba Hillel Silver Rd.</w:t>
            </w:r>
          </w:p>
        </w:tc>
      </w:tr>
      <w:tr>
        <w:trPr>
          <w:trHeight w:val="216"/>
        </w:trPr>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New York, NY 10036</w:t>
            </w:r>
          </w:p>
        </w:tc>
        <w:tc>
          <w:tcPr>
            <w:tcW w:w="394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Ramat Gan 5250608, Israel</w:t>
            </w:r>
          </w:p>
        </w:tc>
      </w:tr>
      <w:tr>
        <w:trPr>
          <w:trHeight w:val="216"/>
        </w:trPr>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Tel: (212) 819-8200</w:t>
            </w:r>
          </w:p>
        </w:tc>
        <w:tc>
          <w:tcPr>
            <w:tcW w:w="394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Tel: +972-3-610-3100</w:t>
            </w:r>
          </w:p>
        </w:tc>
      </w:tr>
      <w:tr>
        <w:trPr>
          <w:trHeight w:val="238"/>
        </w:trPr>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Fax: (212) 354-8113</w:t>
            </w:r>
          </w:p>
        </w:tc>
        <w:tc>
          <w:tcPr>
            <w:tcW w:w="394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Fax: +972-3-610-3111</w:t>
            </w:r>
          </w:p>
        </w:tc>
      </w:tr>
      <w:tr>
        <w:trPr>
          <w:trHeight w:val="445"/>
        </w:trPr>
        <w:tc>
          <w:tcPr>
            <w:tcW w:w="2300" w:type="dxa"/>
            <w:vAlign w:val="bottom"/>
          </w:tcPr>
          <w:p>
            <w:pPr>
              <w:spacing w:after="0"/>
              <w:rPr>
                <w:sz w:val="24"/>
                <w:szCs w:val="24"/>
                <w:color w:val="auto"/>
              </w:rPr>
            </w:pPr>
          </w:p>
        </w:tc>
        <w:tc>
          <w:tcPr>
            <w:tcW w:w="394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_________________</w:t>
            </w:r>
          </w:p>
        </w:tc>
      </w:tr>
    </w:tbl>
    <w:p>
      <w:pPr>
        <w:spacing w:after="0" w:line="40" w:lineRule="exact"/>
        <w:rPr>
          <w:sz w:val="24"/>
          <w:szCs w:val="24"/>
          <w:color w:val="auto"/>
        </w:rPr>
      </w:pPr>
    </w:p>
    <w:p>
      <w:pPr>
        <w:jc w:val="both"/>
        <w:ind w:left="460" w:right="459" w:firstLine="432"/>
        <w:spacing w:after="0" w:line="298" w:lineRule="auto"/>
        <w:rPr>
          <w:sz w:val="20"/>
          <w:szCs w:val="20"/>
          <w:color w:val="auto"/>
        </w:rPr>
      </w:pPr>
      <w:r>
        <w:rPr>
          <w:rFonts w:ascii="Times New Roman" w:cs="Times New Roman" w:eastAsia="Times New Roman" w:hAnsi="Times New Roman"/>
          <w:sz w:val="16"/>
          <w:szCs w:val="16"/>
          <w:color w:val="auto"/>
        </w:rPr>
        <w:t>Approximate date of commencement of proposed sale to the public: From time to time after the effective date of this registration statement.</w:t>
      </w:r>
    </w:p>
    <w:p>
      <w:pPr>
        <w:spacing w:after="0" w:line="2" w:lineRule="exact"/>
        <w:rPr>
          <w:sz w:val="24"/>
          <w:szCs w:val="24"/>
          <w:color w:val="auto"/>
        </w:rPr>
      </w:pPr>
    </w:p>
    <w:p>
      <w:pPr>
        <w:jc w:val="both"/>
        <w:ind w:left="460" w:right="479" w:firstLine="432"/>
        <w:spacing w:after="0" w:line="298" w:lineRule="auto"/>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Arial" w:cs="Arial" w:eastAsia="Arial" w:hAnsi="Arial"/>
          <w:sz w:val="16"/>
          <w:szCs w:val="16"/>
          <w:color w:val="auto"/>
        </w:rPr>
        <w:t>£</w:t>
      </w:r>
    </w:p>
    <w:p>
      <w:pPr>
        <w:spacing w:after="0" w:line="1" w:lineRule="exact"/>
        <w:rPr>
          <w:sz w:val="24"/>
          <w:szCs w:val="24"/>
          <w:color w:val="auto"/>
        </w:rPr>
      </w:pPr>
    </w:p>
    <w:p>
      <w:pPr>
        <w:jc w:val="both"/>
        <w:ind w:left="460" w:right="479" w:firstLine="432"/>
        <w:spacing w:after="0" w:line="298" w:lineRule="auto"/>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6"/>
          <w:szCs w:val="16"/>
          <w:color w:val="auto"/>
        </w:rPr>
        <w:t>S</w:t>
      </w:r>
    </w:p>
    <w:p>
      <w:pPr>
        <w:spacing w:after="0" w:line="1" w:lineRule="exact"/>
        <w:rPr>
          <w:sz w:val="24"/>
          <w:szCs w:val="24"/>
          <w:color w:val="auto"/>
        </w:rPr>
      </w:pPr>
    </w:p>
    <w:p>
      <w:pPr>
        <w:jc w:val="both"/>
        <w:ind w:left="460" w:right="479" w:firstLine="432"/>
        <w:spacing w:after="0" w:line="283" w:lineRule="auto"/>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10" w:lineRule="exact"/>
        <w:rPr>
          <w:sz w:val="24"/>
          <w:szCs w:val="24"/>
          <w:color w:val="auto"/>
        </w:rPr>
      </w:pPr>
    </w:p>
    <w:p>
      <w:pPr>
        <w:jc w:val="both"/>
        <w:ind w:left="460" w:right="459" w:firstLine="432"/>
        <w:spacing w:after="0" w:line="283" w:lineRule="auto"/>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10" w:lineRule="exact"/>
        <w:rPr>
          <w:sz w:val="24"/>
          <w:szCs w:val="24"/>
          <w:color w:val="auto"/>
        </w:rPr>
      </w:pPr>
    </w:p>
    <w:p>
      <w:pPr>
        <w:jc w:val="both"/>
        <w:ind w:left="460" w:right="479" w:firstLine="432"/>
        <w:spacing w:after="0" w:line="283" w:lineRule="auto"/>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Arial" w:cs="Arial" w:eastAsia="Arial" w:hAnsi="Arial"/>
          <w:sz w:val="16"/>
          <w:szCs w:val="16"/>
          <w:color w:val="auto"/>
        </w:rPr>
        <w:t>S</w:t>
      </w:r>
    </w:p>
    <w:p>
      <w:pPr>
        <w:spacing w:after="0" w:line="10" w:lineRule="exact"/>
        <w:rPr>
          <w:sz w:val="24"/>
          <w:szCs w:val="24"/>
          <w:color w:val="auto"/>
        </w:rPr>
      </w:pPr>
    </w:p>
    <w:p>
      <w:pPr>
        <w:jc w:val="both"/>
        <w:ind w:left="460" w:right="479" w:firstLine="432"/>
        <w:spacing w:after="0" w:line="283" w:lineRule="auto"/>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Arial" w:cs="Arial" w:eastAsia="Arial" w:hAnsi="Arial"/>
          <w:sz w:val="16"/>
          <w:szCs w:val="16"/>
          <w:color w:val="auto"/>
        </w:rPr>
        <w:t>£</w:t>
      </w:r>
    </w:p>
    <w:p>
      <w:pPr>
        <w:spacing w:after="0" w:line="10" w:lineRule="exact"/>
        <w:rPr>
          <w:sz w:val="24"/>
          <w:szCs w:val="24"/>
          <w:color w:val="auto"/>
        </w:rPr>
      </w:pPr>
    </w:p>
    <w:p>
      <w:pPr>
        <w:jc w:val="both"/>
        <w:ind w:left="460" w:right="459" w:firstLine="432"/>
        <w:spacing w:after="0" w:line="29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w:t>
      </w:r>
    </w:p>
    <w:p>
      <w:pPr>
        <w:spacing w:after="0" w:line="1" w:lineRule="exact"/>
        <w:rPr>
          <w:sz w:val="24"/>
          <w:szCs w:val="24"/>
          <w:color w:val="auto"/>
        </w:rPr>
      </w:pPr>
    </w:p>
    <w:p>
      <w:pPr>
        <w:ind w:left="6660"/>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Arial" w:cs="Arial" w:eastAsia="Arial" w:hAnsi="Arial"/>
          <w:sz w:val="16"/>
          <w:szCs w:val="16"/>
          <w:color w:val="auto"/>
        </w:rPr>
        <w:t>£</w:t>
      </w:r>
    </w:p>
    <w:p>
      <w:pPr>
        <w:spacing w:after="0" w:line="76" w:lineRule="exact"/>
        <w:rPr>
          <w:sz w:val="24"/>
          <w:szCs w:val="24"/>
          <w:color w:val="auto"/>
        </w:rPr>
      </w:pPr>
    </w:p>
    <w:p>
      <w:pPr>
        <w:jc w:val="both"/>
        <w:ind w:left="460" w:right="479" w:firstLine="432"/>
        <w:spacing w:after="0" w:line="283" w:lineRule="auto"/>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6"/>
          <w:szCs w:val="16"/>
          <w:color w:val="auto"/>
        </w:rPr>
        <w:t>£</w:t>
      </w:r>
    </w:p>
    <w:p>
      <w:pPr>
        <w:spacing w:after="0" w:line="10" w:lineRule="exact"/>
        <w:rPr>
          <w:sz w:val="24"/>
          <w:szCs w:val="24"/>
          <w:color w:val="auto"/>
        </w:rPr>
      </w:pPr>
    </w:p>
    <w:p>
      <w:pPr>
        <w:ind w:left="460" w:right="479" w:hanging="6"/>
        <w:spacing w:after="0" w:line="298" w:lineRule="auto"/>
        <w:tabs>
          <w:tab w:leader="none" w:pos="653"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9019"/>
          </w:cols>
          <w:pgMar w:left="1440" w:top="266" w:right="1440" w:bottom="0" w:gutter="0" w:footer="0" w:header="0"/>
        </w:sectPr>
      </w:pPr>
    </w:p>
    <w:bookmarkStart w:id="1" w:name="page2"/>
    <w:bookmarkEnd w:id="1"/>
    <w:p>
      <w:pPr>
        <w:spacing w:after="0" w:line="298" w:lineRule="auto"/>
        <w:tabs>
          <w:tab w:leader="none" w:pos="65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226060</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00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00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0" w:type="dxa"/>
            <w:vAlign w:val="bottom"/>
          </w:tcPr>
          <w:p>
            <w:pPr>
              <w:spacing w:after="0"/>
              <w:rPr>
                <w:sz w:val="17"/>
                <w:szCs w:val="17"/>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r>
      <w:tr>
        <w:trPr>
          <w:trHeight w:val="203"/>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to be</w:t>
            </w:r>
          </w:p>
        </w:tc>
        <w:tc>
          <w:tcPr>
            <w:tcW w:w="60" w:type="dxa"/>
            <w:vAlign w:val="bottom"/>
          </w:tcPr>
          <w:p>
            <w:pPr>
              <w:spacing w:after="0"/>
              <w:rPr>
                <w:sz w:val="17"/>
                <w:szCs w:val="17"/>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offering</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r>
      <w:tr>
        <w:trPr>
          <w:trHeight w:val="255"/>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Title of each class of securities to be registered</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registered</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 unit</w:t>
            </w:r>
          </w:p>
        </w:tc>
        <w:tc>
          <w:tcPr>
            <w:tcW w:w="8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89"/>
              </w:rPr>
              <w:t>fee</w:t>
            </w:r>
            <w:r>
              <w:rPr>
                <w:rFonts w:ascii="Times New Roman" w:cs="Times New Roman" w:eastAsia="Times New Roman" w:hAnsi="Times New Roman"/>
                <w:sz w:val="18"/>
                <w:szCs w:val="18"/>
                <w:b w:val="1"/>
                <w:bCs w:val="1"/>
                <w:color w:val="auto"/>
                <w:w w:val="89"/>
                <w:vertAlign w:val="superscript"/>
              </w:rPr>
              <w:t>(3)</w:t>
            </w:r>
          </w:p>
        </w:tc>
      </w:tr>
      <w:tr>
        <w:trPr>
          <w:trHeight w:val="261"/>
        </w:trPr>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Primary Offering:</w:t>
            </w: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83"/>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Ordinary Shares, par value NIS 0.01 per share</w:t>
            </w:r>
            <w:r>
              <w:rPr>
                <w:rFonts w:ascii="Times New Roman" w:cs="Times New Roman" w:eastAsia="Times New Roman" w:hAnsi="Times New Roman"/>
                <w:sz w:val="20"/>
                <w:szCs w:val="20"/>
                <w:b w:val="1"/>
                <w:bCs w:val="1"/>
                <w:color w:val="auto"/>
                <w:vertAlign w:val="superscript"/>
              </w:rPr>
              <w:t>(1)</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Offering:</w:t>
            </w:r>
          </w:p>
        </w:tc>
        <w:tc>
          <w:tcPr>
            <w:tcW w:w="7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91"/>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Ordinary Shares, par value NIS 0.01 per share</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2,932,176</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59.04</w:t>
            </w:r>
            <w:r>
              <w:rPr>
                <w:rFonts w:ascii="Times New Roman" w:cs="Times New Roman" w:eastAsia="Times New Roman" w:hAnsi="Times New Roman"/>
                <w:sz w:val="20"/>
                <w:szCs w:val="20"/>
                <w:color w:val="auto"/>
                <w:vertAlign w:val="superscript"/>
              </w:rPr>
              <w:t>(2)</w:t>
            </w: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$ 173,115,671.04</w:t>
            </w:r>
            <w:r>
              <w:rPr>
                <w:rFonts w:ascii="Times New Roman" w:cs="Times New Roman" w:eastAsia="Times New Roman" w:hAnsi="Times New Roman"/>
                <w:sz w:val="20"/>
                <w:szCs w:val="20"/>
                <w:color w:val="auto"/>
                <w:w w:val="96"/>
                <w:vertAlign w:val="superscript"/>
              </w:rPr>
              <w:t>(2)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22,470.42</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880" w:right="479" w:hanging="426"/>
        <w:spacing w:after="0" w:line="264" w:lineRule="auto"/>
        <w:tabs>
          <w:tab w:leader="none" w:pos="908"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indeterminate aggregate initial offering price or number of the securities is being registered as may, from time to time, be issued and sold at indeterminate prices.</w:t>
      </w:r>
    </w:p>
    <w:p>
      <w:pPr>
        <w:jc w:val="both"/>
        <w:ind w:left="880" w:right="459" w:hanging="426"/>
        <w:spacing w:after="0" w:line="264" w:lineRule="auto"/>
        <w:tabs>
          <w:tab w:leader="none" w:pos="1001"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457(c) under the Securities Act of 1933, as amended (the “Securities Act”), and solely for the purpose of calculating the registration fee, the proposed maximum offering price per unit and maximum aggregate offering price are calculated as the average of the high and low trading price per Ordinary Share on the Nasdaq Global Select Market on September 8, 2020.</w:t>
      </w:r>
    </w:p>
    <w:p>
      <w:pPr>
        <w:jc w:val="both"/>
        <w:ind w:left="880" w:right="479" w:hanging="426"/>
        <w:spacing w:after="0" w:line="276"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Rules 456(b) and 457(r) promulgated under the Securities Act, the Registrant is deferring payment of all of the registration fee, except for $22,470.42 of registration fees in respect of the shares being offered in the secondary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38100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80645</wp:posOffset>
            </wp:positionV>
            <wp:extent cx="51435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354965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153670</wp:posOffset>
            </wp:positionV>
            <wp:extent cx="1611630" cy="994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163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560" w:right="1659" w:hanging="915"/>
        <w:spacing w:after="0" w:line="460" w:lineRule="auto"/>
        <w:rPr>
          <w:sz w:val="20"/>
          <w:szCs w:val="20"/>
          <w:color w:val="auto"/>
        </w:rPr>
      </w:pPr>
      <w:r>
        <w:rPr>
          <w:rFonts w:ascii="Times New Roman" w:cs="Times New Roman" w:eastAsia="Times New Roman" w:hAnsi="Times New Roman"/>
          <w:sz w:val="21"/>
          <w:szCs w:val="21"/>
          <w:b w:val="1"/>
          <w:bCs w:val="1"/>
          <w:color w:val="auto"/>
        </w:rPr>
        <w:t>2,932,176 Ordinary Shares Offered by the Selling Shareholder Ordinary Shares Offered by the Company</w:t>
      </w:r>
    </w:p>
    <w:p>
      <w:pPr>
        <w:spacing w:after="0" w:line="1" w:lineRule="exact"/>
        <w:rPr>
          <w:sz w:val="20"/>
          <w:szCs w:val="20"/>
          <w:color w:val="auto"/>
        </w:rPr>
      </w:pPr>
    </w:p>
    <w:p>
      <w:pPr>
        <w:jc w:val="both"/>
        <w:ind w:left="460" w:right="459" w:firstLine="432"/>
        <w:spacing w:after="0" w:line="274" w:lineRule="auto"/>
        <w:rPr>
          <w:sz w:val="20"/>
          <w:szCs w:val="20"/>
          <w:color w:val="auto"/>
        </w:rPr>
      </w:pPr>
      <w:r>
        <w:rPr>
          <w:rFonts w:ascii="Times New Roman" w:cs="Times New Roman" w:eastAsia="Times New Roman" w:hAnsi="Times New Roman"/>
          <w:sz w:val="19"/>
          <w:szCs w:val="19"/>
          <w:color w:val="auto"/>
        </w:rPr>
        <w:t>We may offer ordinary shares from time to time in one or more issuances. In addition, the selling shareholder named in this prospectus may offer and sell up to 2,932,176 of our ordinary shares. We will not receive any of the proceeds from the sale of ordinary shares by the selling shareholder.</w:t>
      </w:r>
    </w:p>
    <w:p>
      <w:pPr>
        <w:spacing w:after="0" w:line="156" w:lineRule="exact"/>
        <w:rPr>
          <w:sz w:val="20"/>
          <w:szCs w:val="20"/>
          <w:color w:val="auto"/>
        </w:rPr>
      </w:pPr>
    </w:p>
    <w:p>
      <w:pPr>
        <w:jc w:val="both"/>
        <w:ind w:left="460" w:right="459" w:firstLine="432"/>
        <w:spacing w:after="0" w:line="245" w:lineRule="auto"/>
        <w:rPr>
          <w:sz w:val="20"/>
          <w:szCs w:val="20"/>
          <w:color w:val="auto"/>
        </w:rPr>
      </w:pPr>
      <w:r>
        <w:rPr>
          <w:rFonts w:ascii="Times New Roman" w:cs="Times New Roman" w:eastAsia="Times New Roman" w:hAnsi="Times New Roman"/>
          <w:sz w:val="20"/>
          <w:szCs w:val="20"/>
          <w:color w:val="auto"/>
        </w:rPr>
        <w:t>We are registering the sale of ordinary shares proposed to be sold by the selling shareholder pursuant to registration rights that we have granted to such shareholder. These ordinary shares underlie a warrant that we have issued to the selling shareholder. The selling shareholder may offer and sell ordinary shares in public or private transactions, or both. These sales may occur at fixed prices, at market prices prevailing at the time of sale, at prices related to prevailing market prices, or at negotiated prices. See “Plan of Distribution.”</w:t>
      </w:r>
    </w:p>
    <w:p>
      <w:pPr>
        <w:spacing w:after="0" w:line="184" w:lineRule="exact"/>
        <w:rPr>
          <w:sz w:val="20"/>
          <w:szCs w:val="20"/>
          <w:color w:val="auto"/>
        </w:rPr>
      </w:pPr>
    </w:p>
    <w:p>
      <w:pPr>
        <w:jc w:val="both"/>
        <w:ind w:left="460" w:right="459" w:firstLine="432"/>
        <w:spacing w:after="0" w:line="244" w:lineRule="auto"/>
        <w:rPr>
          <w:sz w:val="20"/>
          <w:szCs w:val="20"/>
          <w:color w:val="auto"/>
        </w:rPr>
      </w:pPr>
      <w:r>
        <w:rPr>
          <w:rFonts w:ascii="Times New Roman" w:cs="Times New Roman" w:eastAsia="Times New Roman" w:hAnsi="Times New Roman"/>
          <w:sz w:val="20"/>
          <w:szCs w:val="20"/>
          <w:color w:val="auto"/>
        </w:rPr>
        <w:t>This prospectus describes the general manner in which the shares will be offered. Each time we or, if required under the Securities Act of 1933, as amended, the selling shareholder, sells securities pursuant to this prospectus, we will provide a supplement to this prospectus that contains specific information about the offering. The prospectus supplement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86"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20"/>
          <w:szCs w:val="20"/>
          <w:color w:val="auto"/>
        </w:rPr>
        <w:t>Our ordinary shares are traded on the Nasdaq Global Select Market under the symbol “KRNT.” The closing price of our ordinary shares, as reported on the Nasdaq Global Select Market on September 11, 2020 was $60.26.</w:t>
      </w:r>
    </w:p>
    <w:p>
      <w:pPr>
        <w:spacing w:after="0" w:line="10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21"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9"/>
          <w:szCs w:val="19"/>
          <w:b w:val="1"/>
          <w:bCs w:val="1"/>
          <w:color w:val="auto"/>
        </w:rPr>
        <w:t>Investing in our ordinary shares involves certain risks. Please carefully consider the “Risk Factors” in Item 3 of our most recent annual report on Form 20-F incorporated by reference in this prospectus and in any applicable supplement to this prospectus, for a discussion of the factors you should consider carefully before deciding to purchase these ordinary shares.</w:t>
      </w:r>
    </w:p>
    <w:p>
      <w:pPr>
        <w:spacing w:after="0" w:line="9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21"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20"/>
          <w:szCs w:val="20"/>
          <w:b w:val="1"/>
          <w:bCs w:val="1"/>
          <w:color w:val="auto"/>
        </w:rPr>
        <w:t>Neither the Securities and Exchange Commission nor any state securities commission has approved or disapproved of the ordinary shares being offered by this prospectus, or determined if this prospectus is truthful or complete. Any representation to the contrary is a criminal offense.</w:t>
      </w:r>
    </w:p>
    <w:p>
      <w:pPr>
        <w:spacing w:after="0" w:line="9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date of this prospectus is September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271145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 w:name="page5"/>
    <w:bookmarkEnd w:id="4"/>
    <w:tbl>
      <w:tblPr>
        <w:tblLayout w:type="fixed"/>
        <w:tblInd w:w="460" w:type="dxa"/>
        <w:tblCellMar>
          <w:top w:w="0" w:type="dxa"/>
          <w:left w:w="0" w:type="dxa"/>
          <w:bottom w:w="0" w:type="dxa"/>
          <w:right w:w="0" w:type="dxa"/>
        </w:tblCellMar>
      </w:tblPr>
      <w:tr>
        <w:trPr>
          <w:trHeight w:val="238"/>
        </w:trPr>
        <w:tc>
          <w:tcPr>
            <w:tcW w:w="748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0"/>
                <w:szCs w:val="20"/>
                <w:color w:val="auto"/>
              </w:rPr>
            </w:pPr>
          </w:p>
        </w:tc>
      </w:tr>
      <w:tr>
        <w:trPr>
          <w:trHeight w:val="413"/>
        </w:trPr>
        <w:tc>
          <w:tcPr>
            <w:tcW w:w="74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7"/>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About this Prospectus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Kornit Digital Ltd.</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Forward-Looking Statements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Use of Proceeds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Description of Ordinary Shares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Plan of Distribution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Legal Matters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Experts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Where You Can Find More Information</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Incorporation of Certain Documents By Reference</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Enforceability of Civil Liabilities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Securities and Exchange Commission, or SEC, as a “well-known seasoned issuer” as defined in Rule 405 of the Securities Act, as amended, utilizing a “shelf” registration process. Under this process, we may offer and sell our ordinary shares under this prospectus from time to time, in one or more offerings. This prospectus provides you with a general description of the ordinary shares we may offer. Each time we sell ordinary shares under the shelf registration statement of which this prospectus forms a part, we will provide a prospectus supplement that will contain specific information about the terms of that offering, if required. The prospectus supplement may also add, update or change information contained in this prospectus, and may also contain information about any material federal income tax considerations relating to the ordinary shares covered by the prospectus supplement. You should read both this prospectus and any prospectus supplement together with additional information under the headings “Where You Can Find More Information” and “Incorporation of Certain Documents by Reference.”</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summary may not contain all of the information that may be important to you. You should read this entire prospectus, including the financial data and related notes incorporated by reference in this prospectus, before making an investment decision. This summary contains forward-looking statements that involve risks and uncertainties. Our actual results may differ significantly from the results discussed in the forward-looking statements. Factors that might cause or contribute to such differences include those discussed in “Risk Factors” and “Forward-Looking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develop, manufacture and market innovative digital printing solutions for the global printed textile industry, with a major focus on the fashion, apparel and home décor segments of the industry.</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vision is to create a world where everybody can bond, design and express their identities, one impression at a time.</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mission is to revolutionize the fast-changing printed textile industry by facilitating and expediting the transition from analog processes that have not evolved for decades and are not suited to the rapidly changing business models and self-disruption needs of the industry, to digital methods of garment, apparel and home décor, finished-goods production and decoration that address the contemporary supply, demand, social and environmental needs of the industry in which we operate.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provisions of the Israeli Companies Law, 5759-1999, or the Israeli Companies Law. Our principal executive offices are located at 12 Ha’Amal Street, Rosh Ha’Ayin 4809246, Israel, and our telephone number is +972-3-908-5800. Our website address is </w:t>
      </w:r>
      <w:r>
        <w:rPr>
          <w:rFonts w:ascii="Times New Roman" w:cs="Times New Roman" w:eastAsia="Times New Roman" w:hAnsi="Times New Roman"/>
          <w:sz w:val="18"/>
          <w:szCs w:val="18"/>
          <w:i w:val="1"/>
          <w:iCs w:val="1"/>
          <w:color w:val="auto"/>
        </w:rPr>
        <w:t>www.kornit.com</w:t>
      </w:r>
      <w:r>
        <w:rPr>
          <w:rFonts w:ascii="Times New Roman" w:cs="Times New Roman" w:eastAsia="Times New Roman" w:hAnsi="Times New Roman"/>
          <w:sz w:val="18"/>
          <w:szCs w:val="18"/>
          <w:color w:val="auto"/>
        </w:rPr>
        <w:t xml:space="preserve"> (the information contained therein or linked thereto shall not be considered incorporated by reference in this prospectus). Our agent for service of process in the United States is Kornit Digital North America Inc., located at 480 South Dean Street, Englewood, New Jersey 07631, and its telephone number is (888) 456-7648.</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Our business, financial condition or results of operations could be adversely affected by any of these risks. If any of these risks occurs, the value of our ordinary shares and our other securities may decline. You should carefully consider the risk factors discussed under the caption “Risk Factors” in our annual report on Form 20-F for the year ended December 31, 2019 and in any other filings we make with the Securities and Exchange Commission (the “SEC”) subsequent to the date of this prospectus which are incorporated herein by reference, and in any supplement to this prospectus, before making your investment decision.</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in it by reference contain forward-looking statements within the meaning of Section 27A of the Securities Act of 1933, as amended, or the Securities Act, Section 21E of the Securities Exchange Act of 1934, as amended, or the Exchange Act, and the safe harbor provisions of the U.S. Private Securities Litigation Reform Act of 1995, which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the documents incorporated by reference in this prospectus, and other publicly available sources. Such factors and many other factors beyond the control of our management could cause our actual results, level of activity, performance or achievements to differ materially from any future results, level of activity,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the net proceeds from the sale of securities offered by us pursuant to this prospectus for general corporate and working capital purposes.</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will not receive any proceeds from the sale of ordinary shares by the selling shareholder.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the selling shareholder of our ordinary shares as of September 11, 2020. On September 11, we had a total of 41,197,714 of our ordinary shares outstanding.</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Except as otherwise indicated, to our knowledge, the selling shareholder has sole voting and investment power with respect to all ordinary shares shown as beneficially owned by it.</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more information regarding our relationships with the selling shareholder and its affiliates, see “Major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Shareholders and Related Party Transactions” in our Annual Report on Form 20-F for the year ended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2019 filed with the SEC on March 23, 2020.</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Beneficially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Beneficially</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00" w:type="dxa"/>
            <w:vAlign w:val="bottom"/>
          </w:tcPr>
          <w:p>
            <w:pPr>
              <w:spacing w:after="0"/>
              <w:rPr>
                <w:sz w:val="17"/>
                <w:szCs w:val="17"/>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0" w:type="dxa"/>
            <w:vAlign w:val="bottom"/>
          </w:tcPr>
          <w:p>
            <w:pPr>
              <w:spacing w:after="0"/>
              <w:rPr>
                <w:sz w:val="1"/>
                <w:szCs w:val="1"/>
                <w:color w:val="auto"/>
              </w:rPr>
            </w:pPr>
          </w:p>
        </w:tc>
      </w:tr>
      <w:tr>
        <w:trPr>
          <w:trHeight w:val="95"/>
        </w:trPr>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Prior to Offering</w:t>
            </w: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After Offering</w:t>
            </w:r>
          </w:p>
        </w:tc>
        <w:tc>
          <w:tcPr>
            <w:tcW w:w="0" w:type="dxa"/>
            <w:vAlign w:val="bottom"/>
          </w:tcPr>
          <w:p>
            <w:pPr>
              <w:spacing w:after="0"/>
              <w:rPr>
                <w:sz w:val="1"/>
                <w:szCs w:val="1"/>
                <w:color w:val="auto"/>
              </w:rPr>
            </w:pPr>
          </w:p>
        </w:tc>
      </w:tr>
      <w:tr>
        <w:trPr>
          <w:trHeight w:val="118"/>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140"/>
              <w:spacing w:after="0" w:line="145" w:lineRule="exact"/>
              <w:rPr>
                <w:sz w:val="20"/>
                <w:szCs w:val="20"/>
                <w:color w:val="auto"/>
              </w:rPr>
            </w:pPr>
            <w:r>
              <w:rPr>
                <w:rFonts w:ascii="Times New Roman" w:cs="Times New Roman" w:eastAsia="Times New Roman" w:hAnsi="Times New Roman"/>
                <w:sz w:val="16"/>
                <w:szCs w:val="16"/>
                <w:b w:val="1"/>
                <w:bCs w:val="1"/>
                <w:color w:val="auto"/>
              </w:rPr>
              <w:t>Shares</w:t>
            </w:r>
          </w:p>
        </w:tc>
        <w:tc>
          <w:tcPr>
            <w:tcW w:w="1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3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Offered</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46"/>
        </w:trPr>
        <w:tc>
          <w:tcPr>
            <w:tcW w:w="3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Amazon.com NV Investment Holdings LLC</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2,052,507</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2,932,176</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jc w:val="both"/>
        <w:ind w:left="880" w:right="459" w:hanging="426"/>
        <w:spacing w:after="0" w:line="276" w:lineRule="auto"/>
        <w:tabs>
          <w:tab w:leader="none" w:pos="99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selling shareholder is a wholly owned subsidiary of Amazon.com, Inc., whose address is 440 Terry Avenue North, Seattle, WA 98109. Shares beneficially owned consist of vested shares underlying a warrant granted to the selling shareholder assuming full exercise of the warrant for cash.</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 description of our ordinary shares can be found under the heading “Item 1. Description of Registrant’s Securities to be Registered” in our registration statement on Form 8-A as filed with the SEC on March 31, 2015, as updated by Exhibit 2.2 to our annual report on Form 20-F for the year ended December 31, 2019, which description is incorporated by reference herein.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or the selling shareholder may sell the securities in one or more of the following ways (or in any combination) from time to time:</w:t>
      </w:r>
    </w:p>
    <w:p>
      <w:pPr>
        <w:spacing w:after="0" w:line="81" w:lineRule="exact"/>
        <w:rPr>
          <w:sz w:val="20"/>
          <w:szCs w:val="20"/>
          <w:color w:val="auto"/>
        </w:rPr>
      </w:pPr>
    </w:p>
    <w:p>
      <w:pPr>
        <w:ind w:left="1300" w:hanging="41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9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distribution of our securities or the selling shareholder’s ordinary shares may be carried out, from time to time, in one or more transactions, including:</w:t>
      </w:r>
    </w:p>
    <w:p>
      <w:pPr>
        <w:spacing w:after="0" w:line="94" w:lineRule="exact"/>
        <w:rPr>
          <w:sz w:val="20"/>
          <w:szCs w:val="20"/>
          <w:color w:val="auto"/>
        </w:rPr>
      </w:pPr>
    </w:p>
    <w:p>
      <w:pPr>
        <w:ind w:left="1320" w:right="459" w:hanging="434"/>
        <w:spacing w:after="0" w:line="282" w:lineRule="auto"/>
        <w:tabs>
          <w:tab w:leader="none" w:pos="14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transactions and transactions on the Nasdaq Global Select Market or any other organized market where the securities may be traded;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 pursuant to a prospectus supplement;</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“at the market” to or through a market maker or into an existing trading market, on an exchange or otherwise; or</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other ways not involving market makers or established trading markets, including direct sales to purchasers.</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or the selling shareholders may authorize to be provided to you) will describe the terms of the offering of the securities, including, to the extent applicable:</w:t>
      </w:r>
    </w:p>
    <w:p>
      <w:pPr>
        <w:spacing w:after="0" w:line="108" w:lineRule="exact"/>
        <w:rPr>
          <w:sz w:val="20"/>
          <w:szCs w:val="20"/>
          <w:color w:val="auto"/>
        </w:rPr>
      </w:pPr>
    </w:p>
    <w:p>
      <w:pPr>
        <w:ind w:left="1300" w:hanging="41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distribution;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or purchase price and the proceeds to us from that sale;</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under which underwriters may purchase additional securities from us, if any;</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offering;</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to be allowed or paid to the underwriters, dealers or agents;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 and the discounts to be allowed or paid to dealers, if any;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distribution of the securities that we believe to be material.</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Underwriters may offer and sell the securities at a fixed price or prices, which may be changed, or from time to time at market prices prevailing at the time of sale, at prices related to prevailing market prices or at negotiated prices. We or the selling shareholder may, from time to time, authorize agents acting on a best or reasonable efforts basis as our agents to solicit or receive offers to purchase the securities upon the terms and conditions as are set forth in the applicable prospectus supplement. In connection with the sale of securities, underwriters or agents may be deemed to have received compensation from us or the selling shareholder in the form of underwriting discounts and may also receive commissions from purchasers of securities for whom they may act as agent. Underwriters may sell securities to or through dealers, and dealers may receive compensation in the form of discounts or concessions from the underwriters and commissions from the purchasers for whom they may act as agent.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 w:name="page14"/>
    <w:bookmarkEnd w:id="13"/>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securities and their controlling persons may be entitled, under agreements that may be entered into with us or the selling shareholder to indemnification by us against certain liabilities, including liabilities under the Securities Act, or to contribution with respect to payments that the underwriters, dealers or agents and their controlling persons may be required to make in respect of those liabilities.</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or the selling shareholder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Certain legal matters with respect to Israeli law and with respect to the validity of the offered securities under Israeli law will be passed upon for us by Meitar Law Offices, Ramat Gan, Israel.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Kornit Digital Ltd. incorporated by reference in this prospectus by reference to Kornit Digital Ltd.’s annual report on Form 20-F for the year ended December 31, 2019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F-3 under the Securities Act, with respect to the securities offered by this prospectus. This prospectus and any accompanying prospectus supplement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and any accompanying prospectus supplement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Under the Exchange Act, we are required to file annual reports and certain special reports with, and to furnish current reports and certain other information to,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1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color w:val="auto"/>
        </w:rPr>
        <w:t xml:space="preserve">We maintain a corporate website at </w:t>
      </w:r>
      <w:r>
        <w:rPr>
          <w:rFonts w:ascii="Times New Roman" w:cs="Times New Roman" w:eastAsia="Times New Roman" w:hAnsi="Times New Roman"/>
          <w:sz w:val="18"/>
          <w:szCs w:val="18"/>
          <w:i w:val="1"/>
          <w:iCs w:val="1"/>
          <w:color w:val="auto"/>
        </w:rPr>
        <w:t>www.kornit.com.</w:t>
      </w:r>
      <w:r>
        <w:rPr>
          <w:rFonts w:ascii="Times New Roman" w:cs="Times New Roman" w:eastAsia="Times New Roman" w:hAnsi="Times New Roman"/>
          <w:sz w:val="18"/>
          <w:szCs w:val="18"/>
          <w:color w:val="auto"/>
        </w:rPr>
        <w:t xml:space="preserve"> Information contained on, or that can be accessed through, our website does not constitute a part of this prospectus. We have included our website address in this prospectus solely as an inactive textual reference.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in documents we file with, or furnish to, it. This means that we can disclose important information to you by referring you to another document filed or furnished by us with or to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or specially-designated submissions to,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or furnished later.</w:t>
      </w:r>
    </w:p>
    <w:p>
      <w:pPr>
        <w:spacing w:after="0" w:line="10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incorporate by reference into this prospectus documents listed below and any future filings made with the SEC under Sections 13(a), 13(c), 14 or 15(d) of the Exchange Act, and, to the extent specifically designated therein, reports on Form 6-K we furnish to the SEC on or after the date on which this registration statement is first filed with the SEC and until the termination or completion of that offering under this prospectus:</w:t>
      </w:r>
    </w:p>
    <w:p>
      <w:pPr>
        <w:spacing w:after="0" w:line="112" w:lineRule="exact"/>
        <w:rPr>
          <w:sz w:val="20"/>
          <w:szCs w:val="20"/>
          <w:color w:val="auto"/>
        </w:rPr>
      </w:pPr>
    </w:p>
    <w:p>
      <w:pPr>
        <w:ind w:left="1320" w:right="459" w:hanging="434"/>
        <w:spacing w:after="0" w:line="282" w:lineRule="auto"/>
        <w:tabs>
          <w:tab w:leader="none" w:pos="1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7">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2019, filed with the SEC on March 23, 2020 (the “2019 Form 20-F”);</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reports of foreign private issuer on Form 6-K furnished to the SEC on:</w:t>
      </w:r>
    </w:p>
    <w:p>
      <w:pPr>
        <w:spacing w:after="0" w:line="144"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1" w:val="left"/>
        </w:tabs>
        <w:numPr>
          <w:ilvl w:val="1"/>
          <w:numId w:val="7"/>
        </w:numPr>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u w:val="single" w:color="auto"/>
            <w:color w:val="0000EE"/>
          </w:rPr>
          <w:t>May 19,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(i) the portions specified therein, (ii) the paragraph under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caption “Non-GAAP Discussion Disclosure” and (iii) the table under “Reconciliation of GAAP to Non-GAAP Consolidated Statements Of Operations”);</w:t>
      </w:r>
    </w:p>
    <w:p>
      <w:pPr>
        <w:spacing w:after="0" w:line="108"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7"/>
        </w:numPr>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u w:val="single" w:color="auto"/>
            <w:color w:val="0000EE"/>
          </w:rPr>
          <w:t>July 2,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57"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7"/>
        </w:numPr>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u w:val="single" w:color="auto"/>
            <w:color w:val="0000EE"/>
          </w:rPr>
          <w:t>July 27,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44" w:lineRule="exact"/>
        <w:rPr>
          <w:rFonts w:ascii="Times New Roman" w:cs="Times New Roman" w:eastAsia="Times New Roman" w:hAnsi="Times New Roman"/>
          <w:sz w:val="18"/>
          <w:szCs w:val="18"/>
          <w:color w:val="0000EE"/>
        </w:rPr>
      </w:pPr>
    </w:p>
    <w:p>
      <w:pPr>
        <w:jc w:val="both"/>
        <w:ind w:left="1760" w:right="459" w:hanging="442"/>
        <w:spacing w:after="0" w:line="266" w:lineRule="auto"/>
        <w:tabs>
          <w:tab w:leader="none" w:pos="1845" w:val="left"/>
        </w:tabs>
        <w:numPr>
          <w:ilvl w:val="1"/>
          <w:numId w:val="7"/>
        </w:numPr>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u w:val="single" w:color="auto"/>
            <w:color w:val="0000EE"/>
          </w:rPr>
          <w:t>August 11,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(i) the portions specified therein, (ii) the paragraph</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caption “Non-GAAP Discussion Disclosure” and (iii) the table under “Reconciliation of GAAP to Non-GAAP Consolidated Statements Of Operations”);</w:t>
      </w:r>
    </w:p>
    <w:p>
      <w:pPr>
        <w:spacing w:after="0" w:line="108"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7"/>
        </w:numPr>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u w:val="single" w:color="auto"/>
            <w:color w:val="0000EE"/>
          </w:rPr>
          <w:t>August 11,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57"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7"/>
        </w:numPr>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u w:val="single" w:color="auto"/>
            <w:color w:val="0000EE"/>
          </w:rPr>
          <w:t>August 12,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44"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14, 2020 (solely with respect to the portions specified therein);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5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under the heading “Item 1. Description of Registrant’s Securities to be Registered” in our registration statement on </w:t>
      </w:r>
      <w:hyperlink r:id="rId34">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as filed with the SEC on March 31, 2015, as updated by </w:t>
      </w:r>
      <w:hyperlink r:id="rId35">
        <w:r>
          <w:rPr>
            <w:rFonts w:ascii="Times New Roman" w:cs="Times New Roman" w:eastAsia="Times New Roman" w:hAnsi="Times New Roman"/>
            <w:sz w:val="18"/>
            <w:szCs w:val="18"/>
            <w:u w:val="single" w:color="auto"/>
            <w:color w:val="0000EE"/>
          </w:rPr>
          <w:t>Exhibit 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2019 Form 20-F (“Description of Ordinary Shares of Kornit Digital Ltd.”), including any subsequent amendment or any report filed for the purpose of further updating such description.</w:t>
      </w:r>
    </w:p>
    <w:p>
      <w:pPr>
        <w:spacing w:after="0" w:line="116" w:lineRule="exact"/>
        <w:rPr>
          <w:rFonts w:ascii="Times New Roman" w:cs="Times New Roman" w:eastAsia="Times New Roman" w:hAnsi="Times New Roman"/>
          <w:sz w:val="18"/>
          <w:szCs w:val="18"/>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4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 w:name="page17"/>
    <w:bookmarkEnd w:id="16"/>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+972-3-908-5800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incorporated under the laws of the State of Israel. Service of process upon us and upon our directors, officers and any Israeli experts named in this prospectus,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been informed by our legal counsel in Israel, Meitar Law Offices,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irrevocably appointed Kornit Digital North America Inc. as our agent to receive service of process in any action against us in any United States federal or state court arising out of the offering under this prospectus or any purchase or sale of securities in connection with any such offering.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21" w:lineRule="exact"/>
        <w:rPr>
          <w:sz w:val="20"/>
          <w:szCs w:val="20"/>
          <w:color w:val="auto"/>
        </w:rPr>
      </w:pPr>
    </w:p>
    <w:p>
      <w:pPr>
        <w:jc w:val="both"/>
        <w:ind w:left="1320" w:right="479" w:hanging="434"/>
        <w:spacing w:after="0" w:line="266" w:lineRule="auto"/>
        <w:tabs>
          <w:tab w:leader="none" w:pos="1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executory in the state in which it was given;</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law of the foreign state in which the judgment is rendered allows for the enforcement of judgments of Israeli courts;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service of process has been effected and the defendant has had a reasonable opportunity to be heard and to present his or her evidence;</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contrary to public policy of Israel, and the enforcement of the civil liabilities set forth in the judgment is not likely to impair the security or sovereignty of Israel;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not obtained by fraud and does not conflict with any other valid judgment in the same matter between the same parties;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action between the same parties in the same matter was not pending in any Israeli court at the time at which the lawsuit was instituted in the foreign court;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enforceable according to the laws of Israel and according to the law of the foreign state in which the relief was granted.</w:t>
      </w:r>
    </w:p>
    <w:p>
      <w:pPr>
        <w:spacing w:after="0" w:line="94"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If a foreign judgment is enforced by an Israeli court, it generally will be payable in Israeli currency, which can then be converted into non-Israeli currency and transferred out of Israel. Under existing Israeli law, a foreign judgment payable in foreign currency may be paid in Israeli currency at the rate of exchange in force on the date of the payment. Current Israeli exchange control regulations also permit a judgment debtor to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363220</wp:posOffset>
            </wp:positionV>
            <wp:extent cx="514350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406400</wp:posOffset>
            </wp:positionV>
            <wp:extent cx="514350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page">
              <wp:posOffset>2968625</wp:posOffset>
            </wp:positionH>
            <wp:positionV relativeFrom="page">
              <wp:posOffset>1254760</wp:posOffset>
            </wp:positionV>
            <wp:extent cx="1611630" cy="9944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61163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Kornit Digital Ltd.</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_____________________</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1014730</wp:posOffset>
            </wp:positionV>
            <wp:extent cx="514350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1057910</wp:posOffset>
            </wp:positionV>
            <wp:extent cx="514350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1332230</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The company may not exculpate in advance a director from liability arising out of a prohibited dividend or distribution to shareholders.</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12" w:lineRule="exact"/>
        <w:rPr>
          <w:sz w:val="20"/>
          <w:szCs w:val="20"/>
          <w:color w:val="auto"/>
        </w:rPr>
      </w:pPr>
    </w:p>
    <w:p>
      <w:pPr>
        <w:jc w:val="both"/>
        <w:ind w:left="1320" w:right="459" w:hanging="434"/>
        <w:spacing w:after="0" w:line="254" w:lineRule="auto"/>
        <w:tabs>
          <w:tab w:leader="none" w:pos="13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08" w:lineRule="exact"/>
        <w:rPr>
          <w:sz w:val="20"/>
          <w:szCs w:val="20"/>
          <w:color w:val="auto"/>
        </w:rPr>
      </w:pPr>
    </w:p>
    <w:p>
      <w:pPr>
        <w:ind w:left="1320" w:right="459" w:hanging="434"/>
        <w:spacing w:after="0" w:line="282" w:lineRule="auto"/>
        <w:tabs>
          <w:tab w:leader="none" w:pos="13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to the company, provided that the office holder acted in good faith and had a reasonable basis to believe that the act would not harm the company;</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duty of care to the company or to a third party, to the extent such a breach arises out of the negligent conduct of the office holder;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the office holder in favor of a third party.</w:t>
      </w:r>
    </w:p>
    <w:p>
      <w:pPr>
        <w:spacing w:after="0" w:line="15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Under the Israeli Companies Law, a company may not indemnify, exculpate or insure an office holder against any of the following:</w:t>
      </w:r>
    </w:p>
    <w:p>
      <w:pPr>
        <w:spacing w:after="0" w:line="81" w:lineRule="exact"/>
        <w:rPr>
          <w:sz w:val="20"/>
          <w:szCs w:val="20"/>
          <w:color w:val="auto"/>
        </w:rPr>
      </w:pPr>
    </w:p>
    <w:p>
      <w:pPr>
        <w:jc w:val="both"/>
        <w:ind w:left="1320" w:right="459" w:hanging="434"/>
        <w:spacing w:after="0" w:line="266" w:lineRule="auto"/>
        <w:tabs>
          <w:tab w:leader="none" w:pos="13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duty of care committed intentionally or recklessly, excluding a breach arising solely out of the negligent conduct of the office holder;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0" w:name="page21"/>
    <w:bookmarkEnd w:id="20"/>
    <w:p>
      <w:pPr>
        <w:ind w:left="1300" w:hanging="41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or omission committed with intent to derive illegal personal benefit; or</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fine, civil fine, monetary sanction or forfeit levied against the office holder.</w:t>
      </w:r>
    </w:p>
    <w:p>
      <w:pPr>
        <w:spacing w:after="0" w:line="15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articles permit us to exculpate, indemnify and insure our office holders to the fullest extent permitted or to be permitted by the Israeli Companies Law. 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directors and executive officers exculpating them from liability to us for damages caused to us as a result of a breach of duty of care and undertaking to indemnify them, in each case, to the fullest extent permitted by our articles and Israeli law, including with respect to liabilities resulting from a public offering of our shares, to the extent that these liabilities are not covered by insurance.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8" w:lineRule="exact"/>
        <w:rPr>
          <w:sz w:val="20"/>
          <w:szCs w:val="20"/>
          <w:color w:val="auto"/>
        </w:rPr>
      </w:pPr>
    </w:p>
    <w:p>
      <w:pPr>
        <w:ind w:left="460"/>
        <w:spacing w:after="0"/>
        <w:tabs>
          <w:tab w:leader="none" w:pos="4460" w:val="left"/>
        </w:tabs>
        <w:rPr>
          <w:sz w:val="20"/>
          <w:szCs w:val="20"/>
          <w:color w:val="auto"/>
        </w:rPr>
      </w:pPr>
      <w:r>
        <w:rPr>
          <w:rFonts w:ascii="Times New Roman" w:cs="Times New Roman" w:eastAsia="Times New Roman" w:hAnsi="Times New Roman"/>
          <w:sz w:val="16"/>
          <w:szCs w:val="16"/>
          <w:b w:val="1"/>
          <w:bCs w:val="1"/>
          <w:color w:val="auto"/>
        </w:rPr>
        <w:t>No.</w:t>
      </w:r>
      <w:r>
        <w:rPr>
          <w:sz w:val="20"/>
          <w:szCs w:val="20"/>
          <w:color w:val="auto"/>
        </w:rPr>
        <w:tab/>
      </w:r>
      <w:r>
        <w:rPr>
          <w:rFonts w:ascii="Times New Roman" w:cs="Times New Roman" w:eastAsia="Times New Roman" w:hAnsi="Times New Roman"/>
          <w:sz w:val="16"/>
          <w:szCs w:val="16"/>
          <w:b w:val="1"/>
          <w:bCs w:val="1"/>
          <w:color w:val="auto"/>
        </w:rPr>
        <w:t>Document</w:t>
      </w:r>
    </w:p>
    <w:p>
      <w:pPr>
        <w:spacing w:after="0" w:line="60" w:lineRule="exact"/>
        <w:rPr>
          <w:sz w:val="20"/>
          <w:szCs w:val="20"/>
          <w:color w:val="auto"/>
        </w:rPr>
      </w:pPr>
    </w:p>
    <w:p>
      <w:pPr>
        <w:ind w:left="460"/>
        <w:spacing w:after="0"/>
        <w:tabs>
          <w:tab w:leader="none" w:pos="11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Form of Underwriting Agreement.</w:t>
      </w:r>
      <w:r>
        <w:rPr>
          <w:rFonts w:ascii="Times New Roman" w:cs="Times New Roman" w:eastAsia="Times New Roman" w:hAnsi="Times New Roman"/>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-135255</wp:posOffset>
            </wp:positionV>
            <wp:extent cx="514350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44" w:lineRule="exact"/>
        <w:rPr>
          <w:sz w:val="20"/>
          <w:szCs w:val="20"/>
          <w:color w:val="auto"/>
        </w:rPr>
      </w:pPr>
    </w:p>
    <w:p>
      <w:pPr>
        <w:jc w:val="both"/>
        <w:ind w:left="1120" w:right="459" w:hanging="660"/>
        <w:spacing w:after="0" w:line="259"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48">
        <w:r>
          <w:rPr>
            <w:rFonts w:ascii="Times New Roman" w:cs="Times New Roman" w:eastAsia="Times New Roman" w:hAnsi="Times New Roman"/>
            <w:sz w:val="18"/>
            <w:szCs w:val="18"/>
            <w:u w:val="single" w:color="auto"/>
            <w:color w:val="0000EE"/>
          </w:rPr>
          <w:t>Amended and Restated Articles of Association of the Registrant (incorporated by reference to Exhibit</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3.2 of the Registration Statement on Form F-1 of the Registrant (File No. 333-202291) filed with the</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SEC on March 18, 2015).</w:t>
        </w:r>
      </w:hyperlink>
    </w:p>
    <w:p>
      <w:pPr>
        <w:spacing w:after="0" w:line="6" w:lineRule="exact"/>
        <w:rPr>
          <w:rFonts w:ascii="Times New Roman" w:cs="Times New Roman" w:eastAsia="Times New Roman" w:hAnsi="Times New Roman"/>
          <w:sz w:val="18"/>
          <w:szCs w:val="18"/>
          <w:u w:val="single" w:color="auto"/>
          <w:color w:val="0000EE"/>
        </w:rPr>
      </w:pPr>
    </w:p>
    <w:p>
      <w:pPr>
        <w:jc w:val="both"/>
        <w:ind w:left="1120" w:right="479" w:hanging="660"/>
        <w:spacing w:after="0" w:line="273"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49">
        <w:r>
          <w:rPr>
            <w:rFonts w:ascii="Times New Roman" w:cs="Times New Roman" w:eastAsia="Times New Roman" w:hAnsi="Times New Roman"/>
            <w:sz w:val="18"/>
            <w:szCs w:val="18"/>
            <w:u w:val="single" w:color="auto"/>
            <w:color w:val="0000EE"/>
          </w:rPr>
          <w:t>Specimen Share Certificate (incorporated by reference to Exhibit 4.1 of the Registration Statement on</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Form F-1 of the Registrant (File No. 333-202291) filed with the SEC on March 10,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-287020</wp:posOffset>
            </wp:positionV>
            <wp:extent cx="5143500"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jc w:val="both"/>
        <w:ind w:left="1120" w:right="479" w:hanging="660"/>
        <w:spacing w:after="0" w:line="273"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5.1</w:t>
      </w:r>
      <w:r>
        <w:rPr>
          <w:sz w:val="20"/>
          <w:szCs w:val="20"/>
          <w:color w:val="auto"/>
        </w:rPr>
        <w:tab/>
      </w:r>
      <w:hyperlink w:anchor="page27">
        <w:r>
          <w:rPr>
            <w:rFonts w:ascii="Times New Roman" w:cs="Times New Roman" w:eastAsia="Times New Roman" w:hAnsi="Times New Roman"/>
            <w:sz w:val="18"/>
            <w:szCs w:val="18"/>
            <w:u w:val="single" w:color="auto"/>
            <w:color w:val="0000EE"/>
          </w:rPr>
          <w:t>Opinion of Meitar Law Offices, Israeli counsel to the Registrant, as to the validity of the ordinary</w:t>
        </w:r>
      </w:hyperlink>
      <w:r>
        <w:rPr>
          <w:rFonts w:ascii="Times New Roman" w:cs="Times New Roman" w:eastAsia="Times New Roman" w:hAnsi="Times New Roman"/>
          <w:sz w:val="18"/>
          <w:szCs w:val="18"/>
          <w:u w:val="single" w:color="auto"/>
          <w:color w:val="0000EE"/>
        </w:rPr>
        <w:t xml:space="preserve"> </w:t>
      </w:r>
      <w:hyperlink w:anchor="page27">
        <w:r>
          <w:rPr>
            <w:rFonts w:ascii="Times New Roman" w:cs="Times New Roman" w:eastAsia="Times New Roman" w:hAnsi="Times New Roman"/>
            <w:sz w:val="18"/>
            <w:szCs w:val="18"/>
            <w:u w:val="single" w:color="auto"/>
            <w:color w:val="0000EE"/>
          </w:rPr>
          <w:t>shares offered hereunder (including consent).</w:t>
        </w:r>
      </w:hyperlink>
    </w:p>
    <w:p>
      <w:pPr>
        <w:spacing w:after="0" w:line="2" w:lineRule="exact"/>
        <w:rPr>
          <w:sz w:val="20"/>
          <w:szCs w:val="20"/>
          <w:color w:val="auto"/>
        </w:rPr>
      </w:pPr>
    </w:p>
    <w:p>
      <w:pPr>
        <w:ind w:left="46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w:anchor="page29">
        <w:r>
          <w:rPr>
            <w:rFonts w:ascii="Times New Roman" w:cs="Times New Roman" w:eastAsia="Times New Roman" w:hAnsi="Times New Roman"/>
            <w:sz w:val="17"/>
            <w:szCs w:val="17"/>
            <w:u w:val="single" w:color="auto"/>
            <w:color w:val="0000EE"/>
          </w:rPr>
          <w:t>Consent of Kost Forer Gabbay &amp; Kasierer, a member of Ernst &amp; Young Global Limited.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23.2</w:t>
      </w:r>
      <w:r>
        <w:rPr>
          <w:sz w:val="20"/>
          <w:szCs w:val="20"/>
          <w:color w:val="auto"/>
        </w:rPr>
        <w:tab/>
      </w:r>
      <w:hyperlink w:anchor="page27">
        <w:r>
          <w:rPr>
            <w:rFonts w:ascii="Times New Roman" w:cs="Times New Roman" w:eastAsia="Times New Roman" w:hAnsi="Times New Roman"/>
            <w:sz w:val="17"/>
            <w:szCs w:val="17"/>
            <w:u w:val="single" w:color="auto"/>
            <w:color w:val="0000EE"/>
          </w:rPr>
          <w:t>Consent of Meitar Law Offices (included in Exhibit 5.1).</w:t>
        </w:r>
      </w:hyperlink>
    </w:p>
    <w:p>
      <w:pPr>
        <w:spacing w:after="0" w:line="77" w:lineRule="exact"/>
        <w:rPr>
          <w:sz w:val="20"/>
          <w:szCs w:val="20"/>
          <w:color w:val="auto"/>
        </w:rPr>
      </w:pPr>
    </w:p>
    <w:p>
      <w:pPr>
        <w:ind w:left="46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24.1</w:t>
      </w:r>
      <w:r>
        <w:rPr>
          <w:sz w:val="20"/>
          <w:szCs w:val="20"/>
          <w:color w:val="auto"/>
        </w:rPr>
        <w:tab/>
      </w:r>
      <w:hyperlink w:anchor="page26">
        <w:r>
          <w:rPr>
            <w:rFonts w:ascii="Times New Roman" w:cs="Times New Roman" w:eastAsia="Times New Roman" w:hAnsi="Times New Roman"/>
            <w:sz w:val="17"/>
            <w:szCs w:val="17"/>
            <w:u w:val="single" w:color="auto"/>
            <w:color w:val="0000EE"/>
          </w:rPr>
          <w:t>Powers of Attorney (included in signature page to Registration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98" w:lineRule="auto"/>
        <w:tabs>
          <w:tab w:leader="none" w:pos="93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as an exhibit to a post-effective amendment to this registration statement or as an exhibit to a report on Form 6-K and incorporated herein by reference.</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148" w:lineRule="exact"/>
        <w:rPr>
          <w:sz w:val="20"/>
          <w:szCs w:val="20"/>
          <w:color w:val="auto"/>
        </w:rPr>
      </w:pPr>
    </w:p>
    <w:p>
      <w:pPr>
        <w:ind w:left="1280" w:hanging="394"/>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57"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6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2180" w:right="479" w:hanging="430"/>
        <w:spacing w:after="0" w:line="282" w:lineRule="auto"/>
        <w:tabs>
          <w:tab w:leader="none" w:pos="2161"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(the “Securities Act”);</w:t>
      </w:r>
    </w:p>
    <w:p>
      <w:pPr>
        <w:spacing w:after="0" w:line="80" w:lineRule="exact"/>
        <w:rPr>
          <w:rFonts w:ascii="Times New Roman" w:cs="Times New Roman" w:eastAsia="Times New Roman" w:hAnsi="Times New Roman"/>
          <w:sz w:val="18"/>
          <w:szCs w:val="18"/>
          <w:color w:val="auto"/>
        </w:rPr>
      </w:pPr>
    </w:p>
    <w:p>
      <w:pPr>
        <w:jc w:val="both"/>
        <w:ind w:left="2180" w:right="459" w:hanging="430"/>
        <w:spacing w:after="0" w:line="253" w:lineRule="auto"/>
        <w:tabs>
          <w:tab w:leader="none" w:pos="2242"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4" w:lineRule="exact"/>
        <w:rPr>
          <w:rFonts w:ascii="Times New Roman" w:cs="Times New Roman" w:eastAsia="Times New Roman" w:hAnsi="Times New Roman"/>
          <w:sz w:val="18"/>
          <w:szCs w:val="18"/>
          <w:color w:val="auto"/>
        </w:rPr>
      </w:pPr>
    </w:p>
    <w:p>
      <w:pPr>
        <w:jc w:val="both"/>
        <w:ind w:left="2180" w:right="479" w:hanging="430"/>
        <w:spacing w:after="0" w:line="266" w:lineRule="auto"/>
        <w:tabs>
          <w:tab w:leader="none" w:pos="2307"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06" w:lineRule="exact"/>
        <w:rPr>
          <w:sz w:val="20"/>
          <w:szCs w:val="20"/>
          <w:color w:val="auto"/>
        </w:rPr>
      </w:pPr>
    </w:p>
    <w:p>
      <w:pPr>
        <w:jc w:val="both"/>
        <w:ind w:left="1760" w:right="4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(i), (ii) and (iii) above do not apply if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included in a post-effective amendment by those paragraphs is contained in periodic reports filed with or furnished to the Commission by the registrant pursuant to section 13 or section 15(d) of the Securities Exchange Act of 1934 (the “Exchange Act”) that are incorporated by reference in this registration statement or is contained in a form of prospectus filed pursuant to Rule 424(b) that is part of this registration statement.</w:t>
      </w:r>
    </w:p>
    <w:p>
      <w:pPr>
        <w:spacing w:after="0" w:line="103" w:lineRule="exact"/>
        <w:rPr>
          <w:sz w:val="20"/>
          <w:szCs w:val="20"/>
          <w:color w:val="auto"/>
        </w:rPr>
      </w:pPr>
    </w:p>
    <w:p>
      <w:pPr>
        <w:jc w:val="both"/>
        <w:ind w:left="1760" w:right="459" w:hanging="442"/>
        <w:spacing w:after="0" w:line="261" w:lineRule="auto"/>
        <w:tabs>
          <w:tab w:leader="none" w:pos="18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22" w:name="page23"/>
    <w:bookmarkEnd w:id="22"/>
    <w:p>
      <w:pPr>
        <w:ind w:left="1760" w:right="479" w:hanging="442"/>
        <w:spacing w:after="0" w:line="282" w:lineRule="auto"/>
        <w:tabs>
          <w:tab w:leader="none" w:pos="18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80"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8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Rule 3-19 of Regulation S-X if such financial statements and information are contained in periodic reports filed with or furnished to the Commission by the registrant pursuant to section 13 or section 15(d) of the Exchange Act that are incorporated by reference in this Form F-3.</w:t>
      </w:r>
    </w:p>
    <w:p>
      <w:pPr>
        <w:spacing w:after="0" w:line="119"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57" w:lineRule="exact"/>
        <w:rPr>
          <w:rFonts w:ascii="Times New Roman" w:cs="Times New Roman" w:eastAsia="Times New Roman" w:hAnsi="Times New Roman"/>
          <w:sz w:val="18"/>
          <w:szCs w:val="18"/>
          <w:color w:val="auto"/>
        </w:rPr>
      </w:pPr>
    </w:p>
    <w:p>
      <w:pPr>
        <w:jc w:val="both"/>
        <w:ind w:left="2180" w:right="479" w:hanging="430"/>
        <w:spacing w:after="0" w:line="266" w:lineRule="auto"/>
        <w:tabs>
          <w:tab w:leader="none" w:pos="21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4" w:lineRule="exact"/>
        <w:rPr>
          <w:rFonts w:ascii="Times New Roman" w:cs="Times New Roman" w:eastAsia="Times New Roman" w:hAnsi="Times New Roman"/>
          <w:sz w:val="18"/>
          <w:szCs w:val="18"/>
          <w:color w:val="auto"/>
        </w:rPr>
      </w:pPr>
    </w:p>
    <w:p>
      <w:pPr>
        <w:jc w:val="both"/>
        <w:ind w:left="2180" w:right="459" w:hanging="430"/>
        <w:spacing w:after="0" w:line="252" w:lineRule="auto"/>
        <w:tabs>
          <w:tab w:leader="none" w:pos="222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4"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7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1" w:lineRule="exact"/>
        <w:rPr>
          <w:rFonts w:ascii="Times New Roman" w:cs="Times New Roman" w:eastAsia="Times New Roman" w:hAnsi="Times New Roman"/>
          <w:sz w:val="18"/>
          <w:szCs w:val="18"/>
          <w:color w:val="auto"/>
        </w:rPr>
      </w:pPr>
    </w:p>
    <w:p>
      <w:pPr>
        <w:ind w:left="2180" w:right="479" w:hanging="430"/>
        <w:spacing w:after="0" w:line="282" w:lineRule="auto"/>
        <w:tabs>
          <w:tab w:leader="none" w:pos="223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80" w:lineRule="exact"/>
        <w:rPr>
          <w:rFonts w:ascii="Times New Roman" w:cs="Times New Roman" w:eastAsia="Times New Roman" w:hAnsi="Times New Roman"/>
          <w:sz w:val="18"/>
          <w:szCs w:val="18"/>
          <w:color w:val="auto"/>
        </w:rPr>
      </w:pPr>
    </w:p>
    <w:p>
      <w:pPr>
        <w:ind w:left="2180" w:right="459" w:hanging="430"/>
        <w:spacing w:after="0" w:line="282" w:lineRule="auto"/>
        <w:tabs>
          <w:tab w:leader="none" w:pos="225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jc w:val="both"/>
        <w:ind w:left="2180" w:right="459" w:hanging="430"/>
        <w:spacing w:after="0" w:line="266" w:lineRule="auto"/>
        <w:tabs>
          <w:tab w:leader="none" w:pos="225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2180" w:right="479" w:hanging="430"/>
        <w:spacing w:after="0" w:line="282" w:lineRule="auto"/>
        <w:tabs>
          <w:tab w:leader="none" w:pos="224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jc w:val="both"/>
        <w:ind w:left="1320" w:right="459" w:hanging="434"/>
        <w:spacing w:after="0" w:line="255" w:lineRule="auto"/>
        <w:tabs>
          <w:tab w:leader="none" w:pos="1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42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2"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ind w:left="460" w:right="479" w:firstLine="432"/>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Rosh Ha’Ayin, Israel on this 14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of September, 2020.</w:t>
      </w:r>
    </w:p>
    <w:p>
      <w:pPr>
        <w:spacing w:after="0" w:line="1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62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 Ronen Samuel</w:t>
            </w:r>
          </w:p>
        </w:tc>
        <w:tc>
          <w:tcPr>
            <w:tcW w:w="0" w:type="dxa"/>
            <w:vAlign w:val="bottom"/>
          </w:tcPr>
          <w:p>
            <w:pPr>
              <w:spacing w:after="0"/>
              <w:rPr>
                <w:sz w:val="1"/>
                <w:szCs w:val="1"/>
                <w:color w:val="auto"/>
              </w:rPr>
            </w:pPr>
          </w:p>
        </w:tc>
      </w:tr>
      <w:tr>
        <w:trPr>
          <w:trHeight w:val="41"/>
        </w:trPr>
        <w:tc>
          <w:tcPr>
            <w:tcW w:w="4620" w:type="dxa"/>
            <w:vAlign w:val="bottom"/>
            <w:vMerge w:val="restart"/>
          </w:tcPr>
          <w:p>
            <w:pPr>
              <w:ind w:left="4040"/>
              <w:spacing w:after="0"/>
              <w:rPr>
                <w:sz w:val="20"/>
                <w:szCs w:val="20"/>
                <w:color w:val="auto"/>
              </w:rPr>
            </w:pPr>
            <w:r>
              <w:rPr>
                <w:rFonts w:ascii="Times New Roman" w:cs="Times New Roman" w:eastAsia="Times New Roman" w:hAnsi="Times New Roman"/>
                <w:sz w:val="18"/>
                <w:szCs w:val="18"/>
                <w:color w:val="auto"/>
              </w:rPr>
              <w:t>Name:</w:t>
            </w:r>
          </w:p>
        </w:tc>
        <w:tc>
          <w:tcPr>
            <w:tcW w:w="3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620" w:type="dxa"/>
            <w:vAlign w:val="bottom"/>
            <w:vMerge w:val="continue"/>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Ronen Samuel</w:t>
            </w:r>
          </w:p>
        </w:tc>
        <w:tc>
          <w:tcPr>
            <w:tcW w:w="0" w:type="dxa"/>
            <w:vAlign w:val="bottom"/>
          </w:tcPr>
          <w:p>
            <w:pPr>
              <w:spacing w:after="0"/>
              <w:rPr>
                <w:sz w:val="1"/>
                <w:szCs w:val="1"/>
                <w:color w:val="auto"/>
              </w:rPr>
            </w:pPr>
          </w:p>
        </w:tc>
      </w:tr>
      <w:tr>
        <w:trPr>
          <w:trHeight w:val="279"/>
        </w:trPr>
        <w:tc>
          <w:tcPr>
            <w:tcW w:w="462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432"/>
        </w:trPr>
        <w:tc>
          <w:tcPr>
            <w:tcW w:w="4620" w:type="dxa"/>
            <w:vAlign w:val="bottom"/>
            <w:tcBorders>
              <w:bottom w:val="single" w:sz="8" w:color="auto"/>
            </w:tcBorders>
          </w:tcPr>
          <w:p>
            <w:pPr>
              <w:ind w:left="3900"/>
              <w:spacing w:after="0"/>
              <w:rPr>
                <w:sz w:val="20"/>
                <w:szCs w:val="20"/>
                <w:color w:val="auto"/>
              </w:rPr>
            </w:pPr>
            <w:r>
              <w:rPr>
                <w:rFonts w:ascii="Times New Roman" w:cs="Times New Roman" w:eastAsia="Times New Roman" w:hAnsi="Times New Roman"/>
                <w:sz w:val="18"/>
                <w:szCs w:val="18"/>
                <w:color w:val="auto"/>
              </w:rPr>
              <w:t>II-6</w:t>
            </w:r>
          </w:p>
        </w:tc>
        <w:tc>
          <w:tcPr>
            <w:tcW w:w="3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3" w:right="1440"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Ronen Samuel and Guy Avidan, and each of them severally, acting alone and without the other,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1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and entity on the dates and in the capacities indicated:</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Signatures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7"/>
        </w:trPr>
        <w:tc>
          <w:tcPr>
            <w:tcW w:w="2620" w:type="dxa"/>
            <w:vAlign w:val="bottom"/>
            <w:tcBorders>
              <w:bottom w:val="single" w:sz="8" w:color="auto"/>
            </w:tcBorders>
            <w:gridSpan w:val="2"/>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Ronen Samuel</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2020</w:t>
            </w:r>
          </w:p>
        </w:tc>
        <w:tc>
          <w:tcPr>
            <w:tcW w:w="0" w:type="dxa"/>
            <w:vAlign w:val="bottom"/>
          </w:tcPr>
          <w:p>
            <w:pPr>
              <w:spacing w:after="0"/>
              <w:rPr>
                <w:sz w:val="1"/>
                <w:szCs w:val="1"/>
                <w:color w:val="auto"/>
              </w:rPr>
            </w:pPr>
          </w:p>
        </w:tc>
      </w:tr>
      <w:tr>
        <w:trPr>
          <w:trHeight w:val="54"/>
        </w:trPr>
        <w:tc>
          <w:tcPr>
            <w:tcW w:w="2620" w:type="dxa"/>
            <w:vAlign w:val="bottom"/>
            <w:tcBorders>
              <w:bottom w:val="single" w:sz="8" w:color="auto"/>
            </w:tcBorders>
            <w:gridSpan w:val="2"/>
          </w:tcPr>
          <w:p>
            <w:pPr>
              <w:spacing w:after="0"/>
              <w:rPr>
                <w:sz w:val="4"/>
                <w:szCs w:val="4"/>
                <w:color w:val="auto"/>
              </w:rPr>
            </w:pPr>
          </w:p>
        </w:tc>
        <w:tc>
          <w:tcPr>
            <w:tcW w:w="4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3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Ronen Samuel</w:t>
            </w:r>
          </w:p>
        </w:tc>
        <w:tc>
          <w:tcPr>
            <w:tcW w:w="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3280" w:type="dxa"/>
            <w:vAlign w:val="bottom"/>
            <w:gridSpan w:val="2"/>
            <w:vMerge w:val="continue"/>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Guy Avidan</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2020</w:t>
            </w:r>
          </w:p>
        </w:tc>
        <w:tc>
          <w:tcPr>
            <w:tcW w:w="0" w:type="dxa"/>
            <w:vAlign w:val="bottom"/>
          </w:tcPr>
          <w:p>
            <w:pPr>
              <w:spacing w:after="0"/>
              <w:rPr>
                <w:sz w:val="1"/>
                <w:szCs w:val="1"/>
                <w:color w:val="auto"/>
              </w:rPr>
            </w:pPr>
          </w:p>
        </w:tc>
      </w:tr>
      <w:tr>
        <w:trPr>
          <w:trHeight w:val="54"/>
        </w:trPr>
        <w:tc>
          <w:tcPr>
            <w:tcW w:w="2620" w:type="dxa"/>
            <w:vAlign w:val="bottom"/>
            <w:tcBorders>
              <w:bottom w:val="single" w:sz="8" w:color="auto"/>
            </w:tcBorders>
            <w:gridSpan w:val="2"/>
          </w:tcPr>
          <w:p>
            <w:pPr>
              <w:spacing w:after="0"/>
              <w:rPr>
                <w:sz w:val="4"/>
                <w:szCs w:val="4"/>
                <w:color w:val="auto"/>
              </w:rPr>
            </w:pPr>
          </w:p>
        </w:tc>
        <w:tc>
          <w:tcPr>
            <w:tcW w:w="4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3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62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Guy Avidan</w:t>
            </w:r>
          </w:p>
        </w:tc>
        <w:tc>
          <w:tcPr>
            <w:tcW w:w="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3280" w:type="dxa"/>
            <w:vAlign w:val="bottom"/>
            <w:gridSpan w:val="2"/>
            <w:vMerge w:val="continue"/>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Yuval Cohen</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2020</w:t>
            </w:r>
          </w:p>
        </w:tc>
        <w:tc>
          <w:tcPr>
            <w:tcW w:w="0" w:type="dxa"/>
            <w:vAlign w:val="bottom"/>
          </w:tcPr>
          <w:p>
            <w:pPr>
              <w:spacing w:after="0"/>
              <w:rPr>
                <w:sz w:val="1"/>
                <w:szCs w:val="1"/>
                <w:color w:val="auto"/>
              </w:rPr>
            </w:pPr>
          </w:p>
        </w:tc>
      </w:tr>
      <w:tr>
        <w:trPr>
          <w:trHeight w:val="54"/>
        </w:trPr>
        <w:tc>
          <w:tcPr>
            <w:tcW w:w="2620" w:type="dxa"/>
            <w:vAlign w:val="bottom"/>
            <w:tcBorders>
              <w:bottom w:val="single" w:sz="8" w:color="auto"/>
            </w:tcBorders>
            <w:gridSpan w:val="2"/>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Yuval Cohen</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Gabi Seligsohn</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2020</w:t>
            </w:r>
          </w:p>
        </w:tc>
        <w:tc>
          <w:tcPr>
            <w:tcW w:w="0" w:type="dxa"/>
            <w:vAlign w:val="bottom"/>
          </w:tcPr>
          <w:p>
            <w:pPr>
              <w:spacing w:after="0"/>
              <w:rPr>
                <w:sz w:val="1"/>
                <w:szCs w:val="1"/>
                <w:color w:val="auto"/>
              </w:rPr>
            </w:pPr>
          </w:p>
        </w:tc>
      </w:tr>
      <w:tr>
        <w:trPr>
          <w:trHeight w:val="54"/>
        </w:trPr>
        <w:tc>
          <w:tcPr>
            <w:tcW w:w="2620" w:type="dxa"/>
            <w:vAlign w:val="bottom"/>
            <w:tcBorders>
              <w:bottom w:val="single" w:sz="8" w:color="auto"/>
            </w:tcBorders>
            <w:gridSpan w:val="2"/>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Gabi Seligsohn</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Ofer Ben-Zur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2020</w:t>
            </w:r>
          </w:p>
        </w:tc>
        <w:tc>
          <w:tcPr>
            <w:tcW w:w="0" w:type="dxa"/>
            <w:vAlign w:val="bottom"/>
          </w:tcPr>
          <w:p>
            <w:pPr>
              <w:spacing w:after="0"/>
              <w:rPr>
                <w:sz w:val="1"/>
                <w:szCs w:val="1"/>
                <w:color w:val="auto"/>
              </w:rPr>
            </w:pPr>
          </w:p>
        </w:tc>
      </w:tr>
      <w:tr>
        <w:trPr>
          <w:trHeight w:val="54"/>
        </w:trPr>
        <w:tc>
          <w:tcPr>
            <w:tcW w:w="2620" w:type="dxa"/>
            <w:vAlign w:val="bottom"/>
            <w:tcBorders>
              <w:bottom w:val="single" w:sz="8" w:color="auto"/>
            </w:tcBorders>
            <w:gridSpan w:val="2"/>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Ofer Ben-Zur</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Stephen Nigro</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2020</w:t>
            </w:r>
          </w:p>
        </w:tc>
        <w:tc>
          <w:tcPr>
            <w:tcW w:w="0" w:type="dxa"/>
            <w:vAlign w:val="bottom"/>
          </w:tcPr>
          <w:p>
            <w:pPr>
              <w:spacing w:after="0"/>
              <w:rPr>
                <w:sz w:val="1"/>
                <w:szCs w:val="1"/>
                <w:color w:val="auto"/>
              </w:rPr>
            </w:pPr>
          </w:p>
        </w:tc>
      </w:tr>
      <w:tr>
        <w:trPr>
          <w:trHeight w:val="54"/>
        </w:trPr>
        <w:tc>
          <w:tcPr>
            <w:tcW w:w="2620" w:type="dxa"/>
            <w:vAlign w:val="bottom"/>
            <w:tcBorders>
              <w:bottom w:val="single" w:sz="8" w:color="auto"/>
            </w:tcBorders>
            <w:gridSpan w:val="2"/>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Nigro</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Lauri Hanover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2020</w:t>
            </w:r>
          </w:p>
        </w:tc>
        <w:tc>
          <w:tcPr>
            <w:tcW w:w="0" w:type="dxa"/>
            <w:vAlign w:val="bottom"/>
          </w:tcPr>
          <w:p>
            <w:pPr>
              <w:spacing w:after="0"/>
              <w:rPr>
                <w:sz w:val="1"/>
                <w:szCs w:val="1"/>
                <w:color w:val="auto"/>
              </w:rPr>
            </w:pPr>
          </w:p>
        </w:tc>
      </w:tr>
      <w:tr>
        <w:trPr>
          <w:trHeight w:val="54"/>
        </w:trPr>
        <w:tc>
          <w:tcPr>
            <w:tcW w:w="2620" w:type="dxa"/>
            <w:vAlign w:val="bottom"/>
            <w:tcBorders>
              <w:bottom w:val="single" w:sz="8" w:color="auto"/>
            </w:tcBorders>
            <w:gridSpan w:val="2"/>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Lauri Hanover</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Alon Lumbroso</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2020</w:t>
            </w:r>
          </w:p>
        </w:tc>
        <w:tc>
          <w:tcPr>
            <w:tcW w:w="0" w:type="dxa"/>
            <w:vAlign w:val="bottom"/>
          </w:tcPr>
          <w:p>
            <w:pPr>
              <w:spacing w:after="0"/>
              <w:rPr>
                <w:sz w:val="1"/>
                <w:szCs w:val="1"/>
                <w:color w:val="auto"/>
              </w:rPr>
            </w:pPr>
          </w:p>
        </w:tc>
      </w:tr>
      <w:tr>
        <w:trPr>
          <w:trHeight w:val="54"/>
        </w:trPr>
        <w:tc>
          <w:tcPr>
            <w:tcW w:w="2620" w:type="dxa"/>
            <w:vAlign w:val="bottom"/>
            <w:tcBorders>
              <w:bottom w:val="single" w:sz="8" w:color="auto"/>
            </w:tcBorders>
            <w:gridSpan w:val="2"/>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Alon Lumbroso</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Yehoshua Nir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2020</w:t>
            </w:r>
          </w:p>
        </w:tc>
        <w:tc>
          <w:tcPr>
            <w:tcW w:w="0" w:type="dxa"/>
            <w:vAlign w:val="bottom"/>
          </w:tcPr>
          <w:p>
            <w:pPr>
              <w:spacing w:after="0"/>
              <w:rPr>
                <w:sz w:val="1"/>
                <w:szCs w:val="1"/>
                <w:color w:val="auto"/>
              </w:rPr>
            </w:pPr>
          </w:p>
        </w:tc>
      </w:tr>
      <w:tr>
        <w:trPr>
          <w:trHeight w:val="54"/>
        </w:trPr>
        <w:tc>
          <w:tcPr>
            <w:tcW w:w="2620" w:type="dxa"/>
            <w:vAlign w:val="bottom"/>
            <w:tcBorders>
              <w:bottom w:val="single" w:sz="8" w:color="auto"/>
            </w:tcBorders>
            <w:gridSpan w:val="2"/>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Yehoshua Nir</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Dov Ofer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 2020</w:t>
            </w:r>
          </w:p>
        </w:tc>
        <w:tc>
          <w:tcPr>
            <w:tcW w:w="0" w:type="dxa"/>
            <w:vAlign w:val="bottom"/>
          </w:tcPr>
          <w:p>
            <w:pPr>
              <w:spacing w:after="0"/>
              <w:rPr>
                <w:sz w:val="1"/>
                <w:szCs w:val="1"/>
                <w:color w:val="auto"/>
              </w:rPr>
            </w:pPr>
          </w:p>
        </w:tc>
      </w:tr>
      <w:tr>
        <w:trPr>
          <w:trHeight w:val="54"/>
        </w:trPr>
        <w:tc>
          <w:tcPr>
            <w:tcW w:w="2620" w:type="dxa"/>
            <w:vAlign w:val="bottom"/>
            <w:tcBorders>
              <w:bottom w:val="single" w:sz="8" w:color="auto"/>
            </w:tcBorders>
            <w:gridSpan w:val="2"/>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Dov Ofer</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KORNIT DIGITAL NORTH</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Authorized Representative in the</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Authorized Representative</w:t>
            </w: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AMERICA INC.</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United States</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 the United States</w:t>
            </w:r>
          </w:p>
        </w:tc>
        <w:tc>
          <w:tcPr>
            <w:tcW w:w="0" w:type="dxa"/>
            <w:vAlign w:val="bottom"/>
          </w:tcPr>
          <w:p>
            <w:pPr>
              <w:spacing w:after="0"/>
              <w:rPr>
                <w:sz w:val="1"/>
                <w:szCs w:val="1"/>
                <w:color w:val="auto"/>
              </w:rPr>
            </w:pPr>
          </w:p>
        </w:tc>
      </w:tr>
      <w:tr>
        <w:trPr>
          <w:trHeight w:val="44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 Charles Meyo</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20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560" w:type="dxa"/>
            <w:vAlign w:val="bottom"/>
            <w:vMerge w:val="continue"/>
          </w:tcPr>
          <w:p>
            <w:pPr>
              <w:spacing w:after="0"/>
              <w:rPr>
                <w:sz w:val="19"/>
                <w:szCs w:val="19"/>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Charles Meyo</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September 14, 2020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19685</wp:posOffset>
            </wp:positionV>
            <wp:extent cx="4568825" cy="6940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456882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Ha’Amal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Rosh Ha’Ayin 4809246, Israel</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14,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F-3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60" w:firstLine="638"/>
        <w:spacing w:after="0" w:line="255" w:lineRule="auto"/>
        <w:rPr>
          <w:sz w:val="20"/>
          <w:szCs w:val="20"/>
          <w:color w:val="auto"/>
        </w:rPr>
      </w:pPr>
      <w:r>
        <w:rPr>
          <w:rFonts w:ascii="Times New Roman" w:cs="Times New Roman" w:eastAsia="Times New Roman" w:hAnsi="Times New Roman"/>
          <w:sz w:val="18"/>
          <w:szCs w:val="18"/>
          <w:color w:val="auto"/>
        </w:rPr>
        <w:t>We have acted as Israeli counsel to Kornit Digital Ltd., a company organized under the laws of the State of Israel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its registration statement on Form F-3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the date hereof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Registration Statement registers the offer, issuance and sale by the Company, from time to time, of an indeterminate aggregate number of ordinary shares, par value 0.01 New Israeli Shekels per share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b w:val="1"/>
          <w:bCs w:val="1"/>
          <w:color w:val="auto"/>
        </w:rPr>
        <w:t>Primary Shares</w:t>
      </w:r>
      <w:r>
        <w:rPr>
          <w:rFonts w:ascii="Times New Roman" w:cs="Times New Roman" w:eastAsia="Times New Roman" w:hAnsi="Times New Roman"/>
          <w:sz w:val="18"/>
          <w:szCs w:val="18"/>
          <w:color w:val="auto"/>
        </w:rPr>
        <w:t>”) as may, from time to time, be issued and sold at indeterminate initial offering prices. The Registration Statement furthermore registers the resale, from time to time, of up to 2,932,176 Ordinary Shares (the “</w:t>
      </w:r>
      <w:r>
        <w:rPr>
          <w:rFonts w:ascii="Times New Roman" w:cs="Times New Roman" w:eastAsia="Times New Roman" w:hAnsi="Times New Roman"/>
          <w:sz w:val="18"/>
          <w:szCs w:val="18"/>
          <w:b w:val="1"/>
          <w:bCs w:val="1"/>
          <w:color w:val="auto"/>
        </w:rPr>
        <w:t>Secondary Shares</w:t>
      </w:r>
      <w:r>
        <w:rPr>
          <w:rFonts w:ascii="Times New Roman" w:cs="Times New Roman" w:eastAsia="Times New Roman" w:hAnsi="Times New Roman"/>
          <w:sz w:val="18"/>
          <w:szCs w:val="18"/>
          <w:color w:val="auto"/>
        </w:rPr>
        <w:t>”, and together with the Primary Shares, collectively,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that may be issued to Amazon.com NV Investment Holdings LLC (the “</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under a warrant, dated January 10, 2017, issued by the Company to the Selling Shareholder (the “</w:t>
      </w:r>
      <w:r>
        <w:rPr>
          <w:rFonts w:ascii="Times New Roman" w:cs="Times New Roman" w:eastAsia="Times New Roman" w:hAnsi="Times New Roman"/>
          <w:sz w:val="18"/>
          <w:szCs w:val="18"/>
          <w:b w:val="1"/>
          <w:bCs w:val="1"/>
          <w:color w:val="auto"/>
        </w:rPr>
        <w:t>Selling Shareholder Warrant</w:t>
      </w:r>
      <w:r>
        <w:rPr>
          <w:rFonts w:ascii="Times New Roman" w:cs="Times New Roman" w:eastAsia="Times New Roman" w:hAnsi="Times New Roman"/>
          <w:sz w:val="18"/>
          <w:szCs w:val="18"/>
          <w:color w:val="auto"/>
        </w:rPr>
        <w:t>”), as described in the Registration Statement.</w:t>
      </w:r>
    </w:p>
    <w:p>
      <w:pPr>
        <w:spacing w:after="0" w:line="18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This opinion letter is furnished to you at your request to enable you to fulfill the requirements of Item 601(b)(5) of Regulation S-K under the Securities Act, in connection with the filing of the Registration Statement.</w:t>
      </w:r>
    </w:p>
    <w:p>
      <w:pPr>
        <w:spacing w:after="0" w:line="16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connection herewith, we have examined the originals, or photocopies or copies, certified or otherwise identified to our satisfaction, of: (i) the form of the Registration Statement, to which this opinion letter is attached as an exhibit; (ii) the articles of association of the Company, as currently in effect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(iii) minutes of a meeting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at which the filing of the Registration Statement and the actions to be taken in connection therewith were approved; (iv) the Selling Shareholder Warrant; (v) the Transaction Agreement, dated January 10, 2017, between the Company and Amazon.com, Inc. pursuant to which the Selling Shareholder Warrant was issued; and (vi) such other corporate records, agreements, documents and other instruments, and such certificates or comparable documents of public officials and of officers and representatives of the Company as we have deemed relevant and necessary as a basis for the opinions hereafter set forth. We have also made inquiries of such officers and representatives as we have deemed relevant and necessary as a basis for the opinions hereafter set forth.</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We have also assumed the truth of all facts communicated to us by the Company and that all minutes of meetings of the Board and the shareholders of the Company that have been provided to us are true and accurate and have been properly prepared in accordance with the Articles and all applicable laws. We have assumed, in addition, that at the time of the execution and delivery of any definitive purchase, underwriting or similar agreement between the Company and any third party pursuant to which any of the Primary Shares may be issued (an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the Underwriting Agreement will be the valid and legally binding obligation of such third party, enforceable against such third party in accordance with its terms. We have further assumed that at the time of the issuance and sale of any of the Primary Shares, the issuance and sale of the Primary Shares will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Based upon and subject to the foregoing, we are of the opinion that:</w:t>
      </w:r>
    </w:p>
    <w:p>
      <w:pPr>
        <w:spacing w:after="0" w:line="225" w:lineRule="exact"/>
        <w:rPr>
          <w:sz w:val="20"/>
          <w:szCs w:val="20"/>
          <w:color w:val="auto"/>
        </w:rPr>
      </w:pPr>
    </w:p>
    <w:p>
      <w:pPr>
        <w:ind w:firstLine="656"/>
        <w:spacing w:after="0" w:line="254" w:lineRule="auto"/>
        <w:tabs>
          <w:tab w:leader="none" w:pos="10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Primary Shares, assuming (a) the taking of all necessary corporate action to authorize and approve the issuance of any Primary Shares, the terms of the offering thereof and related matters (for purposes of this paragraph 1, the “</w:t>
      </w:r>
      <w:r>
        <w:rPr>
          <w:rFonts w:ascii="Times New Roman" w:cs="Times New Roman" w:eastAsia="Times New Roman" w:hAnsi="Times New Roman"/>
          <w:sz w:val="18"/>
          <w:szCs w:val="18"/>
          <w:b w:val="1"/>
          <w:bCs w:val="1"/>
          <w:color w:val="auto"/>
        </w:rPr>
        <w:t>Authorizing Resolutions</w:t>
      </w:r>
      <w:r>
        <w:rPr>
          <w:rFonts w:ascii="Times New Roman" w:cs="Times New Roman" w:eastAsia="Times New Roman" w:hAnsi="Times New Roman"/>
          <w:sz w:val="18"/>
          <w:szCs w:val="18"/>
          <w:color w:val="auto"/>
        </w:rPr>
        <w:t>”), (b) the effectiveness of the Registration Statement, and any amendments thereto (including any post-effective amendments), and that such effectiveness shall not have been terminated or rescinded, (c) the delivery and filing of an appropriate prospectus supplement with respect to the offering of the Primary Shares in compliance with the Securities Act and the applicable rules and regulations thereunder, (d) approval by the Board of, and entry by the Company into, and performance by the Company under, any applicable Underwriting Agreement, in the form filed as an exhibit to the Registration Statement, any post-effective amendment thereto or a Report of Foreign Private Issuer on Form 6-K, pursuant to which the Primary Shares may be issued and sold, and (e) receipt by the Company of the consideration for the Primary Shares as provided for in the Authorizing Resolutions and in accordance with the provisions of any such Underwriting Agreement, such Primary Shares will be duly authorized, validly issued, fully paid and non-assessable.</w:t>
      </w:r>
    </w:p>
    <w:p>
      <w:pPr>
        <w:spacing w:after="0" w:line="188" w:lineRule="exact"/>
        <w:rPr>
          <w:rFonts w:ascii="Times New Roman" w:cs="Times New Roman" w:eastAsia="Times New Roman" w:hAnsi="Times New Roman"/>
          <w:sz w:val="18"/>
          <w:szCs w:val="18"/>
          <w:color w:val="auto"/>
        </w:rPr>
      </w:pPr>
    </w:p>
    <w:p>
      <w:pPr>
        <w:ind w:right="20" w:firstLine="656"/>
        <w:spacing w:after="0" w:line="266" w:lineRule="auto"/>
        <w:tabs>
          <w:tab w:leader="none" w:pos="10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Secondary Shares, assuming receipt by the Company of the exercise price for the Secondary Shares under, and in accordance with the provisions of, the Selling Shareholder Warrant, the Secondary Shares issuable upon exercise of the Selling Shareholder Warrant will be duly authorized, validly issued, fully paid and non-assessable.</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You have informed us that you intend to issue the Shares from time to time on a delayed or continuous basis, and this opinion is limited to the laws, including the rules and regulations, as in effect on the date hereof. We understand that prior to issuing any Shares you will afford us an opportunity to review the corporate approval documents and operative documents pursuant to which such Shares are to be issued (including an appropriate prospectus supplement), and we will file such supplement or amendment to this opinion (if any) as we may reasonably consider necessary or appropriate by reason of the terms of such Shares.</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With respect to our opinion as to the Primary Shares, we have assumed that, at the time of issuance and sale of such Primary Shares, to the extent any such issuance would exceed the maximum share capital of the Company currently authorized, the number of Ordinary Shares that the Company is authorized to issue shall have been increased in accordance with the Company’s Articles such that a sufficient number of Ordinary Shares are authorized and available for issuance under the Articles.</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and to the reference to our firm appearing under the caption “Legal Matters” and, if applicable, “Enforcement of Civil Liabilities” in the prospectus forming part of the Registration Statement. In giving this consent, we do not thereby admit that we are within the category of persons whose consent is required under Section 7 of the Securities Act, the rules and regulations of the SEC promulgated thereunder or Item 509 of the SEC’s Regulation S-K under the Securities Act.</w:t>
      </w:r>
    </w:p>
    <w:p>
      <w:pPr>
        <w:spacing w:after="0" w:line="180"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14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Meitar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Meitar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F-3) and the related Prospectus of Kornit Digital Ltd. for the registration of Ordinary Shares offered by Kornit Digital Ltd. and up to 2,932,176 Ordinary Shares offered by the selling shareholder and to the incorporation by reference therein of our reports dated March 23, 2020, with respect to the consolidated financial statements of Kornit Digital Ltd. and the effectiveness of internal control over financial reporting of Kornit Digital Ltd., included in its Annual Report (Form 20-F) for the year ended December 31, 2019, filed with the Securities and Exchange Commission.</w:t>
      </w:r>
    </w:p>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KOST, FORER, GABBAY &amp; KASIERER</w:t>
            </w:r>
          </w:p>
        </w:tc>
        <w:tc>
          <w:tcPr>
            <w:tcW w:w="0" w:type="dxa"/>
            <w:vAlign w:val="bottom"/>
          </w:tcPr>
          <w:p>
            <w:pPr>
              <w:spacing w:after="0"/>
              <w:rPr>
                <w:sz w:val="1"/>
                <w:szCs w:val="1"/>
                <w:color w:val="auto"/>
              </w:rPr>
            </w:pPr>
          </w:p>
        </w:tc>
      </w:tr>
      <w:tr>
        <w:trPr>
          <w:trHeight w:val="34"/>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Tel Aviv, Israel</w:t>
            </w: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200" w:type="dxa"/>
            <w:vAlign w:val="bottom"/>
            <w:vMerge w:val="continue"/>
          </w:tcPr>
          <w:p>
            <w:pPr>
              <w:spacing w:after="0"/>
              <w:rPr>
                <w:sz w:val="17"/>
                <w:szCs w:val="17"/>
                <w:color w:val="auto"/>
              </w:rPr>
            </w:pPr>
          </w:p>
        </w:tc>
        <w:tc>
          <w:tcPr>
            <w:tcW w:w="49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KOST, FORER, GABBAY &amp; KASIERER</w:t>
            </w: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September 14, 2020</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 Member of EY Global</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lvl w:ilvl="1">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
    <w:nsid w:val="4E6AFB66"/>
    <w:multiLevelType w:val="hybridMultilevel"/>
    <w:lvl w:ilvl="0">
      <w:lvlJc w:val="left"/>
      <w:lvlText w:val="(%1)"/>
      <w:numFmt w:val="lowerLetter"/>
      <w:start w:val="2"/>
    </w:lvl>
  </w:abstractNum>
  <w:abstractNum w:abstractNumId="15">
    <w:nsid w:val="25E45D32"/>
    <w:multiLevelType w:val="hybridMultilevel"/>
    <w:lvl w:ilvl="0">
      <w:lvlJc w:val="left"/>
      <w:lvlText w:val="(%1)"/>
      <w:numFmt w:val="lowerLetter"/>
      <w:start w:val="3"/>
    </w:lvl>
    <w:lvl w:ilvl="1">
      <w:lvlJc w:val="left"/>
      <w:lvlText w:val="(%2)"/>
      <w:numFmt w:val="lowerRoman"/>
      <w:start w:val="1"/>
    </w:lvl>
  </w:abstractNum>
  <w:abstractNum w:abstractNumId="16">
    <w:nsid w:val="519B500D"/>
    <w:multiLevelType w:val="hybridMultilevel"/>
    <w:lvl w:ilvl="0">
      <w:lvlJc w:val="left"/>
      <w:lvlText w:val="(%1)"/>
      <w:numFmt w:val="decimal"/>
      <w:start w:val="2"/>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jpe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jpe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27" Type="http://schemas.openxmlformats.org/officeDocument/2006/relationships/hyperlink" Target="http://www.sec.gov/Archives/edgar/data/1625791/000121390020007110/f20f2019_kornitdigi.htm" TargetMode="External"/><Relationship Id="rId28" Type="http://schemas.openxmlformats.org/officeDocument/2006/relationships/hyperlink" Target="http://www.sec.gov/Archives/edgar/data/1625791/000121390020012929/ea122093-6k_kornitdigital.htm" TargetMode="External"/><Relationship Id="rId29" Type="http://schemas.openxmlformats.org/officeDocument/2006/relationships/hyperlink" Target="http://www.sec.gov/Archives/edgar/data/1625791/000121390020016616/ea123779-6k_kornitdigital.htm" TargetMode="External"/><Relationship Id="rId30" Type="http://schemas.openxmlformats.org/officeDocument/2006/relationships/hyperlink" Target="http://www.sec.gov/Archives/edgar/data/1625791/000121390020018618/ea124553-6k_kornitdigital.htm" TargetMode="External"/><Relationship Id="rId31" Type="http://schemas.openxmlformats.org/officeDocument/2006/relationships/hyperlink" Target="http://www.sec.gov/Archives/edgar/data/1625791/000121390020021422/ea125371-6k_kornitdigi.htm" TargetMode="External"/><Relationship Id="rId32" Type="http://schemas.openxmlformats.org/officeDocument/2006/relationships/hyperlink" Target="http://www.sec.gov/Archives/edgar/data/1625791/000121390020021423/ea125372-6k_kornitdigi.htm" TargetMode="External"/><Relationship Id="rId33" Type="http://schemas.openxmlformats.org/officeDocument/2006/relationships/hyperlink" Target="http://www.sec.gov/Archives/edgar/data/1625791/000121390020021519/ea125417-6k_kornitdigital.htm" TargetMode="External"/><Relationship Id="rId34" Type="http://schemas.openxmlformats.org/officeDocument/2006/relationships/hyperlink" Target="http://www.sec.gov/Archives/edgar/data/1625791/000161577415000604/s100918_8a12b.htm" TargetMode="External"/><Relationship Id="rId35" Type="http://schemas.openxmlformats.org/officeDocument/2006/relationships/hyperlink" Target="http://www.sec.gov/Archives/edgar/data/1625791/000121390020007110/f20f2019ex2-2_kornit.htm" TargetMode="External"/><Relationship Id="rId48" Type="http://schemas.openxmlformats.org/officeDocument/2006/relationships/hyperlink" Target="http://www.sec.gov/Archives/edgar/data/1625791/000161577415000505/s100871_ex3-2.htm" TargetMode="External"/><Relationship Id="rId49" Type="http://schemas.openxmlformats.org/officeDocument/2006/relationships/hyperlink" Target="http://www.sec.gov/Archives/edgar/data/1625791/000161577415000434/s10082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2020-09-14T15:14:33Z</dcterms:created>
  <dcterms:modified xsi:type="dcterms:W3CDTF">2020-09-14T15:14:33Z</dcterms:modified>
</cp:coreProperties>
</file>