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340" w:hanging="214"/>
        <w:spacing w:after="0"/>
        <w:tabs>
          <w:tab w:leader="none" w:pos="1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4260" w:right="720" w:hanging="3534"/>
        <w:spacing w:after="0" w:line="537" w:lineRule="auto"/>
        <w:tabs>
          <w:tab w:leader="none" w:pos="9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wp:posOffset>
            </wp:positionV>
            <wp:extent cx="1663065" cy="1020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Lauri Hanover, Chief Financial Officer</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Tel: +972 3 908-5800</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Fax: +972 3 908-0280</w:t>
      </w:r>
    </w:p>
    <w:p>
      <w:pPr>
        <w:spacing w:after="0" w:line="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NIS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KRNT</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46,051,461 ordinary shares, par value NIS 0.01 per share (which excludes 4,984,877 Treasury shares), as of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5360" w:hanging="205"/>
        <w:spacing w:after="0" w:line="207" w:lineRule="exact"/>
        <w:tabs>
          <w:tab w:leader="none" w:pos="5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5360" w:hanging="205"/>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5360" w:hanging="205"/>
        <w:spacing w:after="0" w:line="207" w:lineRule="exact"/>
        <w:tabs>
          <w:tab w:leader="none" w:pos="5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5360" w:hanging="205"/>
        <w:spacing w:after="0" w:line="207" w:lineRule="exact"/>
        <w:tabs>
          <w:tab w:leader="none" w:pos="53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3" w:right="339" w:bottom="1440" w:gutter="0" w:footer="0" w:header="0"/>
        </w:sectPr>
      </w:pPr>
    </w:p>
    <w:p>
      <w:pPr>
        <w:spacing w:after="0" w:line="3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060" w:space="720"/>
            <w:col w:w="2240" w:space="720"/>
            <w:col w:w="4500"/>
          </w:cols>
          <w:pgMar w:left="320" w:top="873"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1280" w:val="left"/>
          <w:tab w:leader="none" w:pos="10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GAAP</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Other</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ind w:left="5360" w:hanging="205"/>
        <w:spacing w:after="0" w:line="207" w:lineRule="exact"/>
        <w:tabs>
          <w:tab w:leader="none" w:pos="536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980" w:type="dxa"/>
            <w:vAlign w:val="bottom"/>
            <w:tcBorders>
              <w:bottom w:val="single" w:sz="8" w:color="CCEEFF"/>
            </w:tcBorders>
            <w:gridSpan w:val="9"/>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878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USE OF TRADE NAMES</w:t>
            </w:r>
          </w:p>
        </w:tc>
        <w:tc>
          <w:tcPr>
            <w:tcW w:w="246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78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ADDITIONAL TERMS AND CONVENTIONS</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3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2340" w:type="dxa"/>
            <w:vAlign w:val="bottom"/>
            <w:tcBorders>
              <w:bottom w:val="single" w:sz="8" w:color="CCEEFF"/>
            </w:tcBorders>
            <w:gridSpan w:val="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246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300" w:type="dxa"/>
            <w:vAlign w:val="bottom"/>
            <w:tcBorders>
              <w:bottom w:val="single" w:sz="8" w:color="0000EE"/>
            </w:tcBorders>
            <w:gridSpan w:val="2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6. DIRECTORS, SENIOR MANAGEMENT AND EMPLOYEES</w:t>
            </w:r>
          </w:p>
        </w:tc>
        <w:tc>
          <w:tcPr>
            <w:tcW w:w="3320" w:type="dxa"/>
            <w:vAlign w:val="bottom"/>
            <w:tcBorders>
              <w:bottom w:val="single" w:sz="8" w:color="CCEEFF"/>
            </w:tcBorders>
            <w:gridSpan w:val="1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160" w:type="dxa"/>
            <w:vAlign w:val="bottom"/>
            <w:tcBorders>
              <w:top w:val="single" w:sz="8" w:color="CCEEFF"/>
            </w:tcBorders>
          </w:tcPr>
          <w:p>
            <w:pPr>
              <w:spacing w:after="0"/>
              <w:rPr>
                <w:sz w:val="15"/>
                <w:szCs w:val="15"/>
                <w:color w:val="auto"/>
              </w:rPr>
            </w:pPr>
          </w:p>
        </w:tc>
        <w:tc>
          <w:tcPr>
            <w:tcW w:w="2920" w:type="dxa"/>
            <w:vAlign w:val="bottom"/>
            <w:tcBorders>
              <w:top w:val="single" w:sz="8" w:color="0000EE"/>
            </w:tcBorders>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5700" w:type="dxa"/>
            <w:vAlign w:val="bottom"/>
            <w:tcBorders>
              <w:top w:val="single" w:sz="8" w:color="CCEEFF"/>
            </w:tcBorders>
            <w:gridSpan w:val="24"/>
          </w:tcPr>
          <w:p>
            <w:pPr>
              <w:spacing w:after="0"/>
              <w:rPr>
                <w:sz w:val="15"/>
                <w:szCs w:val="15"/>
                <w:color w:val="auto"/>
              </w:rPr>
            </w:pPr>
          </w:p>
        </w:tc>
        <w:tc>
          <w:tcPr>
            <w:tcW w:w="2460" w:type="dxa"/>
            <w:vAlign w:val="bottom"/>
            <w:tcBorders>
              <w:top w:val="single" w:sz="8" w:color="CCEEFF"/>
            </w:tcBorders>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780" w:type="dxa"/>
            <w:vAlign w:val="bottom"/>
            <w:tcBorders>
              <w:bottom w:val="single" w:sz="8" w:color="0000EE"/>
            </w:tcBorders>
            <w:gridSpan w:val="2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13. DEFAULTS, DIVIDEND ARREARAGES AND DELINQUENCIES</w:t>
            </w:r>
          </w:p>
        </w:tc>
        <w:tc>
          <w:tcPr>
            <w:tcW w:w="2840" w:type="dxa"/>
            <w:vAlign w:val="bottom"/>
            <w:tcBorders>
              <w:bottom w:val="single" w:sz="8" w:color="CCEEFF"/>
            </w:tcBorders>
            <w:gridSpan w:val="8"/>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6"/>
        </w:trPr>
        <w:tc>
          <w:tcPr>
            <w:tcW w:w="160" w:type="dxa"/>
            <w:vAlign w:val="bottom"/>
          </w:tcPr>
          <w:p>
            <w:pPr>
              <w:spacing w:after="0"/>
              <w:rPr>
                <w:sz w:val="15"/>
                <w:szCs w:val="15"/>
                <w:color w:val="auto"/>
              </w:rPr>
            </w:pPr>
          </w:p>
        </w:tc>
        <w:tc>
          <w:tcPr>
            <w:tcW w:w="8620" w:type="dxa"/>
            <w:vAlign w:val="bottom"/>
            <w:tcBorders>
              <w:bottom w:val="single" w:sz="8" w:color="0000EE"/>
            </w:tcBorders>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160" w:type="dxa"/>
            <w:vAlign w:val="bottom"/>
            <w:tcBorders>
              <w:top w:val="single" w:sz="8" w:color="CCEEFF"/>
            </w:tcBorders>
          </w:tcPr>
          <w:p>
            <w:pPr>
              <w:spacing w:after="0"/>
              <w:rPr>
                <w:sz w:val="15"/>
                <w:szCs w:val="15"/>
                <w:color w:val="auto"/>
              </w:rPr>
            </w:pPr>
          </w:p>
        </w:tc>
        <w:tc>
          <w:tcPr>
            <w:tcW w:w="3360" w:type="dxa"/>
            <w:vAlign w:val="bottom"/>
            <w:tcBorders>
              <w:top w:val="single" w:sz="8" w:color="0000EE"/>
            </w:tcBorders>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5260" w:type="dxa"/>
            <w:vAlign w:val="bottom"/>
            <w:tcBorders>
              <w:top w:val="single" w:sz="8" w:color="CCEEFF"/>
            </w:tcBorders>
            <w:gridSpan w:val="19"/>
          </w:tcPr>
          <w:p>
            <w:pPr>
              <w:spacing w:after="0"/>
              <w:rPr>
                <w:sz w:val="15"/>
                <w:szCs w:val="15"/>
                <w:color w:val="auto"/>
              </w:rPr>
            </w:pPr>
          </w:p>
        </w:tc>
        <w:tc>
          <w:tcPr>
            <w:tcW w:w="2460" w:type="dxa"/>
            <w:vAlign w:val="bottom"/>
            <w:tcBorders>
              <w:top w:val="single" w:sz="8" w:color="CCEEFF"/>
            </w:tcBorders>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tcBorders>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16A. AUDIT COMMITTEE FINANCIAL EXPERT</w:t>
            </w:r>
          </w:p>
        </w:tc>
        <w:tc>
          <w:tcPr>
            <w:tcW w:w="4320" w:type="dxa"/>
            <w:vAlign w:val="bottom"/>
            <w:tcBorders>
              <w:bottom w:val="single" w:sz="8" w:color="CCEEFF"/>
            </w:tcBorders>
            <w:gridSpan w:val="1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2460" w:type="dxa"/>
            <w:vAlign w:val="bottom"/>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246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5"/>
        </w:trPr>
        <w:tc>
          <w:tcPr>
            <w:tcW w:w="160" w:type="dxa"/>
            <w:vAlign w:val="bottom"/>
            <w:tcBorders>
              <w:top w:val="single" w:sz="8" w:color="CCEEFF"/>
            </w:tcBorders>
          </w:tcPr>
          <w:p>
            <w:pPr>
              <w:spacing w:after="0"/>
              <w:rPr>
                <w:sz w:val="15"/>
                <w:szCs w:val="15"/>
                <w:color w:val="auto"/>
              </w:rPr>
            </w:pPr>
          </w:p>
        </w:tc>
        <w:tc>
          <w:tcPr>
            <w:tcW w:w="8020" w:type="dxa"/>
            <w:vAlign w:val="bottom"/>
            <w:tcBorders>
              <w:top w:val="single" w:sz="8" w:color="0000EE"/>
            </w:tcBorders>
            <w:gridSpan w:val="34"/>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60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246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160" w:type="dxa"/>
            <w:vAlign w:val="bottom"/>
            <w:tcBorders>
              <w:top w:val="single" w:sz="8" w:color="CCEEFF"/>
            </w:tcBorders>
          </w:tcPr>
          <w:p>
            <w:pPr>
              <w:spacing w:after="0"/>
              <w:rPr>
                <w:sz w:val="15"/>
                <w:szCs w:val="15"/>
                <w:color w:val="auto"/>
              </w:rPr>
            </w:pPr>
          </w:p>
        </w:tc>
        <w:tc>
          <w:tcPr>
            <w:tcW w:w="7780" w:type="dxa"/>
            <w:vAlign w:val="bottom"/>
            <w:tcBorders>
              <w:top w:val="single" w:sz="8" w:color="0000EE"/>
            </w:tcBorders>
            <w:gridSpan w:val="33"/>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840" w:type="dxa"/>
            <w:vAlign w:val="bottom"/>
            <w:tcBorders>
              <w:top w:val="single" w:sz="8" w:color="CCEEFF"/>
            </w:tcBorders>
            <w:gridSpan w:val="2"/>
          </w:tcPr>
          <w:p>
            <w:pPr>
              <w:spacing w:after="0"/>
              <w:rPr>
                <w:sz w:val="15"/>
                <w:szCs w:val="15"/>
                <w:color w:val="auto"/>
              </w:rPr>
            </w:pPr>
          </w:p>
        </w:tc>
        <w:tc>
          <w:tcPr>
            <w:tcW w:w="2460" w:type="dxa"/>
            <w:vAlign w:val="bottom"/>
            <w:tcBorders>
              <w:top w:val="single" w:sz="8" w:color="CCEEFF"/>
            </w:tcBorders>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ITEM 17. FINANCIAL STATEMENTS</w:t>
            </w:r>
          </w:p>
        </w:tc>
        <w:tc>
          <w:tcPr>
            <w:tcW w:w="5700" w:type="dxa"/>
            <w:vAlign w:val="bottom"/>
            <w:tcBorders>
              <w:bottom w:val="single" w:sz="8" w:color="CCEEFF"/>
            </w:tcBorders>
            <w:gridSpan w:val="24"/>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175"/>
        </w:trPr>
        <w:tc>
          <w:tcPr>
            <w:tcW w:w="160" w:type="dxa"/>
            <w:vAlign w:val="bottom"/>
          </w:tcPr>
          <w:p>
            <w:pPr>
              <w:spacing w:after="0"/>
              <w:rPr>
                <w:sz w:val="15"/>
                <w:szCs w:val="15"/>
                <w:color w:val="auto"/>
              </w:rPr>
            </w:pPr>
          </w:p>
        </w:tc>
        <w:tc>
          <w:tcPr>
            <w:tcW w:w="862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246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8620" w:type="dxa"/>
            <w:vAlign w:val="bottom"/>
            <w:gridSpan w:val="3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246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0" w:lineRule="exact"/>
        <w:rPr>
          <w:sz w:val="20"/>
          <w:szCs w:val="20"/>
          <w:color w:val="auto"/>
        </w:rPr>
      </w:pPr>
    </w:p>
    <w:p>
      <w:pPr>
        <w:ind w:left="980" w:hanging="324"/>
        <w:spacing w:after="0" w:line="29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introduce and sell new or improved products and product enhancements, including specifically our Apollo, Atlas Max Plus, Atlas Max Poly, Presto Max, Smart curing systems, Rapid Size Shifter pallets and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gross margins and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growth and overall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sales to, and revenues to be generated from, significant customers, including Amazon;</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challenging global macro-economic conditions, such as changes in consumer demand, relatively high interest rates and any inflationary conditions, which could adversely impact the budgets of our customers and potential customers for capital expenditures and, consequently, our revenues, profitability and cash flows;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variability on our future revenues;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drivers of our future growth, including anticipated sales growth, penetration of new product markets, and expansion of our customer base;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new business models;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our distribution strategy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with respect to the environmental impact of our operations and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new systems and other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new accounting pronouncements on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anticipated cash requirements for the next 12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file and procure additional patents relating to our intellectual property rights and the adequate protection of these rights;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as to whether our operations will remain resistant to potential adverse effects of Israel’s war and military conflicts against the terrorist organizations Hamas and Hezbollah, and, intermittently, Iran and the Houthi terrorist organization in Yemen;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changes to our organization and our operating model;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strategic acquisitions or invest in complementary companies, products or technologies and our expectations as to the success of those acquisitions and investments.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those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TRADE NAMES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8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“Kornit,” “Kornit Digital,” “our company,” “the Company,” “the registrant,” “we,” “us,” and “our” refer to Kornit Digital Ltd.;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“ordinary shares”, “our shares” and similar expressions refer to the Company’s ordinary shares, par value NIS 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“dollars”, “U.S. dollars”, “U.S. $” and “$” are to United States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“shekels” and “NIS” are to New Israeli Shekels, the Israeli currency;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“GAAP” are to U.S. Generally Accepted Accounting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our “articles” are to our Articles of Association,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“Companies Law” are to the Israeli Companies Law, 5759-1999,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“Securities Act” are to the U.S.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“Exchange Act” are to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“Nasdaq” are to the Nasdaq Stock Market;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 are to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Identity of Directors, Senior Management and Advisers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Offer Statistics and Expected Timetable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Key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30" w:lineRule="auto"/>
        <w:tabs>
          <w:tab w:leader="none" w:pos="222"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80" w:hanging="652"/>
        <w:spacing w:after="0" w:line="500" w:lineRule="auto"/>
        <w:tabs>
          <w:tab w:leader="none" w:pos="2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17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principal risks that could materially adversely affect our business, results of operations, and financial condition, all of which are more fully described below. This summary should be read in conjunction with the other information discussed in this Item 3.D, and should not be relied upon as an exhaustive summary of the material risks facing our business. Please carefully consider all of the information discussed in this Item 3.D. “Risk Factors” and elsewhere in this annual report for a more thorough description of these and other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 and Our Industry</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adoption of digital textile printing in place of existing methods of printing.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ability to timely introduce new products that are accepted by the market and increase our market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increased competition from a wide variety of market participants.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reliance on a small number of significant customers, including Amazon.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unfavorable macro-economic conditions, such as relatively high interest rates and any lingering inflationary conditions, on the budgets for capital expenditures of our customers and potential customers, which may continue to have material adverse consequences for our revenues, financial position, and cash flows.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reliance on suppliers, including single-source suppliers, and our reliance on third-party manufacturers.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new ink manufacturing facility.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reliance, for a significant portion of our future long-term revenues, on our All-Inclusive Click (AIC™) model, under which we retain ownership of our systems, while our customers operate the systems and are charged a fixed fee per impression, has certain accompanying risks.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our data security could adversely affect our business.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reciprocal import tariffs imposed by the United States and other countries could increase the prices we pay for raw materials and adversely impact demand for our products in countries in which our affected customers operate.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scrutiny that may be applied to sustainability practices of companies such as 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expanding international operations are accompanied by costs, operational risks and required regulatory compliance in many jurisdictions.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acquire and integrate other companies and technologies, necessary for our growth, and to finance such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tax liabilities as a result of audits of our tax returns.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Intellectual Property</w:t>
      </w:r>
    </w:p>
    <w:p>
      <w:pPr>
        <w:spacing w:after="0" w:line="22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patents and trademarks from infringement, and avoid infringing the intellectual property rights of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Ordinary Shares</w:t>
      </w:r>
    </w:p>
    <w:p>
      <w:pPr>
        <w:spacing w:after="0" w:line="22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share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 a public company as a result of new compliance initiatives.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Summary of Risks Related to Our Operations in Israel</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government tax benefits we receive may be terminated if we cease to qualify for them.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war against the terrorist organizations Hamas and Hezbollah and, intermittently, Iran and the Houthi terrorist organization in Yemen, may adversely affect our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Israeli research and development grants restrict our ability to transfer manufacturing operations or technology outside of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market’s rate of adoption of digital textile printing does not develop as we anticipate, our sales may not grow as expected and our share price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printed textile industry remains dominated by analog printing processes, the most common of which are screen printing and carousel printing. The development of the digital textile printing market has been slower than we anticipated. If the global printed textile market does not more broadly accept digital printing as an alternative to analog printing, our revenues may be adversely affected and our share price could suffer. Widespread adoption of digital textile printing depends on, among other things,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market expectations for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in part on achieving market acceptance for our new 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Market acceptance of our new systems depends, among other things, on the systems demonstrating a real advantage over existing solutions, the success of our sales and marketing teams in creating awareness of the system, the sales price and the return on investment of the system relative to alternative systems, customer recognition of the value of our technology, the effectiveness of our marketing campaigns, and the general willingness of potential customers to try new technologies. If the market does not accept our new system, our business, results of operations and financial condition will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model is favorably impacted by recurring sales of our ink and other consumables and spare parts for our existing and growing installed base of systems. Third-party ink and other consumables and spare parts might be less expensive or otherwise more appealing to our customers than our ink and other consumables and spare parts. Significant sales of third-party inks and other consumables and spare parts to our customers would adversely impact our revenues and adversely impact our gross margins and overall profitability. In addition, the use of third-party ink could cause our print heads to clog or otherwise malfunction since our systems are set up to operate at the highest throughput level only when using our original ink and other consumables. We have sought to prevent this in part by protecting the innovations underlying our ink and other consumables through patents and other forms of intellectual property protections. Use of third-party ink and other consumables would also void the warranty over our systems. We also include an RFID mechanism with our ink tanks. These steps may be challenged. Any reduction in our ability to market and sell our ink and other consumables and spare parts for use in our systems may adversely impact our future revenues and our overall profitability.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increased competition and if we do not compete successfully, our revenues and demand for our solutions could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principal competition for our direct-to-garment (DTG) systems comes from manufacturers of industrial DTG printers, analog screen-printing systems, and digital hybrid systems such as M&amp;R Printing Equipment, ROQ and Brother. We also face some competition in this market from Aeoon, Seiko Epson Corporation, Ricoh Company Ltd, Oveljet and several smaller competitors that offer industrial level production capacity through multiple entry level systems. More recently, there has been an increase in the adoption of commercial level direct-to-film (DTF) printing methodologies, a sub-segment of traditional heat transfer, which are intended to replace direct-to-garment printing for specific applications such as multiple placements. Our main competitors in direct-to-film printing are M&amp;R, Mimaki, Adelco and Brother.</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Our competitors in the Direct-to-Fabric market include: Atexco, EFI Regiani, Epson, Durst and several other smaller competitors. The principal competition for our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global fulfillment network (GFN) offering which enables on-demand production of textiles and other goods, comes from a variety of virtual marketplaces that are offering certain fulfillment services or applications, or purpose-built direct API connectivity to specific fulfillers.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our ten largest customers accounted for approximately 60% and 49% of our revenues, respectively. During those same years, out of the foregoing group of largest customers, Amazon Corporate LLC, a subsidiary of Amazon.com, Inc., which we collectively refer to as Amazon, accounted for approximately 30% and 20% of our revenues, respectively. Given the concentration of our revenues with these customers, the loss of either Amazon or another one of our significant customers, or variability in their order flows, could materially adversely affect our revenues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headwinds caused by inflation, relatively high interest rates and limited credit availability have been adversely impacting our revenues and profitability, and may continue to do so.</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overall demand within the global printed fashion and textile industries, the economic health of our current and prospective clients and worldwide economic conditions. Adverse economic conditions, including inflation, which was high in recent years, on the prices of goods and services have impacted the capital budgets of our customers and potential customers, who have less money to invest in our systems. Higher interest rates, which were implemented by central banks to curb inflation, while having been reduced to a certain extent recently, have worsened credit/financing conditions for our customers and adversely impacted their ability to purchase our products. These factors have also delayed or lengthened our sales cycles, have inhibited our international expansion, have led to longer collection cycles for payments due from our customers, and may potentially result in an increase in customer bad debt. As a result of these conditions, customers have found it harder to obtain financing to fund their purchase of our systems. While the long-term implications of macroeconomic events on our business, results of operations and overall financial position remain uncertain, in the short term these headwinds have challenged our business. We have experienced declines in systems revenues and a slower growth rate in services revenues (although consumables revenues have grown), which has led to recent overall declines in our revenues.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exerting the foregoing impact, macro-economic headwinds may amplify a number of risks for us, including, but not limited to,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new, enhanced systems to existing customers may be hindered due to more cautious purchasing and investment strategies by corporate customers, in addition to systems overcapacity at some customers;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which could lead to a recession, could negatively impact consumer discretionary spending on garments and apparel, which in turn could severely impact our business operations, financial condition, and liquidity;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success efforts, our ability to enter into new markets and to acquire new customers may be impeded, in part due to potentially lower conversion rates and delays and lengthening of our sales cycles;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an increase in our credit losses reserves as customers face economic hardship and collectability becomes more uncertain, including due to a higher risk of bankruptcies.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full impact of economic and other headwinds on our business and our future performance may also have the effect of heightening any of our other risk factors described in this annual report and is difficult to predict how long those headwinds will continue. As such, there is risk that any expectations for our business and guidance we provide to the market may be incorrect.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have fluctuated in the past and may fluctuate in the future due to variability in our revenues.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site readiness, or a change in their priorities or business plans, including as a result of adverse general economic conditions that may disproportionately impact the ability of the small-mid size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or canceled. The closing of one or more large transactions in a particular quarter may make it more difficult for us to meet market expectations in subsequent quarters, and our failure to close one or more large transactions in a particular quarter could adversely impact our revenues and margins for that quarter. In addition, we may experience slower growth in our gross margins as our new systems gain commercial acceptance. Our gross margins may also fluctuate based on the regions in which sales of these systems occur.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generally purchase our ink and other consumables on an as-needed basis, and delays in making such purchases by a number of customers could result in a meaningful shift of revenues from one quarter to the next. Moreover, we typically maintain inventories of ink and other consumables sufficient to cover our average sales for at least one quarter ahead. These inventories may not match customers’ demands for any given quarter, which could cause shortages or excesses in our ink and other consumables inventory and result in fluctuations of our quarterly revenues. To the extent that we have excess ink and consumables inventory that we are unable to sell due to expiration dates, we may have to write off such inventory. These inventory requirements may also limit our ability to profit from economies of scale in the production of our ink and other consumables. The ongoing military conflicts involving Israel have caused us to increase our inventory levels in the principal regions in which our sales occur, in order to prevent a potential failure by us to supply our customers if our Israeli facilities and supply line were to be damaged or discontinued (as applicable), thereby heightening the foregoing risks associated with excess inventory.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we base our current and future expense levels on our revenue forecasts and operating plans, and our costs are relatively fixed in the short term, due in part to extended supply and logistics lead times required for ordering certain components of our systems either directly by us or by our contracted manufacturers. Although we took decisive actions to reduce our cost structure over the last two years, we may nevertheless not be able to reduce our costs sufficiently to compensate for an unexpected shortfall in revenues during a particular future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was five years beginning on May 1, 2016, and extends automatically for additional one-year periods unless terminated by Amazon. Pursuant to the master purchase agreement, we have issued to an affiliate of Amazon warrants to acquire up to 3,401,028 of our ordinary shares at a purchase price of $59.26 per share, of which 1,943,445 were vested and exercisable as of December 31, 2024. These warrants vest over a five-year period that began in January 2021 based on payments made by Amazon in connection with the purchase of goods and services from us. The value of the warrants that are currently outstanding is based on their fair value as of the grant date of September 14, 2020.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contractual agreements with Amazon contain a number of material undertakings and other arrangements:</w:t>
      </w:r>
    </w:p>
    <w:p>
      <w:pPr>
        <w:spacing w:after="0" w:line="225" w:lineRule="exact"/>
        <w:rPr>
          <w:sz w:val="20"/>
          <w:szCs w:val="20"/>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are presented net of the relative value of the warrants in each particular period related to the revenues recognized. The warrants are reported as a reduction of revenue in the Company’s income statement when related revenues are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revenues, gross profit and operating profit.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 Additionally, to the extent Amazon determines to change the level and/or timing of its consumable and service orders under the master purchase agreement or we agree with Amazon on changes to the agreement, or Amazon elects not to renew the agreement, our financial results may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relationships with suppliers, especially with single source suppliers of components, were to terminate, our business could be harmed.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76" w:lineRule="exact"/>
        <w:rPr>
          <w:sz w:val="20"/>
          <w:szCs w:val="20"/>
          <w:color w:val="auto"/>
        </w:rPr>
      </w:pPr>
    </w:p>
    <w:p>
      <w:pPr>
        <w:jc w:val="both"/>
        <w:ind w:left="980" w:hanging="324"/>
        <w:spacing w:after="0" w:line="25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Under the agreement, as last amended on January 1, 2025, the initial term of the agreement will expire on December 31, 2025, and the agreement will automatically renew for an additional two-year period, unless either party notifies the other party at least 90 days prior to expiration of the initial term that it does not want such a renewal. The agreement provides that FDMX may increase the prices of the products that we purchase from it upon 180-days’ prior notice at any time, subject to certain conditions. The agreement further provides that FDMX may, at its option, discontinue products supplied under the agreement, provided that we are given one-year notice of the planned discontinuance and are provided with an end-of-sale purchase program.</w:t>
      </w:r>
    </w:p>
    <w:p>
      <w:pPr>
        <w:spacing w:after="0" w:line="191"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FDMX discontinues manufacturing the print head, we would be required to qualify a new print head for our systems (based only on whatever knowledge we have gained from qualifying print heads in the past). In order to minimize the risk of any impact from a disruption or discontinuation in the supply of print heads, raw materials or other components from limited source suppliers, we maintain an additional inventory of such components, in addition to the end-of-life purchase program that would be available to us if the products we purchase from FDMX were discontinued. Nevertheless, such inventory may not be sufficient to enable us to continue supplying our products for a longer period, should we need to locate and qualify a new supplier.</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chemical used in some of our inks is supplied by B.G. (Israel) Technologies Ltd., or BG Bond, a subsidiary of Ashtrom Ltd., a large public Israeli industrial company. The chemicals were previously supplied under a definitive agreement which has expired, and currently we purchase these chemicals on a purchase order basis. For most of our inks, another chemical is supplied by Brenntag a reseller of The Dow Chemical Company, a multinational producer of chemicals and other compounds. We currently purchase these chemicals on a purchase order basis.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raw material used in the production of our intensifier for the Atlas family of products and Apollo, is supplied by Lamberti S.p.A. We purchase this material on a purchase order basis.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Dispersing agents used in some of our inks are supplied by BASF SE, which to our knowledge is the only source of supply of those agents. We purchase these dispersing agents from BASF on a purchase order basis. We maintain safety stock of these chemicals in an amount which will allow us to continue our manufacturing in case of discontinuation.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raw materials and pigments used in some of our inks are supplied by Heubach Group, which was acquired by Sudarshan Chemical Industries in 2024. We currently purchase these raw materials and pigments on a purchase order basis. We maintain safety stock of these raw materials and pigments in an amount which will allow us to continue our manufacturing for several fiscal quarters in case of discontinuation. We are currently in the process of entering into a long-term supply agreement with Heubach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parts of the control system of our systems are supplied by sole suppliers, Yaskawa Europe Technology Ltd., an affiliate of Yaskawa Electric Corporation, or Yaskawa, and Beckhoff Automation Limited. Our turnkey suppliers (Flex and Sanmina- SCI Israel Medical Systems Ltd.), which assemble the control system on our behalf, purchase those control system parts from Yaskawa and Beckhoff. We also purchase additional, spare control system parts from Yaskawa and Beckhoff for our service department on a purchase order basis.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printing systems are compatible with a dryer that we purchase from Adelco Screen Process, or Adelco, which fulfills most of the demand for that dryer. The dryer is supplied under an April 2019 agreement that we entered into with Adelco.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loss of any of these suppliers, or of a supplier for which there are limited other sources, could result in the delay of the manufacture and delivery of our systems or inks and other consumables.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risks resulting from our reliance on suppliers include:</w:t>
      </w:r>
    </w:p>
    <w:p>
      <w:pPr>
        <w:spacing w:after="0" w:line="225" w:lineRule="exact"/>
        <w:rPr>
          <w:sz w:val="20"/>
          <w:szCs w:val="20"/>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 increase in demand for our solutions, our suppliers may be unable to provide us with the components that we need in order to meet that increased demand in a timely manner;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may encounter financial hardships unrelated to our demand for components, which could inhibit their ability to fulfill our orders and meet our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production delays related to the evaluation and testing of products from alternative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price fluctuations due to a lack of long-term supply arrangements for key components;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suppliers may lose access to critical services and components, resulting in an interruption in the manufacture, assembly and shipment of our systems or inks and other consumables;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components that our suppliers manufacture for others may affect their ability or willingness to deliver components to us in a timely manner.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these risks materializes,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we may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new ink manufacturing facility. Such a trend could reduce our operating margins and have a material adverse effect on our financial performance.</w:t>
      </w:r>
    </w:p>
    <w:p>
      <w:pPr>
        <w:spacing w:after="0" w:line="175"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It is difficult to predict future demand for printing in the global printed fashion and textile industries in which we operate, which makes it challenging for our customers to estimate future requirements for production capacity and avoid periods of overcapacity. Fluctuations in the growth rate of our customers’ businesses relative to the growth rate in demand for our printing systems also can lead to overcapacity for our customers and contribute to cyclicality in the market for our systems.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systems and materials capacity to address forecasted future demand patterns, including our investment in our ink manufacturing facility in Kiryat Gat. These capacity additions may exceed the near-term demand requirements for our products, including both systems and consumables, leading to overcapacity situations and underutilization of our manufacturing facilities.</w:t>
      </w:r>
    </w:p>
    <w:p>
      <w:pPr>
        <w:spacing w:after="0" w:line="18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expected reliance, for an increasing portion of our future long-term revenues, on our All-Inclusive Click (AIC™) model, under which we retain ownership of our systems, while our customers operate the systems and are charged a fixed fee per impression, bears certain accompanying risks.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we introduced our All-Inclusive Click (AIC™) model, designed to provide our customers with a predictable, scalable, and cost-effective approach to digital printing. Under this model, we retain ownership of our printing systems, while our customers operate the systems and are charged a fixed fee per impression produced. While we believe this pay-per-use model enables us to capture an additional portion of our potential market, consisting of customers who would not otherwise be willing or able to commit to the capital expenditure for purchasing our new systems outright, it nevertheless also could have certain adverse consequences for our business and results of operations, including, without limitation, any of the following:</w:t>
      </w:r>
    </w:p>
    <w:p>
      <w:pPr>
        <w:spacing w:after="0" w:line="181" w:lineRule="exact"/>
        <w:rPr>
          <w:sz w:val="20"/>
          <w:szCs w:val="20"/>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Damage to Customer Relationships: </w:t>
      </w:r>
      <w:r>
        <w:rPr>
          <w:rFonts w:ascii="Times New Roman" w:cs="Times New Roman" w:eastAsia="Times New Roman" w:hAnsi="Times New Roman"/>
          <w:sz w:val="18"/>
          <w:szCs w:val="18"/>
          <w:color w:val="auto"/>
        </w:rPr>
        <w:t>in certain circumstances, including changes in labor cost, market trends and/or the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alternative technology, the cumulative cost to our AIC™ customers could be more expensive than had the customers purchased our systems outright, which could lead to customer dissatisfaction, and potentially damage our business relationship with those customers, or to their adoption of other printing technologies instead of ours.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Returns of AIC™ Systems</w:t>
      </w:r>
      <w:r>
        <w:rPr>
          <w:rFonts w:ascii="Times New Roman" w:cs="Times New Roman" w:eastAsia="Times New Roman" w:hAnsi="Times New Roman"/>
          <w:sz w:val="18"/>
          <w:szCs w:val="18"/>
          <w:color w:val="auto"/>
        </w:rPr>
        <w:t>: To the extent the cumulative cost of usage of systems becomes overly burdensome to our customers,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macro-economic conditions, alternative technologies or otherwise, that could lead to the return of those systems to us, which will require us to find new customers for those systems, which we may not be able to do in a timely manner or at all.</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Churn Rate</w:t>
      </w:r>
      <w:r>
        <w:rPr>
          <w:rFonts w:ascii="Times New Roman" w:cs="Times New Roman" w:eastAsia="Times New Roman" w:hAnsi="Times New Roman"/>
          <w:sz w:val="18"/>
          <w:szCs w:val="18"/>
          <w:color w:val="auto"/>
        </w:rPr>
        <w:t>: Customers may switch to our competitors offering more favorable per-use rates, leading to higher churn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payment defaults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Costs</w:t>
      </w:r>
      <w:r>
        <w:rPr>
          <w:rFonts w:ascii="Times New Roman" w:cs="Times New Roman" w:eastAsia="Times New Roman" w:hAnsi="Times New Roman"/>
          <w:sz w:val="18"/>
          <w:szCs w:val="18"/>
          <w:color w:val="auto"/>
        </w:rPr>
        <w:t>: Support and maintenance costs related to usage by our customers of our systems could exceed expectations and/or strain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resources, leading to interruptions in the usability of our systems that are designated for our AIC™ program, or adversely affect profitability.</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Consumables Costs</w:t>
      </w:r>
      <w:r>
        <w:rPr>
          <w:rFonts w:ascii="Times New Roman" w:cs="Times New Roman" w:eastAsia="Times New Roman" w:hAnsi="Times New Roman"/>
          <w:sz w:val="18"/>
          <w:szCs w:val="18"/>
          <w:color w:val="auto"/>
        </w:rPr>
        <w:t>: The cost of consumables, which are included in the per-use rates offered by us, may rise, adversely affecting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Complexity in Pricing</w:t>
      </w:r>
      <w:r>
        <w:rPr>
          <w:rFonts w:ascii="Times New Roman" w:cs="Times New Roman" w:eastAsia="Times New Roman" w:hAnsi="Times New Roman"/>
          <w:sz w:val="18"/>
          <w:szCs w:val="18"/>
          <w:color w:val="auto"/>
        </w:rPr>
        <w:t>: Determining the right price per use can be complicated, and setting prices too high may deter customers from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systems, while setting them too low may adversely affect our profit margins.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Fraud and Misuse</w:t>
      </w:r>
      <w:r>
        <w:rPr>
          <w:rFonts w:ascii="Times New Roman" w:cs="Times New Roman" w:eastAsia="Times New Roman" w:hAnsi="Times New Roman"/>
          <w:sz w:val="18"/>
          <w:szCs w:val="18"/>
          <w:color w:val="auto"/>
        </w:rPr>
        <w:t>: There is a greater risk of fraudulent activity with our systems that are used in the pay-per-impression model or misuse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pay-per-impression service when customers are not investing in ownership of our systems.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mitigate the foregoing risks, it is essential that we carefully design the pricing structure of our pay-per impression business model, monitor usage of our systems closely under that model, and establish strong customer engagement strategies to enhance loyalty and satisfaction. To the extent we do not successfully implement each of the foregoing safeguards related to that business model, our results of operations and financial condition could be adversely affected in a material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move towards a higher proportion of direct sales in place of indirect sales may have adverse consequences.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depending on the specific territory into which we are selling. We continually evaluate that strategy in the geographies we serve in an effort to best serve our direct or indirect customers. When we shift towards a direct sales model in relevant territories, we may experience an initial disruption to our sales efforts in those jurisdictions as we transition from our previous sales structure. In addition, a shift to a direct sales model might result in a short-term impact on our results of operations, including due to separation fees, the acquisition of inventory that requires a step up in basis and other such accounting impacts and costs associated with increased headcount and related expenses.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Kiryat Gat ink manufacturing facility was constructed on lands leased by us from the Israel Lands Administration, or ILA, under a long term (49 years) lease agreement. If we are unable to continue to lease such lands, we would be unable to use the facility and our results of operations and future prospects will suffer as a result.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a development agreement, which we refer to as the Development Agreement, with the ILA for the construction of our ink manufacturing facility in Kiryat Gat on lands leased from the ILA. Construction was concluded at the end of 2021, and we officially opened the facility on January 26, 2022. Following the completion of the construction and our receipt of all required approvals from the ILA, we entered into a long-term lease agreement with the ILA, or the Lease Agreement, for a period of 49 years and which may be renewed for an additional 49 years, which agreement has replaced the Development Agreement. The Development Agreement provided, and the Lease Agreement provides, that if our company were a “foreign subject,” which includes being under foreign control (i.e., a majority of our ordinary shares held by non-Israelis), that would constitute a fundamental breach under the agreement. We followed (in the case of each of the Development Agreement and the Lease Agreement) a specific standard process for seeking approval from the ILA for our entering into the agreement. However, because of our potential status as a “foreign subject,” given that our shares are traded on Nasdaq and are held by multiple shareholders whose identities are unknown, the ILA would be entitled to terminate that agreement if it determines that our company is a “foreign subject”. If the Lease Agreement is terminated, we would be unable to use the new Kiryat Gat facility constructed on that property, which would have a material adverse effect on our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operations at our manufacturing site or those of third-party manufacturers could prevent us from filling customer orders on a timely basis.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manufacture our ink and other consumables at our facility in Kiryat Gat, Israel. We rely on contract manufacturing services provided by Flex, and Sanmina-SCI Israel Medical Systems Ltd. which are also in Israel, to assemble our printing and curing systems. We expect that almost all of our revenues in the near term will be derived from the systems and ink and other consumables manufactured at these facilities.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operations in any of these facilities were to be disrupted due to a major equipment failure or power failure lasting beyond the capabilities of backup generators or other events outside of our reasonable control (including due to a military attack against Israel during its ongoing military conflicts), our manufacturing capacity could be shut down for an extended period, we could experience a loss of raw materials or finished goods inventory and our ability to operate our business would be harmed. While we have increased our inventory levels in global regions in order to hedge against a potential stoppage of our ability to supply our customers from Israel due to the recent military conflicts involving Israel, there is nevertheless no guarantee as to the sufficiency of those increased levels.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adequate volumes of our ink and other consumables.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breaches of our data security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invested in advanced protective systems to reduce our cybersecurity and data protection risks, some of which have been installed and others that are still in the process of installation. In addition, we back up our data regularly. We have designated a special committee of executives to assess, among others, our cybersecurity and data protection risks and develop and implement a data security policy. We also created an annual program to ensure our data safety. This program includes self-evaluations, auditing, tests, and third-party evaluation.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cyber-attack does not necessarily cause the loss of that information. We furthermore review our protections and remedial measures periodically in order to ensure that they are adequate, and, accordingly, we carry customary levels of cybersecurity and data protection insurance coverage.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breach,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cyber-attacks, which may compromise our systems and lead to data leakage either internally or at our third-party suppliers or customers. Both data that has been inputted into our main IT platform, which covers records of customers, end-users of our systems, transactions, financial data, employees, pricing and other data reflected in our results of operations, as well as data related to our proprietary rights (such as research and development, and other intellectual property- related data, including: ink formulas; source code for our systems, software and cloud services; undisclosed plans; and email lists), are subject to material cyber security risks. Our IT systems have been, and are expected to continue to be, the target of malware and other cyber-attacks. To date, we are not aware of any loss of, or disruption to, material information as a result of any such malware or cyber-attack. To the extent that a cyber-attack is successful, we could incur significant expense, depending on the severity of the attack, and that attack could have a material adverse effect on our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Import tariffs, taxes, customs duties and other trading regulations imposed by the U.S. government and retaliatory responses from other countries, could significantly increase the prices we pay for raw materials that are critical to our ability to manufacture our systems, and could also adversely impact the economies of countries in which our customers operate, thereby reducing demand for our systems and consumables in those countries.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Import tariffs, taxes, customs duties and other trading regulations imposed by the U.S. government on foreign countries, or by foreign countries on the U.S., could directly or indirectly significantly increase the prices we pay for raw materials that are critical to our ability to manufacture our systems. In particular, the current U.S. administration has expressed a desire to impose substantial new or increased tariffs on goods imported from certain trade partners, such as the EU and China, which have resulted, and may continue to result, in reciprocal tariffs on goods exported from the United States to such trade partners. We may be unable to locate suppliers to provide the necessary raw materials for our products on an economical basis in the amounts we require. That could result in an increase in the cost of raw materials and components used in certain of our systems, which could, in turn, increase our cost of goods sold.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Trade barriers and other governmental action related to tariffs around the world also have the potential to hurt the global printed fashion and textile industries in which our customers operate, by decreasing demand for our customers’ products. New tariffs could also more broadly adversely impact the country-specific or regional economies in which we operate and into which we offer our systems and consumables. Those adverse effects could, in turn, decrease our customers’ demand for our printing systems and consumables, and result in a decrease in our revenues.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widespread imposition of new or increased tariffs could, therefore, both increase the cost of producing, and reduce the demand for, our products, and any such cost increases will either require us to increase prices (which could reduce our sales) or could negatively impact our profit margins, and could, therefore, have a material adverse effect on our financial condition, results of operations and cash flows.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Achieving satisfactory compliance levels with respect to the environmental impact of our operations and products could result in our incurring additional costs, and our failure to achieve such levels could adversely impact our reputation, employee retention, and willingness of customers to do business with us.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ascribed increased importance to the implications of the social cost of their investments. While we have not implemented significant new ESG initiatives, we continue to monitor developments in this area and assess how ESG-related considerations may impact our business, operations, and long-term strategy. Our approach remains focused on ensuring that any ESG-related initiatives we undertake align with our business objectives, regulatory developments, and stakeholder expectations. As ESG standards and disclosure requirements evolve, we will continue to evaluate opportunities to enhance our approach in a manner that is practical and value-driven for our company and shareholders.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failure or perceived failure by us to set appropriate goals and prioritize ESG practices could negatively impact our reputation, employee retention, and the willingness of our customers to do business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Israeli shekel, the Euro and other non-U.S. currencies may negatively affect our earnings.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The NIS depreciated relative to the U.S. dollar by 4.0%, 9.7% and 0.4% in 2022, 2023 and 2024, respectively. Because the NIS- U.S. dollar currency exchange rate is often reflective of economic, political and military developments in Israel, the United States and the rest of the world, future movements of that exchange rate are hard to predict. The annual rate of inflation in Israel amounted to 5.3%, 3.0%, and 3.2% in 2022, 2023, and 2024, respectively. If the dollar cost of our operations increases, our dollar-measured results of operations will be adversely affected. See “ITEM 11. Quantitative and Qualitative Disclosures about Market Risk-Foreign Currency Risk.”</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material portion of our leases are denominated in currencies other than the U.S. dollar, mainly in NIS. In accordance with a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are unable to attract and retain key employees.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We have recently experienced changes in senior personnel, notably, our EVP operations in December 2023 (replaced in July 2024), our Chief Marketing Officer (replaced in March 2024), our EVP corporate development in June 2024, our EVP R&amp;D in December 2024 (replaced in January 2025) and certain changes in our regional presidents’ roles. To the extent that we experience additional frequent changes in our leadership team (or the leadership teams of our subsidiaries) going forward, that could adversely affect our performance in a material manner.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At our primary location in Israel, the ongoing war has resulted in the calling into active duty of reservists, thereby reducing the available workforce for key personnel. On the other hand, country-wide economic activity has slowed for periods of the war, thereby reducing demand for skilled human capital in the Israeli market.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 If we cannot demonstrate that such interests will be harmed, we may be unable to prevent our competitors from benefiting from the expertise of our former employees or consultants and our ability to remain competitive may be diminished. As to our U.S. operations, on the U.S. federal level, there was movement in 2023 by federal agencies to make noncompete agreements unenforceable in general. The Federal Trade Commission, or FTC, implemented a rule on April 23, 2024 to ban employers nationwide from using non-compete agreements with their employees and independent contractors. On August 20, 2024, a federal district court issued an order stopping the FTC from enforcing the rule. The FTC has appealed against that decision and in the meantime, the district court’s decision does not prevent the FTC from addressing noncompete restrictions through case-by-case enforcement actions. In addition, the General Counsel of the National Labor Relations Board issued a memo in March 2023 opining that many types of non-compete and non-solicitation restrictions unlawfully interfere with employees’ protected rights under Section 7 of the National Labor Relations Act. If any of these proposed new U.S. federal restrictions become and/or remain effective, or if any state in which we have operations continues to expand restrictions or bans the use of non-compete restrictions, that could adversely impact our ability to protect our investment in our key employees in our U.S. locations, and harm our competitive position.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worldwide sales, marketing and support infrastructure that is comprised of independent distributors and value-added resellers, and our own personnel resulting in a global sales, marketing and support presence, including in North America, Western and Eastern Europe, the Asia Pacific region and Latin America. We continue to evaluate our overall workforce in all areas, including sales, applications development, field support, marketing and engineering and, in some cases, establish new relationships with agents, distributors or channel partners, particularly in markets where we currently do not have a sales or customer support presence. As we continue to expand our international sales and operations, we are subject to a number of risks, including the following:</w:t>
      </w:r>
    </w:p>
    <w:p>
      <w:pPr>
        <w:spacing w:after="0" w:line="18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as well as longer collection periods;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incurred in establishing and maintaining office space and equipment for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foreign currencies in markets where we do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recruiting local experienced personnel, and the costs and expenses associated with such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Russia’s ongoing war against Ukraine and trade and monetary sanctions in response to such developments on the markets in which we operate;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material disruptions to the global supply chain and to international shipping routes caused by Houthi attacks on marine vessels traversing the Red Sea;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(including, without limitation, U.S.-China reciprocal tariffs), and tax laws and treaties;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left="98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of these risks could adversely affect our international operations, reduce our revenues from outside the United States or increase our operating costs, adversely affecting our business, reputation, results of operations and financial condition and growth prospects. There can be no assurance that all of our employees and channel partners will comply with the formal policies that we have in place and/or will implement them or will adhere to all applicable laws and regulations. Violations of laws or key control policies by our employees and channel partners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manufacture and sell products that may create exposure to product liability, warranty liability, or personal injury claims and litigation that may harm our business and results of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Product quality and safety issues could negatively impact consumer confidence in our brand and our business. Our products may not successfully achieve applicable safety standards or customers’ expectations regarding safety or quality. Our products may contain or, be alleged to contain, components containing hazardous materials that may present certain health, safety, or quality concerns. Additionally, from time to time, system errors and/or deficiencies may be discovered in the design, manufacturing, assembling, labeling and product formulations of our systems, parts, ink, and other consumables, and associated software. Hazardous materials, errors, and/or deficiencies may also be identified in materials, components, and systems produced by others and used with or incorporated into our products. Some of these issues may not be apparent until after certain products are installed or used by customers, including in circumstances where a product is first introduced, or a new version is released. We expect that these errors or defects will be found from time to time in new or enhanced systems after commencement of commercial distribution or upon software upgrades.</w:t>
      </w:r>
    </w:p>
    <w:p>
      <w:pPr>
        <w:spacing w:after="0" w:line="192"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To the extent that any error, deficiency, or hazardous component (which presents a safety concern) exists in any of our products and is not discovered and corrected before a product is introduced to the market, such product could be unsafe and/or could cause damage, including property damage, personal injury, or death. In such circumstances, the actual, potential, or perceived product safety concerns and/or defects in the manufacturing or design, a failure to warn of dangers inherent in the product, negligence, or strict liability could expose us to litigation relating to product liability, warranty liability, or personal injury, as well as government enforcement actions.</w:t>
      </w:r>
    </w:p>
    <w:p>
      <w:pPr>
        <w:spacing w:after="0" w:line="183"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Such litigation could force us to incur significant expenses, divert management’s time and attention, subject us to adverse publicity, and damage our reputation and competitive position. A successful assertion of a claim against us may result in potentially significant monetary damages, penalties, or fines and adversely affect sales of our products. Although we carry insurance policies covering this type of liability, these policies may not provide sufficient protection should a claim be asserted against us. In addition, costs or payments made in connection with warranty and product liability claims and system recalls could adversely affect our financial condition and results of operations in a material manner. Product liability claims, injuries, defects, or other problems experienced by other companies in the digital printing industry could lead to unfavorable market conditions for the industry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acquired businesses and may acquire or make investments in other complementary companies, products or technologies.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tax liabilities in the future as a result of audits of our tax returns.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principally in Israel, United States, Germany, Hong-Kong, United Kingdom, and Japan. Significant judgment is required in evaluating our uncertain tax positions and determining our provision for income taxes, and if the relevant tax authority does not agree with the positions that we take, we could be subject to tax audit and face significant tax liabilities, which could have a material adverse effect on our results of operations. We were recently subject to such a tax audit for the years 2020 to 2021 by the Israeli Tax Authority, or ITA, in respect of which we ultimately reached a settlement with the ITA. 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are measured using the enacted tax rates that will be in effect when the differences are expected to reverse.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We currently maintain reserves for uncertain tax positions. If the potential tax liabilities in respect of which we have taken these reserves exceed the amount of those reserves, that may have a material adverse effect on our results of operations. For more information on our tax positions please refer to Note 14 to our financial statements that appear in Item 18 of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provision of Kornit</w:t>
      </w:r>
      <w:r>
        <w:rPr>
          <w:rFonts w:ascii="Times New Roman" w:cs="Times New Roman" w:eastAsia="Times New Roman" w:hAnsi="Times New Roman"/>
          <w:sz w:val="29"/>
          <w:szCs w:val="29"/>
          <w:b w:val="1"/>
          <w:bCs w:val="1"/>
          <w:i w:val="1"/>
          <w:iCs w:val="1"/>
          <w:color w:val="auto"/>
          <w:vertAlign w:val="superscript"/>
        </w:rPr>
        <w:t>X</w:t>
      </w:r>
      <w:r>
        <w:rPr>
          <w:rFonts w:ascii="Times New Roman" w:cs="Times New Roman" w:eastAsia="Times New Roman" w:hAnsi="Times New Roman"/>
          <w:sz w:val="18"/>
          <w:szCs w:val="18"/>
          <w:b w:val="1"/>
          <w:bCs w:val="1"/>
          <w:i w:val="1"/>
          <w:iCs w:val="1"/>
          <w:color w:val="auto"/>
        </w:rPr>
        <w:t xml:space="preserve"> cloud-based software</w:t>
      </w:r>
    </w:p>
    <w:p>
      <w:pPr>
        <w:spacing w:after="0" w:line="14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is a subscription software service for the management of on-demand production. We do not expect the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offering to have a material impact on our overall results of operations in the very near term; however, we believe that it nonetheless exposes us to several potential risks, including the following:</w:t>
      </w:r>
    </w:p>
    <w:p>
      <w:pPr>
        <w:spacing w:after="0" w:line="200"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bugs and defects that adversely impact our customer’s production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data breaches and/or loss of customer data, including data regarding payment methods;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unauthorized open-source software or other infringements of third-party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providing support to software users; and</w:t>
      </w:r>
    </w:p>
    <w:p>
      <w:pPr>
        <w:spacing w:after="0" w:line="228" w:lineRule="exact"/>
        <w:rPr>
          <w:rFonts w:ascii="Times New Roman" w:cs="Times New Roman" w:eastAsia="Times New Roman" w:hAnsi="Times New Roman"/>
          <w:sz w:val="18"/>
          <w:szCs w:val="18"/>
          <w:color w:val="auto"/>
        </w:rPr>
      </w:pPr>
    </w:p>
    <w:p>
      <w:pPr>
        <w:ind w:left="980" w:right="20" w:hanging="324"/>
        <w:spacing w:after="0" w:line="188" w:lineRule="auto"/>
        <w:tabs>
          <w:tab w:leader="none" w:pos="980"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challenges related to our required delivery of the service level agreements under the virtual supplier model that we utilize for our Kornit</w:t>
      </w:r>
      <w:r>
        <w:rPr>
          <w:rFonts w:ascii="Times New Roman" w:cs="Times New Roman" w:eastAsia="Times New Roman" w:hAnsi="Times New Roman"/>
          <w:sz w:val="29"/>
          <w:szCs w:val="29"/>
          <w:color w:val="auto"/>
          <w:vertAlign w:val="superscript"/>
        </w:rPr>
        <w:t>X</w:t>
      </w:r>
      <w:r>
        <w:rPr>
          <w:rFonts w:ascii="Times New Roman" w:cs="Times New Roman" w:eastAsia="Times New Roman" w:hAnsi="Times New Roman"/>
          <w:sz w:val="18"/>
          <w:szCs w:val="18"/>
          <w:color w:val="auto"/>
        </w:rPr>
        <w:t xml:space="preserve"> offering.</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 foregoing risks materializes, our reputation may be adversely impacted, which could, in turn, adversely impact sales of our products and diminish customer confidence in 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Any current or future lawsuits to which we are subject may have a significant adverse effect on our financial condition or profitability.</w:t>
      </w:r>
    </w:p>
    <w:p>
      <w:pPr>
        <w:spacing w:after="0" w:line="15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We are currently subject to securities class action litigation (as described below in “ITEM 8.A Financial Information- Legal Proceedings-Securities Class Action Lawsuit”) and could be subject to further litigation in the future.</w:t>
      </w:r>
    </w:p>
    <w:p>
      <w:pPr>
        <w:spacing w:after="0" w:line="162"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We can provide no assurance as to the outcome of any current or future lawsuits, and any such actions may result in judgments against us for significant damages. Resolution of any such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Regardless of the outcome, litigation has resulted in the past, and may result in the future, in significant legal expenses and require significant attention and resources of management. As a result, any present or future litigation could result in losses, damages and expenses that have a significant adverse effect on our financial condition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patent protection for our solutions or otherwise protect our intellectual property rights, our business could suffer.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our ability to protect our proprietary technology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2024, we owned 54 issued patents in the United States and 27 provisional or pending U.S. patent applications, along with 41 pending non-U.S. patent applications. We also had 42 patents issued in non-U.S. jurisdictions, and 5 pending Patent Cooperation Treaty patent applications, which are counterparts of our U.S. patent applications. The non-U.S. jurisdictions in which we have issued patents or pending applications are China, the European Union or European countries of the European Union including 3 Unitary Patents, Mexico, Israel, Canada, Australia, South Africa, Japan and India. We may file additional patent applications in the future. The process of obtaining patent protection is expensive, time-consuming, and uncertain, and we may not be able to pursue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2024 report on intellectual property rights protection and enforcement published by the Office of the United States Trade Representative, such countries included Argentina, Chile, China, India, Indonesia, Russia, and Venezuela (designated as priority watch list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trademarks from infringement, our business prospects may be harmed.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own trademarks that identify “Kornit”, “Kornit Digital”, “NeoPigment”, the “K” logo and “Konnect” logo, and we have an additional trademark registration for the “Custom Gateway” logo, among others, and have registered these trademarks in certain key markets. We further own trademark registrations and applications for VOXEL8, VOXEL8 logo, ACTIVEIMAGE, ACTIVELAB and ACTIVEMIX in certain key markets. Although we take steps to monitor the possible infringement or misuse of our trademarks, third parties may violate our trademark rights. Any unauthorized use of our trademarks could harm our reputation or commercial interests. Efforts to enforce our trademarks may be expensive and time-consuming and may not effectively prevent infringement.</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may not register our trademark rights in all the markets in which we sell our products, and our application to register our trademarks in various jurisdictions may be opposed by third parties (as has occurred in the past), which could require investment of additional time and resources on our part in order to secure registration of those rights. If we do not succeed, our trademarks will be exposed to infringement in a particular jurisdiction, which could have various adverse effects on our operations in that jurisdiction.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and financial condition.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our technology or force us to enter into costly settlement or license agreements on terms that are unfavorable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manufacturing, importing, using, or selling some or all of our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our operations or the markets in which we compete;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damage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indemnify our distributors and customers;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royalties.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case-by-case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would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been volatile in recent years. It may continue to fluctuate substantially as a result of many factors, including: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and/or our competitors’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changes in service provider relationships, acquisitions, strategic relationships or expansion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of our solutions;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repurchases, if any, of our ordinary shares pursuant to our current share repurchase programs and/or any other share repurchase program which may be approved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ordinary shares or other securities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recent years, the stock markets have sometimes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We, too, along with certain of our current and former executives, and, in one case, our directors, the underwriters for our November 2021 follow-on public offering and Amazon, have been made subject to such securities class action litigation, which alleges that we made misrepresentations and omissions in our public statements and disclosures in violation of the Exchange Act and Rule 10b-5 promulgated thereunder. If these actions or any similar litigation against us are not dismissed or settled at their early stages, we could incur substantial costs and our management’s attention and resources could be diverted.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share capital, and we do not anticipate paying any cash dividends in the foreseeable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reduce the trading price of our ordinary shares substantially for an extended period of time, we have in the past used and may continue in the future using a portion of our cash reserves for share repurchases. In addition to considerations related to corporate finance, Israeli law limits our ability to declare and pay dividends and may subject our dividends to Israeli withholding taxes.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share repurchase programs.</w:t>
      </w:r>
    </w:p>
    <w:p>
      <w:pPr>
        <w:spacing w:after="0" w:line="229" w:lineRule="exact"/>
        <w:rPr>
          <w:sz w:val="20"/>
          <w:szCs w:val="20"/>
          <w:color w:val="auto"/>
        </w:rPr>
      </w:pPr>
    </w:p>
    <w:p>
      <w:pPr>
        <w:jc w:val="both"/>
        <w:ind w:firstLine="638"/>
        <w:spacing w:after="0" w:line="252" w:lineRule="auto"/>
        <w:rPr>
          <w:sz w:val="20"/>
          <w:szCs w:val="20"/>
          <w:color w:val="auto"/>
        </w:rPr>
      </w:pPr>
      <w:r>
        <w:rPr>
          <w:rFonts w:ascii="Times New Roman" w:cs="Times New Roman" w:eastAsia="Times New Roman" w:hAnsi="Times New Roman"/>
          <w:sz w:val="18"/>
          <w:szCs w:val="18"/>
          <w:color w:val="auto"/>
        </w:rPr>
        <w:t>Our board of directors approved our new share repurchase program in September 2024, under which we can repurchase up to $100 million of our outstanding ordinary shares. Under the new program, purchases can be made by way of a variety of methods, including open market purchases, privately negotiated transactions or otherwise, all in accordance with U.S. securities laws and regulations, including Rule 10b-18 under the Exchange Act. We have affected share repurchases under the new share repurchase program by way of an accelerated share repurchase agreement with Goldman Sachs International, under which we repurchased $75 million of the $100 million authorized under the new program through the assistance of Goldman Sachs, in large repurchases that occurred in November 2024, December 2024 and February 2025— totaling 2,467,206 ordinary shares, in the aggregate. Our share repurchase program may reduce the public float of shares available for trading on a daily basis and may cause volatility in the price of our ordinary shares. Our repurchases may be limited, suspended, or terminated at any time without prior notice. There can be no assurance that we will repurchase any specific amount of ordinary shares under our share repurchase program or that any future repurchases will have a positive impact on our share price or profitability. Important factors that could cause us to discontinue or decrease our share repurchases include, among others, unfavorable market conditions, the market price of our ordinary shares, the nature of other investment or strategic opportunities presented to us, the rate of dilution of our equity compensation programs, our ability to make appropriate, timely, and beneficial decisions as to when, how, and whether to purchase shares under the share repurchase program, the tax consequences of any repurchases (including the potential impact of the 1% excise tax on certain share repurchases), and the availability of funds necessary to continue purchasing shares. If we curtail or suspend our share repurchase program, our share price may be negatively affected.</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(i) the quorum requirement for shareholder meetings (25%, which is less than the one-third minimum required under the Nasdaq rules), (ii) the independent director oversight requirement for director nominations (the board as a whole, rather than an entirely independent nominating committee or only the independent directors, handles this under Israeli law), and (iii) shareholder approval for the issuance of ordinary shares or other securities to officers, directors, employees or consultants under an equity compensation plan or arrangement, or for the adoption of, or a material amendment to, such a plan or arrangement (Israeli law only requires shareholder approval generally for a grant under a plan or arrangement for directors or the chief executive officer).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the U.S. proxy rules and are exempt from filing certain Exchange Act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These exemptions and leniencies will reduce the frequency and scope of information and protections to which you are entitled as an investor.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governance practices associated with U.S. domestic issuers. In addition, we would lose our ability to rely upon exemptions from certain corporate governance requirements on U.S. stock exchanges that are available to foreign private issuers. Such additional required compliance would involve additional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sales of our 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Amazon is entitled to certain registration rights with respect to the 3,401,028 ordinary shares underlying new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Material Contracts- Agreements with Amazon-Transaction Agreement and Warrant” in this annual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2,580,694 ordinary shares are issuable under currently vested and exercisable share options and unvested restricted share units, or RSUs, in the aggregate, granted to employees and office holders as of December 31, 2024. We have filed registration statements on Form S-8 under the Securities Act registering our potential issuance of those ordinary shares under our share incentive plans, of which, as of December 31, 2024, there were options and RSUs to purchase an aggregate of 4,696,089 shares outstanding. Shares included in such registration statements may be freely sold in the public market upon issuance, except for shares held by affiliates who have certain restrictions on their ability to sell.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required to devote substantial time towards maintaining the effectiveness of our internal controls and to other compliance initiatives and corporate governance practices.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Applicable U.S. securities laws and regulations and the listing requirements of the Nasdaq Stock Market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particular,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2024. Because PFIC status is based on our income, assets and activities for the entire taxable year, it is not possible to determine whether we will be characterized as a PFIC for our 2025 taxable year until after the close of the year. Furthermore, because the value of our gross assets is likely to be determined in part by reference to our market capitalization, a decline in the value of our ordinary shares may result in our becoming a PFIC.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equity research analysts publish about us, our business and our markets.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Israel has been engaged in a war with Hamas, a terrorist organization based in the Gaza Strip on Israel’s southern border, and until recently, was similarly engaged in a military conflict with Hezbollah, a terrorist organization based in Lebanon on Israel’s northern border, in each case since October 7, 2023. Each such terrorist group has been sponsored by Iran. Iran itself, and other Iranian-sponsored terrorist organizations in the Middle East, including the Houthi terrorist militia in Yemen, have also launched aerial strikes against Israel, and Israel has responded with counter-attacks. The future intensity and duration of the war and additional hostilities are difficult to predict, as are the related economic implications on our business and operations and on Israel’s economy in general.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duration of the war thus far has led to a downgrade in Israel’s credit rating by rating agencies such as the downgrade by Moody’s of Israel’s credit rating from A1 to Baa1, as well as the downgrade of its outlook rating from “stable” to “negative,” while S&amp;P Global lowered Israel’s long-term credit rating from A+ to A and downgraded its short-term credit rating from A-1+ to A-1, with a “negative” outlook on the long-term rating.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none of our facilities or infrastructure have been damaged nor have our supply chains been significantly impacted since the war broke out. However, an even further prolonged or intensified war could result in further military reserve duty call-ups as well as irregularities to our supply chain and our ability to ship products from Israel, which could disrupt our operations.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an event associated with the security situation in the Middle East, as well as acts of terror.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While some of these countries are eliminating these constraints, additional countries may impose restrictions on doing business with Israel and Israeli companies if hostilities in Israel or political instability in the region continues or increases. Although the recent Abraham Accords have enhanced Israel’s relations with certain countries in the Middle East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United Arab Emirates, Bahrain, Morocco and Sudan), an ongoing state of hostility vis-à-vis other countries, varying in degree and intensity, has caused security and economic challenges for Israel. In addition, there have been increased efforts by activists to cause companies and consumers to boycott Israeli goods based on Israeli government policies. Such actions, particularly if they become more widespread, may adversely impact our ability to sell and service our solutions.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shipping and delivery of our systems and ink and other consumables from our manufacturing facilities and those of our third-party manufacturers in Israel could also be delayed or interrupted by political, economic, military, and other events outside of our reasonable control, including labor strikes at ports in Israel or at ports of destination, military attacks on transportation facilities or vessels, and severe weather events. In addition to attacking Israel, the Houthi terrorist militia in Yemen has also been attacking ships in the Red Sea as part of the current hostilities in an effort to deter ships from reaching the southern Israeli port of Eilat. We have implemented business contingency plans to mitigate the risk that we may be prevented from delivering or providing our systems, consumables and services from our Israeli facilities to various global regions in which our customers are located, by increasing inventory levels for our systems and consumables in those localized regions. Nevertheless, even those increased inventory levels could turn out to be insufficient to meet our customer needs should our Israeli capabilities be damaged or shut down due to the ongoing military conflicts involving Israel. If delivery and installation of our products is delayed or prevented by any such events, our revenues could be materially and adversely impacted.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eligible for certain tax benefits provided to “Benefited Enterprises” under the Israeli Law for the Encouragement of Capital Investments, 1959, or the Investments Law, until 2018. Beginning in January 2019, and with respect to our taxable results from 2019 onwards, we and our Israeli subsidiary are furthermore eligible to apply the terms of the Investments Law as they relate to a “Preferred Enterprise,” or PE, and/or a “Preferred Technological Enterprise,” or PTE. In order to remain eligible for the tax benefits for Benefited Enterprises for our Israeli subsidiary’s taxable results until 2018, and for its taxable results from 2019 onwards with respect to a PE or PTE, we must continue to meet certain conditions stipulated in the Investments Law and its regulations, as amended. If these tax benefits are reduced, cancelled, or discontinued, our Israeli taxable income would be subject to regular Israeli corporate tax rates and we may be required to refund any tax benefits that we have already received, plus interest and penalties thereon. The statutory corporate tax rate for Israeli companies is 23% from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 See “ITEM 5. Operating and Financial Review and Prospects- Taxation and Israeli Government Programs Applicable to our Company - Law for the Encouragement of Capital Investments, 5719-1959.”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2021, 2022, 2023, and 2024, we received new commitments from the Innovation Authority for non-royalty bearing grants to reimburse us for up to 55% of our research and development expenses in connection with certain projects, in amounts of NIS 2 million, NIS 3.6 million, NIS 2.6 million, and NIS 1.2 million, respectively (approximately $0.7 million, $1 million, $0.7 million, and $0.3 million), in the aggregate. To date, we have received from the Innovation Authority NIS 4 million (approximately $1.1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collectively referred to as the Innovation Law, in connection with that new funding and any past funding that we had received from the Innovation Authority.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company develops know-how, technology or products and related services using grants provided by the Innovation Authority, the terms of those grants and the Innovation Law, among others, restrict the transfer outside of Israel of (i) such Innovation Authority-supported know-how (including by a way of license for research and development purposes), (ii) manufacturing or manufacturing rights of such products, and (iii) such technologies, without the prior approval of the Innovation Authority. We may not receive those approvals.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set forth under the Innovation Law, to which we are subject (even after repaying grants we have received) include:</w:t>
      </w:r>
    </w:p>
    <w:p>
      <w:pPr>
        <w:spacing w:after="0" w:line="223" w:lineRule="exact"/>
        <w:rPr>
          <w:sz w:val="20"/>
          <w:szCs w:val="20"/>
          <w:color w:val="auto"/>
        </w:rPr>
      </w:pPr>
    </w:p>
    <w:p>
      <w:pPr>
        <w:jc w:val="both"/>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know-how outside of Israel</w:t>
      </w:r>
      <w:r>
        <w:rPr>
          <w:rFonts w:ascii="Times New Roman" w:cs="Times New Roman" w:eastAsia="Times New Roman" w:hAnsi="Times New Roman"/>
          <w:sz w:val="18"/>
          <w:szCs w:val="18"/>
          <w:color w:val="auto"/>
        </w:rPr>
        <w:t>. Transfer of the know-how that was developed with the funding of the Innovation Authority outside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 manufacturing obligation. </w:t>
      </w:r>
      <w:r>
        <w:rPr>
          <w:rFonts w:ascii="Times New Roman" w:cs="Times New Roman" w:eastAsia="Times New Roman" w:hAnsi="Times New Roman"/>
          <w:sz w:val="18"/>
          <w:szCs w:val="18"/>
          <w:color w:val="auto"/>
        </w:rPr>
        <w:t>The terms of the grants under the Innovation Law require that the manufacturing of products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an event, a notice to the Innovation Authority is required.</w:t>
      </w:r>
    </w:p>
    <w:p>
      <w:pPr>
        <w:spacing w:after="0" w:line="18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reporting obligations</w:t>
      </w:r>
      <w:r>
        <w:rPr>
          <w:rFonts w:ascii="Times New Roman" w:cs="Times New Roman" w:eastAsia="Times New Roman" w:hAnsi="Times New Roman"/>
          <w:sz w:val="18"/>
          <w:szCs w:val="18"/>
          <w:color w:val="auto"/>
        </w:rPr>
        <w:t>. A recipient of a grant or a benefit under the Innovation Law is required to notify the Innovation Authority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enumerated in the Innovation Law.</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“Articles of Association - Acquisitions under Israeli Law” in Exhibit 2.2 to this annual report.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or the ITA, might be required.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Information on 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 We shipped our first system in 2005. In April 2015, we completed our initial public offering, or IPO. Our ordinary shares began trading on the Nasdaq Global Select Market, under the symbol “KRNT,” on April 2, 2015.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agent for service of process in the United States is Kornit Digital North America Inc., located at 480 South Dean Street Englewood, NJ 07631, and its telephone number is (262) 518-0200.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company whose ordinary shares are registered under the Exchange Act, we report publicly to the SEC. The SEC maintains an Internet site (http:// www.sec.gov) that contains reports and other information regarding issuers that file electronically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Capital Expenditures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in the years ended December 31, 2022, 2023 and 2024 were approximately $18.0 million, $7.0 million, and $15.1 million, respectively, and were principally used for the purchase of property, plant and equipment and, in 2024, for the production of equipment for lease. The aggregate amount for 2021 and 2022 included approximately $2.5 million paid for the land for our new 6,637 square meter ink manufacturing and storage facility in Kiryat Gat, Israel, which we opened on January 26, 2022. The total cost for land, construction of the facility, design and installation of the production line, was approximately NIS 69 million (approximately $22 million). We used cash on hand to finance the construction of that facility.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700"/>
        <w:spacing w:after="0" w:line="258" w:lineRule="auto"/>
        <w:rPr>
          <w:sz w:val="20"/>
          <w:szCs w:val="20"/>
          <w:color w:val="auto"/>
        </w:rPr>
      </w:pPr>
      <w:r>
        <w:rPr>
          <w:rFonts w:ascii="Times New Roman" w:cs="Times New Roman" w:eastAsia="Times New Roman" w:hAnsi="Times New Roman"/>
          <w:sz w:val="18"/>
          <w:szCs w:val="18"/>
          <w:color w:val="auto"/>
        </w:rPr>
        <w:t>On April 5, 2022, we completed the acquisition of Lichtenau, Germany-based Tesoma GmbH, or Tesoma. Tesoma is globally recognized for the high-quality engineering and performance of its cutting-edge textile curing solutions. The total cash consideration for this acquisition was 15.4 million Euros. In February 2025, after having integrated Tesoma’s customer service, and research and development, teams into our overall business operations, we commenced the transition of Tesoma’s production activities to our third-party manufacturer. Consequently, production activities at Tesoma’s German facility were discontinued as of March 15,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make any capital expenditures for the acquisition of interests in other companies in 2023 or 2024, nor have we done so thus far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leading global developer and provider of innovative digital solutions for the printed textile industry. We aim to transform the industry by shifting demand generators and fulfillers from outdated and stagnant analog processes to innovative digital processes. Our solutions are designed to enable our customers to remain relevant, reduce waste, and adapt to shifting supply chain dynamics.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focus on the rapidly growing high throughput DTG (direct to garment) and Direct to Fabric segments of the printed textile industry. Our solutions include our proprietary digital printing systems, ink, and other consumables, associated software and value-added services. These solutions allow for printing large scale, short to medium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are offering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blends,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MAX, which targets the on-demand Direct-to-Fabric market. While the DTG market generally involves printing on finished garments, the Direct-to-Fabric market is focused on printing on fabrics that are subsequently converted into finished garments, home décor and other items. The Presto MAX, like our predecessor Direct-to-Fabric products, the Presto and Allegro, utilizes our proprietary wet-on-wet printing methodology and houses an integrated drying and curing system. It offers a single-step, eco-friendly, stand-alone industrial Direct-to-Fabric digital textile printing solution.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 attractive business model, with our growing installed base of systems driving recurring sales of ink and other consumables. Our ink and other consumables are specially formulated to enable our systems to operate at the highest throughput level while adhering to high print quality requirements.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capitalize on the continued growth of the DTG market by expanding our diverse global customer base, focusing particularly on fast-growing web-to-print businesses. We similarly strive to capture a greater share of the growing market for Direct-to-Fabric, which has emerged as a transformative technology within the apparel industry. Besides reaching new customers,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 We constantly explore the possibility of adding new business models and concepts designed to grow our business and cater to our customers’ needs.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with a trend towards adopting a direct sales model in certain key markets. We have historically generated a significant portion of our sales through a global network of independent agents,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or by service engineers employed by our distributors. This varies among the four regions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General Textile Industry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Textile is a flexible material formed using various processes, including weaving, knitting, crocheting, or felting. Textile is conventionally used in a broad range of applications including fashion, apparel, footwear and home decor. According to a report published by Statista in October 2024, the value of the global apparel retail market was approximately $1.73 trillion in 2023 and is forecasted to grow to $2.04 trillion in 2029, reflecting a compound annual growth rate (CAGR) of 2.6% between 2025 and 2029. Factors including rising income per capita, favorable demographics and shifting consumer trends are expected to drive long-term demand in the apparel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global printed textile industry involves printing on fabric rolls, finished garments and unsewn pieces of cut fabric at various stages along the value chain in the production of goods for fashion, apparel, and home decoration. According to Future Market Insights (FMI), the global digital textile printing market is set to experience substantial growth over the forecast period, with a projected compound annual growth rate (CAGR) of 12.1% from 2024 to 2034. This remarkable growth is expected to drive the market from USD 2,989.6 million in 2024 to a forecasted USD 8,897.3 million by 2034, indicating strong demand for advanced printing technologies in the textile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E-Commerce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global e-commerce market has undergone significant growth in the past two decades, expanding in the U.S. from only ~2% of total retail sales in 2003 to 16.2% in late 2024 according to the U.S. census bureau. The shift in retail sales channels has transformed how consumers purchase goods across industries, but many global retail brands have faced pressures as their traditional supply chains were not designed to serve e-commerce markets. Advanced technologies like virtual reality, 3D modeling, and artificial intelligence are being increasingly integrated to enhance online shopping. Concurrently, the creator economy is expanding, with social media and e-commerce platforms enabling creators to monetize their digital content. In 2024, e-commerce apparel sales are projected to reach $457 billion, accounting for 26% of the overall apparel market, and reflecting a 12% increase from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Media</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Social media platforms, merging media and network categories, have significantly impacted the retail landscape, influencing communication, consumer trends, and brand perception. As of October 2024, 5.22 billion users (63.8% of the global population) were active on social media, with over 304 million users in the U.S. alone, according to DataReportal and Statista. This widespread use has enabled small and micro brands, often established by individuals or organizations with social influence, to achieve rapid recognition and growth, challenging traditional players to be more agile and responsive. Additionally, the convergence of gaming and social media, with games like Fortnite, Minecraft, and Roblox, highlights the evolution of online games into robust social media networks and interactive marketplaces, offering an alternative to traditional social media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the formulation of new strategies and thinking, integrated into business and operational frameworks around sustainable manufacturing, supply chain design, sustainability performance measurement and ongoing management. While industrial production is considered part of the problem, it is now also considered as part of the solution. From a practical point of view, companies are focusing their sustainability strategies to include technological improvements that enable cleaner production, pollution prevention, and other sustainable manufacturing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154305</wp:posOffset>
            </wp:positionV>
            <wp:extent cx="5434965" cy="2005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3496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Screen printing is the most commonly used printing process for textiles. The two primary methods of screen printing are rotary screen printing and automated carousel screen printing.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762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064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Rotary Screen Printing </w:t>
      </w:r>
      <w:r>
        <w:rPr>
          <w:rFonts w:ascii="Times New Roman" w:cs="Times New Roman" w:eastAsia="Times New Roman" w:hAnsi="Times New Roman"/>
          <w:sz w:val="18"/>
          <w:szCs w:val="18"/>
          <w:color w:val="auto"/>
        </w:rPr>
        <w:t>Rotary screen printing is commonly used to print on outerwear, underwear, sportswear, upholstery, and linens. It involves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154305</wp:posOffset>
            </wp:positionV>
            <wp:extent cx="1585595" cy="1534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55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Automated Carousel Screen Printing. </w:t>
      </w:r>
      <w:r>
        <w:rPr>
          <w:rFonts w:ascii="Times New Roman" w:cs="Times New Roman" w:eastAsia="Times New Roman" w:hAnsi="Times New Roman"/>
          <w:sz w:val="18"/>
          <w:szCs w:val="18"/>
          <w:color w:val="auto"/>
        </w:rPr>
        <w:t>Automated carousel screen printing is commonly used to print on finished garments and cut pieces.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132080</wp:posOffset>
            </wp:positionV>
            <wp:extent cx="5160645" cy="488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064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Printing Processes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The digital textile printing market principally includes two types of printing processes: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Direct-to-Garment (DTG) </w:t>
      </w:r>
      <w:r>
        <w:rPr>
          <w:rFonts w:ascii="Times New Roman" w:cs="Times New Roman" w:eastAsia="Times New Roman" w:hAnsi="Times New Roman"/>
          <w:sz w:val="18"/>
          <w:szCs w:val="18"/>
          <w:color w:val="auto"/>
        </w:rPr>
        <w:t>In DTG printing, an inkjet printer prints directly on the textile. DTG printing allows for printing images and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122555</wp:posOffset>
            </wp:positionV>
            <wp:extent cx="5160645" cy="539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064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Direct-to-Fabric </w:t>
      </w:r>
      <w:r>
        <w:rPr>
          <w:rFonts w:ascii="Times New Roman" w:cs="Times New Roman" w:eastAsia="Times New Roman" w:hAnsi="Times New Roman"/>
          <w:sz w:val="18"/>
          <w:szCs w:val="18"/>
          <w:color w:val="auto"/>
        </w:rPr>
        <w:t>In Direct-to-Fabric printing, rolls of fabric pass in-line through wide-format inkjet printers that are utilized to directly print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and designs onto rolling fabric. The following chart summarizes the key steps involved in the Direct-to-Fabric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112395</wp:posOffset>
            </wp:positionV>
            <wp:extent cx="5160645"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606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due to the COVID-19 pandemic, we believe that these businesses offer a significant and rapidly growing market for digital printing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Digital Textile Printing Addresses Industry Needs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characteristics of digital textile printing are driving the shift from analog to digital textile printing:</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Manufacturing flexibility. </w:t>
      </w:r>
      <w:r>
        <w:rPr>
          <w:rFonts w:ascii="Times New Roman" w:cs="Times New Roman" w:eastAsia="Times New Roman" w:hAnsi="Times New Roman"/>
          <w:sz w:val="18"/>
          <w:szCs w:val="18"/>
          <w:color w:val="auto"/>
        </w:rPr>
        <w:t>Digital textile printing gives manufacturers the ability to print short runs, with personalization capabilities, in a cost-effective manner with a minimum order quantity of one unit. Unlike screen printing, digital printing costs remain the same when printing a single unit or multiple units. This allows printers to execute orders one by one without needing to accumulate large demand for a design before printing. In a post-COVID-19 world, manufacturing flexibility plays an essential role in building brands’ resilience. Companies must rethink their sourcing strategies while implementing cutting-edge supply chain management, and building in greater flexibility, in order to keep products at pace with customer demand.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Design flexibility. </w:t>
      </w:r>
      <w:r>
        <w:rPr>
          <w:rFonts w:ascii="Times New Roman" w:cs="Times New Roman" w:eastAsia="Times New Roman" w:hAnsi="Times New Roman"/>
          <w:sz w:val="18"/>
          <w:szCs w:val="18"/>
          <w:color w:val="auto"/>
        </w:rPr>
        <w:t>Digital textile printing enables a larger variety of artwork to be imprinted, without limitations on number of colors per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high-resolution imaging.</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Integration with advanced workflow environments. </w:t>
      </w:r>
      <w:r>
        <w:rPr>
          <w:rFonts w:ascii="Times New Roman" w:cs="Times New Roman" w:eastAsia="Times New Roman" w:hAnsi="Times New Roman"/>
          <w:sz w:val="18"/>
          <w:szCs w:val="18"/>
          <w:color w:val="auto"/>
        </w:rPr>
        <w:t>Digital textile printing is better suited for the transition of the production floor environment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digitization, including connectivity to cloud networking elements and productivity analytics software solutions.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Reduced time between design and production. </w:t>
      </w:r>
      <w:r>
        <w:rPr>
          <w:rFonts w:ascii="Times New Roman" w:cs="Times New Roman" w:eastAsia="Times New Roman" w:hAnsi="Times New Roman"/>
          <w:sz w:val="18"/>
          <w:szCs w:val="18"/>
          <w:color w:val="auto"/>
        </w:rPr>
        <w:t>The digital textile printing process allows for samples to be quickly produced, evaluated,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which permits brand owners to increase the frequency and variety of replenishment cycles in response to fashion trends.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Decreased risk of excess inventory. </w:t>
      </w:r>
      <w:r>
        <w:rPr>
          <w:rFonts w:ascii="Times New Roman" w:cs="Times New Roman" w:eastAsia="Times New Roman" w:hAnsi="Times New Roman"/>
          <w:sz w:val="18"/>
          <w:szCs w:val="18"/>
          <w:color w:val="auto"/>
        </w:rPr>
        <w:t>The costly and time-consuming upfront setup required in analog production methods is avoided when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printing technologies. By enabling the cost-efficient production of a smaller quantity of garments, digital printing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focused on the sale of printed textiles.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Reduced labor and physical space requirements. </w:t>
      </w:r>
      <w:r>
        <w:rPr>
          <w:rFonts w:ascii="Times New Roman" w:cs="Times New Roman" w:eastAsia="Times New Roman" w:hAnsi="Times New Roman"/>
          <w:sz w:val="18"/>
          <w:szCs w:val="18"/>
          <w:color w:val="auto"/>
        </w:rPr>
        <w:t>Digital textile printing requires significantly less labor to print an equivalent output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reduction in process steps. The combination of labor savings and a smaller floor footprint, coupled with lower energy consumption and a lack of environmental impact, enables manufacturers to move production closer to consumers in a cost-effective manner. The textile business is very seasonal and the need to retain employees bears a heavy financial burden. The move to digital printing significantly reduces the need for manpower and allows for a more flexible cost structure.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Sustainability. </w:t>
      </w:r>
      <w:r>
        <w:rPr>
          <w:rFonts w:ascii="Times New Roman" w:cs="Times New Roman" w:eastAsia="Times New Roman" w:hAnsi="Times New Roman"/>
          <w:sz w:val="18"/>
          <w:szCs w:val="18"/>
          <w:color w:val="auto"/>
        </w:rPr>
        <w:t>Digital textile printing significantly reduces industrial water consumption and discharge of toxic chemicals by eliminating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wash screens for color changes and repeated use. We estimate that this results in reduced environmental impact and in turn enables manufacturers to comply with regulatory and brand guidelines at a location of their choosing, in many cases in populated areas which are not industrial in nature. In addition, digital textile printing opens up opportunities to optimize processes and reduce the carbon footprint and energy expense used to decorate garments and fabrics.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DTG solutions utilize our patented wet-on-wet printing methodology that eliminates the common practice of separately coating and drying textiles prior to printing. This methodology also enables printing on a wide range of untreated natural, synthetic, blends and man-made fabrics, including cotton, wool, polyester and lycra, and with throughputs ranging from 40 to approximately 400 garments per hour, depending on system type, garment type and operational capabilities. Our industrial and mass production DTG solutions are suited to the needs of a variety of customers, from smaller industrial operators with limited budgets to mass producers with complex manufacturing requirements. Products in this category are designed to print directly on finished garments such as shirts, sweatshirts, polos, fleeces, and more. Our primary systems within our DTG business include the Atlas MAX Plus, Atlas MAX Poly and Apollo.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2021, we supplemented our original DTG printing solutions with our Kornit MAX technology, which enables exemplary retail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Kornit introduced the XDI technology that allows layered 3D printing. This capability is available as part of Kornit’s unique MAX printing engine. Kornit XDi brings a new dimension to digital printing by enabling the printing of multiple layers to create 3D-effects. XDi’s unique premium applications open new markets for our customers and offer creative freedom powered by a simple, single-step, digital and sustainable process. Our customers are now able to do much more with their printing equipment and enter into higher margin premium markets.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2022, we introduced the Atlas MAX Poly, which extended our technological capabilities in high quality printing on polyester even further by leveraging the Kornit MAX technology and incorporating it as part of our proprietary polyester printing process, which is based on the NeoPigment® Olympia ink set. The Atlas MAX Poly harnesses an innovative low temperature curing ink set alongside a new process and consumables to deliver highest quality digital printing on dyed polyester as well as delivering improved productivity rates. These new capabilities expanded our opportunity within the sports and athleisure spaces. This platform is also equipped with Neon applications and a proprietary consumable called ProGuard, which acts as a barrier between the fabric and print and promotes the inhibition of dye migration. In addition, this solution improves print quality on polyester cotton blends.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Apollo was launched in January 2024. The Apollo is a digital mass production platform, designed to be capable of printing up to approximately 400 shirts per hour, and handled by a single operator. The Apollo leverages the MAX technology, and the Eco-Rapid ink set and consumables. The printing technology is boosted by automation of loading and unloading, as well as integrated smart curing. Kornit’s RIP (Raster Image Processor) solution – K-RIP, is integrated into the Apollo, enabling it to print spot colors and specific Pantones with ease. We intend to continue developing and adding additional features to Apollo to further enhance flexibility, quality, and productivity.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Kornit’s new energy-efficient Smart Curing solutions includes Orion for mid-level production, and Titan for higher-capacity volumes - both optimized for compatibility with Kornit Atlas MAX systems and based on field-proven solutions developed by Tesoma. The Lunar smart curing platform brings the same capabilities to Kornit’s Apollo solution. These highly efficient curing systems sync production and finish for an end-to-end process that reduces both energy consumption and total cost of ownership (TCO). Smart curing systems allow integration between our different Max platforms to the curing system, increasing print quality, energy efficiency and flexibility.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2023 we launched our Rapid Size Shifter (RSS) Pallet for our Atlas Max platform. RSS is a single adjustable pallet for multiple applications and product sizes. The RSS increases the speed and productivity of on-demand direct-to-garment production with a single pallet platform that addresses a wide range of applications, from T-shirts with or without neck tags and hoodies, to children’s apparel. This solution also reduces the downtime associated with pallet changes and streamlined production for accelerated time-to-market.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we launched the new Atlas MAX Plus system which uses Kornit’s proven Atlas MAX platform to bring increased productivity of up to150 garments per hour. With integrated Smart Curing, Rapid Size Shifter pallets, and qualiset, the offering takes smart production capabilities a step forward introducing production flexibility, autonomous calibration, consistency.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industrial digital printing solutions which target the on-demand Direct-to-Fabric market. Our Direct-to-Fabric products are designed to deliver printing on rolls of fabric that are subsequently converted into finished goods. Our Direct-to-Fabric capabilities cater to different market segments such as fashion and home décor. Like our DTG products, our Direct-to-Fabric solutions are designed to print on a wide range of fabrics. Our digital Direct-to-Fabric printing products also use our wet-on-wet patent and are a leading single-step, eco-friendly, stand-alone industrial Direct-to-Fabric digital textile printing products available on the market. Our system within our Direct-to-Fabric business include the Presto MAX. Our Presto MAX platform brings unique capabilities to the market allowing our customers to digitally print on dyed fabrics, utilizing our white NeoPigment® ink, both as a spot color and as a base. Presto MAX also allows printing using Neon colors to achieve expanded color gamut and a wide variety of applications. Presto MAX also includes Kornit’s innovative XDi technology allowing 3D-effects and enabling our customers to penetrate higher margin premium markets. During the last quarter of 2024, we commenced the final test stage of our “Vivido” ink set. The Vivido is expected to enable the printing of deep and natural blacks while reducing ink consumption and improving hand feel. Additionally, Kornit is anticipated to launch the Qualiset system also as part of the Presto MAX platform, which facilitates automatic machine calibrations ensuring quality and consistency.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series of ink sets for DTG systems, includes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polyester printing system, the Avalanche Poly Pro and the Atlas MAX Poly, and is available in five colors (W+CMYK), with an enhancer for the Avalanche Poly Pro and 7 colors (W+CMYKNyNp) on the Atlas MAX Poly. For our roll-to-roll systems, we offer the NeoPigment® Robusto ink set, which consists of up to nine colors (W+CMYKRGNyNp) in several different configurations.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offer customers maintenance and support services, as well as value-added services and application consulting, aimed at optimizing the number of impressions printed by our systems.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Our Software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DTG systems arrive with our QuickP Production software embedded. The software manages the system operation and prepares image files for printing. QuickP Production is a simple to use solution that allows users to control key operating parameters, such as print resolution, perform maintenance and calibration procedures and import image files and prepare them for print.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Apollo, we have included K-RIP, an embedded RIP (Raster Image Processor) solution, which is capable of supporting various types of files, including PDF files, and matches specific colors (such as spot colors and Pantones) with Kornit’s inks. It supports integration with an API workflow, which boosts the ability to automate the production floor.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Kornit Konnect, our cloud-based, software analytics connectivity platform enables businesses to maximize productivity of their digital printing solutions. In its first phase, Kornit Konnect enables businesses to monitor production, analyze data, become insights-driven and manage their fleet, in order to eliminate blind spots. It includes a fleet management dashboard, data driven benchmarks, actual production costs, and cost structures per job, making it easy for businesses to learn more, react faster and perform better.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2020, we acquired Custom Gateway, a global provider of cloud-based software workflow solutions for both B2B and B2C business models. Custom Gateway’s solution enables Kornit to offer customers an end-to-end solution for on-demand production.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KornitX’s technology, which is based on our acquisition of Custom Gateway, connects front end, web-based demand generators such as on-line stores and on-line brands as well as licensors with a digitized fulfillment process, enabling a digitized on-demand manufacturing process. With the KornitX production floor solution, orders are routed and managed to facilitate efficient on-demand production on a mass scale.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service offering consists of system upgrade kits, maintenance and support, consulting and professional services. We continue to expand our services capabilities and aim to increase the number of customers that rely on our service for their systems. As of December 31, 2024, we had service contracts in place with approximately 34% of our industrial and mass production installed base.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AIC™ – All-Inclusive Click business model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2024, the Company formally introduced the All-Inclusive Click (AIC™) model, which is designed to provide customers with a predictable, scalable, and cost-effective approach to digital printing. Under this model, Kornit retains ownership of the system, while the customer operates the system and is charged a fixed fee per impression produced. The fixed fee paid by customers covers system usage, ink, consumables, and service, eliminating the need for extensive capital investment. Customers commit to a minimum annual volume of impressions at the fixed price, typically over a five-year contractual period with successive one-year automatic renewals.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customer surpasses its minimum volume commitment, incremental impressions are billed at a reduced rate, creating a strong incentive to optimize system usage and scale production. This structure directly aligns our revenue growth with the operational success of customers, in-turn enhancing and deepening the relationship.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AIC™ model is targeted at businesses seeking to expand their digital production capabilities without incurring upfront capital expenditure. Additionally, we believe that the model opens new market opportunities by attracting customers who may have previously been hesitant to adopt digital printing due to uncertainty in the unit economics of digital production. Customers exploring this model can now directly compare their existing unit production costs to AIC’s fixed price per impression while only needing to make assumptions on labor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Kornit recognizes revenue from AIC™ over time as impressions are generated, which differs from our traditional selling model where the sale of a system is recognized at the time of delivery. Systems under the AIC™ model are reported as property, plant and equipment, net on our balance sheet and are depreciated over seven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AIC™ is available for the Apollo and Atlas MAX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for Growth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strategy includes three key pillars which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in Growth Markets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growing our customer base by targeting new customers in markets that are adjacent to those in which we have been operating. These markets include geographies where we have identified multiple leading global fulfillers or demand generators which are producing without cost-efficient and sustainable solutions to meet changing consumer preferences. Our strategy of expanding into key markets also includes reallocating our resources selectively to better penetrate the bulk apparel market for athleisure and home décor in addition to new segments including footwear and technical apparel.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Maximize Impressions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installed base to the latest technology available, offering customers empowerment programs inclusive of basic and advanced training, with a goal of enabling our customers to increase utilization of their systems. With our move into solution selling, we are focusing on providing our customers with value added services including training programs, proactive services, production consulting and end-to-end workflow improvements. Through these value-added services, we can increase system availability and utilization, end-user product quality, and increase impressions, thereby requiring more ink and other consumables purchases as well as potential investment in new systems as our customers require additional capacity.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Extend our leadership position through acquisitions and strategic partnerships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seek to continue to differentiate ourselves and extend our leadership position. We may supplement our internal efforts with selective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the acquisition of business assets from Hirsch in 2019 helped us transition to a full direct sales model in North America, and our acquisition of Tesoma in 2022 provided us the ability to integrate the curing step of the DTG printing process directly into our solutions via the Apollo.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diverse global customer base consisted of approximately 865 active customers as of December 31, 2024. Our installed base serves a variety of customers, operating through different business models.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Self-Fulfillment</w:t>
      </w:r>
      <w:r>
        <w:rPr>
          <w:rFonts w:ascii="Times New Roman" w:cs="Times New Roman" w:eastAsia="Times New Roman" w:hAnsi="Times New Roman"/>
          <w:sz w:val="18"/>
          <w:szCs w:val="18"/>
          <w:color w:val="auto"/>
        </w:rPr>
        <w:t>. Companies that produce printed textiles and sell their own designs.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Hybrid Printers</w:t>
      </w:r>
      <w:r>
        <w:rPr>
          <w:rFonts w:ascii="Times New Roman" w:cs="Times New Roman" w:eastAsia="Times New Roman" w:hAnsi="Times New Roman"/>
          <w:sz w:val="18"/>
          <w:szCs w:val="18"/>
          <w:color w:val="auto"/>
        </w:rPr>
        <w:t>. Companies that produce printed textiles both in-house and outsource to third party fulfillment providers.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 Party Fulfillment Centers</w:t>
      </w:r>
      <w:r>
        <w:rPr>
          <w:rFonts w:ascii="Times New Roman" w:cs="Times New Roman" w:eastAsia="Times New Roman" w:hAnsi="Times New Roman"/>
          <w:sz w:val="18"/>
          <w:szCs w:val="18"/>
          <w:color w:val="auto"/>
        </w:rPr>
        <w:t>. Companies serving as third party fulfillment for printed textile retailers.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We are subject to various local, state, federal and international laws, regulations, and agencies that affect businesses generally, and our business in particular. These include:</w:t>
      </w:r>
    </w:p>
    <w:p>
      <w:pPr>
        <w:spacing w:after="0" w:line="162" w:lineRule="exact"/>
        <w:rPr>
          <w:sz w:val="20"/>
          <w:szCs w:val="20"/>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environmental, health and safety regulations, including conditions set by the Israeli Ministry of Environmental Protection for the operation of our manufacturing and development facilities which use chemicals and produce waste materials, as further detailed below;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and the U.S. Anti-Money Laundering Act, as well as similar laws in Israel, UK and the European Union;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pertaining to the hiring, treatment, safety and discharge of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control regulations related to chemicals and hazardous substances, as described below;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tax regulations, as described under “ITEM 5. Operating and Financial Review and Prospects- Taxation and Israeli Government Programs Applicable to Our Company” below;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regulations for the European market.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Israeli Environmental, Health and Safety Regulations</w:t>
      </w:r>
      <w:r>
        <w:rPr>
          <w:rFonts w:ascii="Times New Roman" w:cs="Times New Roman" w:eastAsia="Times New Roman" w:hAnsi="Times New Roman"/>
          <w:sz w:val="18"/>
          <w:szCs w:val="18"/>
          <w:color w:val="auto"/>
        </w:rPr>
        <w:t>. Our manufacturing and development facilities use chemicals and produce waste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 us to hold business licenses that may include conditions set by the Israeli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expenditures of significant amounts in the event of non-compliance and/or remediation, whether fines or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need to obtain regulatory permits to operate our systems in their facilities.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Import/Export Control Regulation of Chemicals and Hazardous Substances</w:t>
      </w:r>
      <w:r>
        <w:rPr>
          <w:rFonts w:ascii="Times New Roman" w:cs="Times New Roman" w:eastAsia="Times New Roman" w:hAnsi="Times New Roman"/>
          <w:sz w:val="18"/>
          <w:szCs w:val="18"/>
          <w:color w:val="auto"/>
        </w:rPr>
        <w:t>. The export of our products internationally subjects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Tesoma GmbH (a German company, whose production activities were recently transferred to our third-party manufacturer) is wholly owned by Kornit Digital Technologies Ltd.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Gateway, which currently operates under the name Kornit Digital/KornitX, was incorporated on May 5, 2010 under the laws of England and Wales, and is wholly owned by Kornit Digital UK Ltd. Custom Gateway Limited has several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Kornit (Shanghai) Digital Co., Ltd., which was incorporated on December 8, 2021, is wholly owned by Kornit Digital Asia Pacific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Rosh Ha’Ayin, Israel in an office and research and development facility consisting of approximately 125,658 square feet. The lease for this office expires in December 2028, with an option for us to extend the lease for an additional two years.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we announced the official opening of a new, modern, ink manufacturing facility in Kiryat Gat, Israel. We own the property and the building at this facility (subject to a 49-year lease agreement with the ILA, which will renew for an additional 49 years). Our capital expenditures for 2021 and 2022 included approximately $2.5 million paid for the land for our new 71,440 square foot ink manufacturing and storage facility in Kiryat Gat, Israel. The total cost for land, construction of the facility, design, and installation of the production line, was approximately NIS 69 million (approximately $22 million). We used cash on hand to finance the construction of that facility.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U.S. headquarters are located in Englewood, New Jersey. We have entered into a lease for these headquarters, which includes approximately 15,845 square feet of offices and a warehouse. The lease for this location expires in February 2028. We maintain additional sales, support and marketing offices in: Dusseldorf, Germany; Hong Kong; the United Kingdom and Japan. We also maintain a disaster recovery site in Milwaukee, Wisconsin, where we are able to manufacture the fixation agent for some of our printers and 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2022, we entered into a new agreement for the lease of 18,256 square feet, in addition to our existing 14,057 square feet, for our office in Dusseldorf, Germany, which we have been using as an experience center. The lease will expire in 2028, with an option to extend the lease for two additional five-year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u w:val="single" w:color="auto"/>
          <w:color w:val="auto"/>
        </w:rPr>
        <w:t>Unresolved Staff Comments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Operating and Financial Review and Prospects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section should be read in conjunction with our financial statements for the year ended December 31, 2024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develop, design and market innovative digital printing solutions for the global printed textile industry. Our vision is to revolutionize this industry by facilitating the transition from analog processes to digital methods of production that address contemporary supply, demand, and environmental dynamics. Our solutions are designed to enable our customers to remain relevant, reduce waste, and adapt to shifting supply chain dynamics. We focus on the high throughput DTG, DTG Mass Production and Direct-to-Fabric segments of the printed textile industry. Our solutions include our proprietary digital printing systems, ink, and other consumables, associated software and value-added services that allow for printing large scale short and longer runs of complex images and designs directly on finished garments and fabrics. Our customers include fulfillers and demand generators, such as brands, licensors, and content creators, primarily within the fashion, apparel and home décor segments of the industry.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offer an industrial digital printing solution, the Presto MAX, which targets the on-demand Direct-to-Fabric market. While the DTG market generally involves printing on finished garments, the Direct-to-Fabric market is focused on printing on fabrics that are subsequently converted into finished garments, home décor, and other items. The Presto MAX, like our predecessor Direct-to-Fabric products, the Presto and the Allegro, utilize our proprietary wet-on-wet printing methodology and house an integrated drying and curing system. It offers the sole single-step, eco-friendly, stand-alone industrial Direct-to-Fabric digital textile printing solution available on the market, following its predecessors the Presto and the Allegro. We primarily sell the Presto MAX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MAX we are well positioned to take advantage of the growing trend towards customized fashion, home décor and on-demand fabric printing, where there is an increased focus on sustainable production. We began selling the Presto MAX commercially in 2021, two years after having introduced our Direct-to-Fabric digital textile printing solution, the Presto in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a hybrid model of indirect and direct sales, with a trend towards adopting a direct sales model in certain key markets. We have historically generated a significant portion of our sales through a global network of independent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or by service engineers employed by our distributors. This varies among the four regions that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 attractive business model, with our installed base of systems driving recurring sales of ink and other consumables. Our ink and other consumables are specially formulated to enable our systems to operate at the highest throughput level while adhering to high print quality requirements. We constantly explore the possibility of adding new business models and concepts designed to grow our business and cater to our customers’ needs.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capitalize on the continued growth of the DTG market by expanding our diverse global customer base, focusing particularly on fast-growing web-to-print businesses. We also seek to increase our sales to existing customers, particularly sales of our ink and other consumables. At the same time, we are pursuing new high-volume customers, including new customers in the screen replacement market with the Apollo,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On September 10, 2024, we announced that our board of directors has authorized a new program for our repurchase of up to $100 million of our ordinary shares from time to time (our prior $75 million repurchase program that was initially approved in December 2022 and was extended in July 2023 and January 2024 had already expired prior to that time, in July 2024, and repurchases could no longer be made under 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facilitate our repurchase of ordinary shares under our new share repurchase program, on November 10, 2024, we entered into an accelerated share repurchase agreement with Goldman Sachs International, or Goldman Sachs, to repurchase $75 million of our ordinary shares. Please see “Item 16E Purchases of Equity Securities by the Issuer and Affiliated Purchasers” for more information concerning our share repurchase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our audited financial statements for the years ended December 31, 2022, 2023, and 2024 and related notes and the information contained in “ITEM 18. Financial Statements”. Our financial statements have been prepared in accordance with US GAAP</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Components of Statement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Systems, Ink and Other Consumables, Value Added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generate revenues from the sale of our systems, ink and other consumables, and services, including software subscriptions and transaction-based revenues. Our growing installed base generates recurring revenues from ink and other consumables sales. We do not, however, consider period-to-period changes in our total installed base to be a helpful metric in assessing our performance because we sell a number of different systems that have significantly different throughput characteristics and average selling prices. Our installed base does not, therefore, serve to indicate revenues from future systems sales, however, because we have not experienced material changes in the prices at which we sell ink and other consumables, we believe the amount of the increase in revenues from ink and other consumables generated each period from our growing installed base is a key measure of success for our recurring revenues strategy.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generate the services portion of our revenues from the provision of post-warranty service contracts, spare parts to our distributors and customers, system upgrades, time and material-based services, software subscriptions and transaction-based revenues.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sold our products directly and through independent distributors who resell them to customers. Sales by our distributors accounted for approximately 13% and 9% of our revenues during 2023 and 2024,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including product discounts, volume-based rebates, and warrants, which are accounted for as variable consideration that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therefore purchase less ink and other consumables.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“Critical Accounting Estimates-Revenue Recognition”.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Breakdown of Revenues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024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geographic breakdown of revenues from sales to customers for the periods indicated: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3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138,515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115,034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93,243</w:t>
            </w:r>
          </w:p>
        </w:tc>
        <w:tc>
          <w:tcPr>
            <w:tcW w:w="26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60,706</w:t>
            </w:r>
          </w:p>
        </w:tc>
        <w:tc>
          <w:tcPr>
            <w:tcW w:w="26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50,089</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24,396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r>
      <w:tr>
        <w:trPr>
          <w:trHeight w:val="23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tcPr>
          <w:p>
            <w:pPr>
              <w:spacing w:after="0"/>
              <w:rPr>
                <w:sz w:val="20"/>
                <w:szCs w:val="20"/>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271,518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219,786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203,825</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revenues by geographic region set forth in the above table reflects the general trends for our revenues for 2024 compared to 2023, as described below under “C</w:t>
      </w:r>
      <w:r>
        <w:rPr>
          <w:rFonts w:ascii="Times New Roman" w:cs="Times New Roman" w:eastAsia="Times New Roman" w:hAnsi="Times New Roman"/>
          <w:sz w:val="18"/>
          <w:szCs w:val="18"/>
          <w:b w:val="1"/>
          <w:bCs w:val="1"/>
          <w:i w:val="1"/>
          <w:iCs w:val="1"/>
          <w:color w:val="auto"/>
        </w:rPr>
        <w:t>omparison of the Years Ended December 31, 2024 and 2023-Revenues”.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amortization of intangible assets, and overhead for the manufacturing process of ink and other consumables.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with entry level systems. In addition, customers that purchase our high throughput systems generally use larger quantities of ink and other consumables, which generate higher margins than sales of systems.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offer maintenance and support for all our systems sold in the United States. We seek to increase the number of customers that rely on us to provide maintenance and support for their systems by expanding our maintenance and support capabilities. In addition to driving gross margin improvement, we believe this provides us with an opportunity to work directly with customers with the goal of reducing system down-time, educating customers on how to optimally use our systems to drive increased utilization and growth in impressions printed, expanding the variety of print applications, as well as increasing sales of post-warranty service contracts and other professional application development services. We are seeking to generate increased revenues from our services offering, including increasing sales of post-warranty service contracts, selling upgrade kits, and providing other professional services, to leverage the fixed cost component associated with our service organization and increase the contribution margin.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expenses are classified into three categories: research and development expenses, net,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largest component of our research and development expenses, net of government grants, is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personnel expenses for our research and development employees. Research and development expenses also include, purchases of laboratory supplies; expenses related to beta testing of our systems; amortization of intangible assets; and allocated overhead costs for facilities, including rent payments under our facilities leases. We record all research and development expenses as they are incurred, except for development expenses, which are capitalized in accordance with ASC 350-40. Our current research and development efforts are primarily focused on our next generation of Direct-to-Fabric and DTG systems. We are also investing in the development of new ink formulas for our new systems, in order to expand the range of fabrics on which we can print and improve color quality and diversification of our high-resolution images and designs. We are improving our software solutions to simplify workflows in the printing process, by offering a complete solution from web order intake through graphic job preparation and execution.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largest component of our sales and marketing expenses is salaries and related personnel expenses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sales and other sales-support employees. Sales and marketing expenses also include trade shows, other advertising and promotions, including distributor open houses and media advertising; sales-based commissions, allowance for credit loss and allocated overhead costs for facilities, including rent payments under our facilities leases. We market our solutions using a combination of internal marketing professionals and our network of channel partners.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The largest component of our general and administrative expenses is salaries and related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income, net consists of interest income, foreign currency exchange gains or losses and bank fees. Foreign currency exchange changes reflect gains or losses related to changes in the value of our non-U.S. dollar denominated financial assets, primarily cash and cash equivalents, and trade payables and receivables. As of December 31, 2024,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upon our average investment balances and market interest rates during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corporate tax rate in Israel has been 23% for 2018 and all subsequent years. However, as discussed in greater detail below under “Taxation and Israeli Government Programs Applicable To Our Company - Israeli Tax Considerations and Government Programs,” we and our wholly owned Israeli subsidiary, Kornit Digital Technologies Ltd., which we refer to as Kornit Technologies, are entitled to various tax benefits under the Israeli Law for the Encouragement of Capital Investments, 1959, or the Investment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consolidate the two separate results of our Israeli operations only for tax purposes such that net operating loss carryforwards of Kornit Technologies generated from 2014 onwards can be used to offset our taxable income. Kornit Technologies currently has enough carryforward net operating losses to offset our taxable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in January 2019, and with respect to its taxable results from 2019 onwards, our Israeli subsidiary further elected to apply the terms of the Investments Law as per its “Preferred Technological Enterprise,” or PTE, status. In each of 2022, 2023, and 2024, our effective tax rate was the blended rate of our Israeli tax and those of our non-Israeli subsidiaries in their respective jurisdictions of organization.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Comparison of Period-to-Period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this section we provide data, as well as discussion and analysis, with respect to our results of operations for the last two years. While our statements of operations in Item 18 of this annual report cover each of the three years ended December 31, 2022, 2023, and 2024, the data, and discussion and analysis, in this Item 5.A do not address the year ended December 31, 2022, or a comparison of our results of operations for that year compared with our results of operations for the year ended December 31, 2023. In order to view that data, and discussion and analysis, please see “ITEM 5. Operating and Financial Review and Prospects - A. Operating Results - Comparison of Period-to-Period Results of Operations - Comparison of the Years Ended December 31, 2022 and 2023” in our Annual Report on Form 20-F for the year ended December 31, 2023, which we filed with the SEC on March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p>
      <w:pPr>
        <w:spacing w:after="0" w:line="229"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The following tables present a comparison of the various components of our results of operations for the years ended December 31, 2023 and 2024, both in absolute amounts and as a percentage of our revenues in those respective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0"/>
                <w:szCs w:val="20"/>
                <w:color w:val="auto"/>
              </w:rPr>
            </w:pPr>
          </w:p>
        </w:tc>
        <w:tc>
          <w:tcPr>
            <w:tcW w:w="23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161,045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58,741</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91,516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61,313</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152,829</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66,957</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91,762</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50,060</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66,836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37,592</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(87,531)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(37,315)</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24,150</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taxes on income</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(63,381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(14,965</w:t>
            </w:r>
          </w:p>
        </w:tc>
        <w:tc>
          <w:tcPr>
            <w:tcW w:w="22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(64,351)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(16,800)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80" w:type="dxa"/>
            <w:vAlign w:val="bottom"/>
          </w:tcPr>
          <w:p>
            <w:pPr>
              <w:spacing w:after="0"/>
              <w:rPr>
                <w:sz w:val="19"/>
                <w:szCs w:val="19"/>
                <w:color w:val="auto"/>
              </w:rPr>
            </w:pPr>
          </w:p>
        </w:tc>
        <w:tc>
          <w:tcPr>
            <w:tcW w:w="2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73.3%</w:t>
            </w: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26.7</w:t>
            </w:r>
          </w:p>
        </w:tc>
        <w:tc>
          <w:tcPr>
            <w:tcW w:w="720" w:type="dxa"/>
            <w:vAlign w:val="bottom"/>
          </w:tcPr>
          <w:p>
            <w:pPr>
              <w:spacing w:after="0"/>
              <w:rPr>
                <w:sz w:val="20"/>
                <w:szCs w:val="20"/>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41.6</w:t>
            </w: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27.9</w:t>
            </w:r>
          </w:p>
        </w:tc>
        <w:tc>
          <w:tcPr>
            <w:tcW w:w="72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5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69.5</w:t>
            </w:r>
          </w:p>
        </w:tc>
        <w:tc>
          <w:tcPr>
            <w:tcW w:w="7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3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72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30.4</w:t>
            </w: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17.1</w:t>
            </w:r>
          </w:p>
        </w:tc>
        <w:tc>
          <w:tcPr>
            <w:tcW w:w="720" w:type="dxa"/>
            <w:vAlign w:val="bottom"/>
          </w:tcPr>
          <w:p>
            <w:pPr>
              <w:spacing w:after="0"/>
              <w:rPr>
                <w:sz w:val="20"/>
                <w:szCs w:val="20"/>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(39.8)</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(18.3)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taxes on income</w:t>
            </w: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(28.8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(29.2)%</w:t>
            </w:r>
          </w:p>
        </w:tc>
        <w:tc>
          <w:tcPr>
            <w:tcW w:w="7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825"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decreased by $16.0 million, or 7.3%, to $203.8 million in 2024 from $219.8 million in 2023, which is net of $13.8 million and $3.3 million, in 2023 and 2024, respectively, in fair value of the warrants associated with revenues recognized from Amazon. The decline in revenues was primarily driven by a 32.3% decrease in systems revenues to $33.2 in 2024 from $49 million in 2023 and a 5.1% decrease in service revenues to $55.7 million in 2024 from $58.7 million in 2023 offset in part by a 2.5% increase in ink and other consumables revenues to $114.9 million in 2024 from $112 million in 2023. The decrease in systems revenues was attributable to macro-economic headwinds and other pressures, which continued to impact customers’ systems purchasing decisions and the decline in service revenues was due principally to lower sales of AtlasMAX upgrades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decreased by $40.7 million, or 26.7%, to $112.1 million in 2024 from $152.8 million in 2023. Gross profit increased by $24.8 million, or 37.0%, to $91.8 million in 2024 from $67 million in 2023. Gross margin increased to 45.0% in 2024 compared with 30.5% in 2023. The increase in gross profit and gross margin reflects the higher proportion of comparatively higher gross margin ink and consumables revenue in our sales mix, lower charges related to the fair value of warrants deducted from revenues, and cost base reductions resulting from the restructuring.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(16.9)%</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66,836</w:t>
            </w:r>
          </w:p>
        </w:tc>
        <w:tc>
          <w:tcPr>
            <w:tcW w:w="12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29,086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154,488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95"/>
              </w:rPr>
              <w:t>70.3</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129,077</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63.4</w:t>
            </w:r>
          </w:p>
        </w:tc>
        <w:tc>
          <w:tcPr>
            <w:tcW w:w="26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(25,411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w w:val="95"/>
              </w:rPr>
              <w:t>(16.4</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net. </w:t>
      </w:r>
      <w:r>
        <w:rPr>
          <w:rFonts w:ascii="Times New Roman" w:cs="Times New Roman" w:eastAsia="Times New Roman" w:hAnsi="Times New Roman"/>
          <w:sz w:val="18"/>
          <w:szCs w:val="18"/>
          <w:color w:val="auto"/>
        </w:rPr>
        <w:t>Research and development, or R&amp;D, expenses, net of government grants, decreased by 16.9% in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2023. The decrease in net R&amp;D expenses was due primarily to the reduction in work force (as described in “Item 6.D. Employees” below), as well as a decrease in materials used as compared with 2023. As a percentage of total revenues, our R&amp;D expenses decreased to 20.4% in 2024 from 22.8% in 2023.</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12.6% in 2024 compared with 2023. This decrease was due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the average number of employees (as described in “Item 6.D. Employees” below), as well as lower spending on events and other marketing activities. As a percentage of total revenues, our sales and marketing expenses decreased to 28.7% in 2024 from 30.4% in 2023.</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22.6% in 2024 compared with 2023. This was due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personnel (as described in “Item 6.D. Employees” below) . As a percentage of total revenues, our general and administrative expenses decreased to 14.3% in 2024 from 17.1% in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27"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Financial income, net, totaled $22.4 million in 2024 compared with $24.2 million in 2023. The $1.8 million decrease was due primarily to lower average balances and interest rates on our bank deposits and marketable securities. Financial expenses in 2024 declined to $1.7 million from $3.7 million in 2023 due mainly to lower exchange rate differences.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Taxes on income amounted to $1.8 million in 2024, compared with $1.0 million in 2023. The change was due mainly to (i) the valuation allowance recorded in 2023 against deferred tax assets, and (ii) prior years’ taxes. For more information, please see Note 14 to our consolidated financial statements that appear in Item 18 of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3" w:name="page54"/>
    <w:bookmarkEnd w:id="5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For more information concerning our income tax expenses, please see the risk factor in Item 3.D above that begins “</w:t>
      </w:r>
      <w:r>
        <w:rPr>
          <w:rFonts w:ascii="Times New Roman" w:cs="Times New Roman" w:eastAsia="Times New Roman" w:hAnsi="Times New Roman"/>
          <w:sz w:val="18"/>
          <w:szCs w:val="18"/>
          <w:b w:val="1"/>
          <w:bCs w:val="1"/>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additional tax liabilities in the future as a result of audits of our tax returns.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and Israeli Government Programs Applicable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Considerations and Government Programs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and certain Israeli Government programs that benefit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Corporate Tax Structure in Israel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generally subject to the prevailing corporate tax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Industry (Taxes), 5729-1969</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which is held by an Industrial Company whose principal activity in any given tax year is industrial production.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tax benefits, among others, are available to Industrial Companies: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patents and rights to use a patent or know-how that were purchased in good faith and are used for the development or promotion of the Industrial Enterprise, over an eight-year period commencing on the year in which such rights were first exercised;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controlled by it;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 commencing in the year of the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Eligibility for benefits under the Industry Encouragement Law is not subject to receipt of prior approval from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continue to qualify as an Industrial Company or that the benefits described above will be available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Capital Investments, 5719-1959</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is a summary of the Investment Law following its most recent amendments: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Subsequent to the 2005 Amendment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Authority for a pre-ruling confirming that it is in compliance with the provisions of the Investment Law, as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Tax benefits are available under the 2005 Amendment to production facilities (or other eligible facilities) which are generally required to derive 25% or more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to Israeli shareholders out of income attributed to a Benefited Enterprise (or out of dividends received from a company whose income is attributed to a Benefited Enterprise) are generally subject to withholding tax at source at the rate of 15% (in the case of non-Israeli shareholders - subject to the receipt in advance of a valid certificate from the ITA allowing for a reduced tax rate, 15%, or such lower rate as may be provided in an applicable tax treaty).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ITA allowing for a reduced tax rate). In the case of a Foreign Investors’ Company (as such term is defined in the Investment Law), the 12-year limitation on reduced withholding tax on dividends does not apply.</w:t>
      </w:r>
    </w:p>
    <w:p>
      <w:pPr>
        <w:spacing w:after="0" w:line="19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During the years 2010 to 2019, we were entitled to a tax exemption for undistributed income (“Trapped Profits”) and a reduced tax rate under the Benefited Enterprise programs under the Investment Law. Our company enjoyed these tax benefits until 2019. On November 15, 2021, a new amendment of the Investment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a relief of 30%-60% on the amount of tax which should have been paid on distributable earnings in order to encourage companies to pay the reduced taxes during the next 12 months (the “Temporary Order”). In November 2022, we applied the Temporary Order to our exempt profits accrued prior to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under the 2011 Amendment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respectively,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benefits under the 2011 Amendment also include accelerated depreciation and amortization for tax purposes.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paid to Israeli shareholders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Tax benefits under the 2017 Amendment that became effective on January 1, 2017.</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(previously known as the Israeli Office of the Chief Scientist), referred to as the Israel Innovation Authority (“IIA”) .</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$35 million in cash and cash equivalents, $206 million in short term deposits and $271 million in marketable securities, which, in the aggregate, total $512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requirements have principally been for working capital, capital expenditures and acquisitions, and in 2023 and 2024, our cash was also used for repurchasing our ordinary shares. Historically, we have funded our working capital requirements, primarily for inventory, accounts receivable and capital expenditures, from cash flows provided by our operating activities, investments in our equity securities, and cash and cash equivalents on hand. We have funded our acquisitions from the proceeds of our public offerings, including, most recently, our November 2021 follow-on offering, and from cash on hand.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our capital expenditures included investment in equipment under lease, and in both 2024 and 2023, other expenditures were directed towards improvements and expansion of our worldwide locations and corporate facilities, and investment and improvements in our information technology.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three-month period based on anticipated customer demand. In order to hedge against the potential discontinuation of supply of inventory from our main facilities due to the ongoing military conflicts involving Israel, we increased our inventory levels in the primary global regions in which our sales occur. Our accounts receivable decreased in 2024 primarily due to collection efforts. Our trade payables increased in 2024 due mainly to an increase in materials purchases.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our current business plans, we believe that our cash flows from operating activities and our existing cash resources will be sufficient to fund our projected cash requirements for at least the next 12 months.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 including acquisitions. We believe that our current cash reserves will suffice for any such acquisitions, although there can be no assurance that we will not need to seek additional equity or debt financing in order to cover the cost of such potential acquisitions.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below a summary of our consolidated statement of cash flows for the last two years. While our statements of cash flows in Item 18 of this annual report include cash flow data for each of the three years ended December 31, 2022, 2023, and 2024, the data and discussion contained in this Item 5.B is limited to a comparison of our liquidity and capital resources- including cash flows- for the years ended December 31, 2023 and 2024. For a discussion of our cash flows for the year ended December 31, 2022, and a comparison of those cash flows with those for the year ended December 31, 2023, please see “Item 5. Operating and Financial Review and Prospects-B. Liquidity and Capital Resources” in our Annual Report on Form 20-F for the year ended December 31, 2023, which we filed with the SEC on March 28,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for our last two fiscal years: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(34,682)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26,212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(56,522)</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year ended December 31, 2024 was $48.7 million.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2024 reflected a net loss of $16.8 million, the elimination of non-cash expense line items, such as share-based compensation expenses of $21.8 million, restructuring expenses of $1.2 million, depreciation and amortization of $13.0 million and the fair value of warrants deducted from revenues of $3.3 million, and a decrease of accounts receivable of $28.2 million, a decrease in inventory of $3.0 million, and an increase in trade payables of $2.2 million. These changes were only partly offset by a decrease in accrued expenses and other liabilities of $9.0 million.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trade receivables, net reflects lower days sales outstanding, or DSO, of 116 days for the year ended December 31, 2024, compared with 155 days for the year ended December 31,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accrued expenses and other liabilities, as well as in trade payables, and the increase in inventory, were due primarily to lower business activities, including reduced systems sales throughout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in the year ended December 31, 2023 was $34.7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 2023 reflects a net loss of $64.4 million and the elimination of non-cash expense line items, such as share-based compensation expenses of $22.6 million, restructuring expenses of $19.1 million, depreciation and amortization of $14.7 million and the fair value of warrants deducted from revenues of $13.8 million. These adjustments were offset by the elimination of certain non-cash changes to our operating assets and liabilities, which, when eliminated, had a net impact of increasing the cash used in our operating activities, including an increase of accounts receivables of $19.2 million, a decrease in accrued expenses and other liabilities of $10.5 million and a decrease in trade payables of $6.5 million, partially offset by an increase in inventory, net of $11.0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receivables reflects a higher portion of receivables with extended payment terms, with days sales outstanding, or DSO, increasing to 155 days for the year ended December 31, 2023, compared with 91 days for the year ended December 31, 2022.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accrued expenses and other liabilities, as well as in trade payables, and the increase in inventory, were due primarily to lower business activities, including reduced systems sales throughout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in the year ended December 31, 2024, was $31.5 million. Net cash provided by investing activities for the year ended December 31, 2024, was primarily attributable to proceeds from short-term bank deposits and marketable securities of $109.3 million, only partly offset, by $62.7 million investments in marketable securities and purchase of property, plant and equipment, including equipment under lease, of $15.9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 the year ended December 31, 2023, was $26.2 million. Net cash provided by investing activities for the year ended December 31, 2023, was primarily attributable to proceeds from short-term bank deposits and marketable securities of $67.2 million, partly offset by the purchase of property, plant and equipment of $7.0 million and the $34.0 million investment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2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$84.8 million for the year ended December 31, 2024 and was primarily attributable to the repurchase of ordinary shares in an amount of $84.1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$56.5 million for the year ended December 31, 2023 and was primarily attributable to the repurchase of ordinary shares in an amount of $55.8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net” and “ITEM 5. Operating and Financial Review and Prospects- A. Operating Results- Comparison of Period to Period Results of Operations- Comparison of the Years Ended December 31, 2023 and 2024- Operating Expenses-- Research and Development, net” and the corresponding portions of our Annual Report on Form 20-F for the year ended December 31, 2023, which we filed with the SEC on March 28,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may be affected by various trends and factors discussed in “ITEM 3.D Risk Factors,” including “</w:t>
      </w:r>
      <w:r>
        <w:rPr>
          <w:rFonts w:ascii="Times New Roman" w:cs="Times New Roman" w:eastAsia="Times New Roman" w:hAnsi="Times New Roman"/>
          <w:sz w:val="18"/>
          <w:szCs w:val="18"/>
          <w:b w:val="1"/>
          <w:bCs w:val="1"/>
          <w:i w:val="1"/>
          <w:iCs w:val="1"/>
          <w:color w:val="auto"/>
        </w:rPr>
        <w:t>If the market for digital textile printing does not develop as we anticipate, our sales may not grow as quickly as expected and our share price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decline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 xml:space="preserve">Macro-economic headwinds caused by inflation, relatively high interest rates and limited credit availability have been adversely impacting our revenues and profitability, and may continue to do so”, </w:t>
      </w:r>
      <w:r>
        <w:rPr>
          <w:rFonts w:ascii="Times New Roman" w:cs="Times New Roman" w:eastAsia="Times New Roman" w:hAnsi="Times New Roman"/>
          <w:sz w:val="18"/>
          <w:szCs w:val="18"/>
          <w:color w:val="auto"/>
        </w:rPr>
        <w:t>and in “ITEM 4.B Business Overview-Industry Overview.”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 trends that could potentially impact our results of operations and financial condition include changes in political, military or economic conditions in Israel and in the Middle East, and (given the rising level of cyber-attacks globally and targeting of Israeli companies), any potential cyber-attack on our IT systems. We believe that any such trends could have a material effect on our results of operations, liquidity, or financial condition or could cause our reported financial information not to be necessarily indicative of future operating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significant accounting policies are the basis for the most significant judgments and estimates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products, which consist of systems and consumables, are recognized at the point in time when control has transferred, in accordance with the agreed-upon delivery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services are derived mainly from the sale of print heads, spare parts, upgrade kits, software subscription and service contracts. Our print heads, spare parts and upgrade kits revenues are recognized at the point in time when control has transferred, in accordance with the agreed-upon delivery terms. Service contracts and software subscriptions are recognized over time, on a straight-line basis, over the period of the service.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or service has been rendered.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account for training and installation as a separate performance obligation due to its immateriality in the context of our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revenues from training and installation are recognized upon the delivery of our systems.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cases in which old systems are traded in as part of sales of new systems, the fair value of the old systems is recorded as inventory, provided that such value can be recoverable.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first-in, first-out cost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$60.3 million of inventory, of which $32.5 million consisted of raw materials and components and $27.8 million consisted of completed systems, ink and other consumables. We recorded inventory write-offs of $11.4 million, $22.0 million, and $4.6 million for the years ended December 31, 2022, 2023,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Directors, Senior Management and Employees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annual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Age</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16"/>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 Hanover</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Gazit</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Kobi Mann</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Technology Officer</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(who are not also executive officers)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57"/>
        </w:trPr>
        <w:tc>
          <w:tcPr>
            <w:tcW w:w="5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Yuval Cohen</w:t>
            </w:r>
            <w:r>
              <w:rPr>
                <w:rFonts w:ascii="Times New Roman" w:cs="Times New Roman" w:eastAsia="Times New Roman" w:hAnsi="Times New Roman"/>
                <w:sz w:val="29"/>
                <w:szCs w:val="29"/>
                <w:color w:val="auto"/>
                <w:vertAlign w:val="superscript"/>
              </w:rPr>
              <w:t>(3)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2"/>
                <w:szCs w:val="22"/>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Ofer Ben-Zur</w:t>
            </w:r>
            <w:r>
              <w:rPr>
                <w:rFonts w:ascii="Times New Roman" w:cs="Times New Roman" w:eastAsia="Times New Roman" w:hAnsi="Times New Roman"/>
                <w:sz w:val="29"/>
                <w:szCs w:val="29"/>
                <w:color w:val="auto"/>
                <w:vertAlign w:val="superscript"/>
              </w:rPr>
              <w:t>(3)</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22"/>
                <w:szCs w:val="22"/>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6"/>
        </w:trPr>
        <w:tc>
          <w:tcPr>
            <w:tcW w:w="5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Naama Halevi Davidov</w:t>
            </w:r>
            <w:r>
              <w:rPr>
                <w:rFonts w:ascii="Times New Roman" w:cs="Times New Roman" w:eastAsia="Times New Roman" w:hAnsi="Times New Roman"/>
                <w:sz w:val="29"/>
                <w:szCs w:val="29"/>
                <w:color w:val="auto"/>
                <w:vertAlign w:val="superscript"/>
              </w:rPr>
              <w:t>(1)(3)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2"/>
                <w:szCs w:val="22"/>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Stephen Nigro</w:t>
            </w:r>
            <w:r>
              <w:rPr>
                <w:rFonts w:ascii="Times New Roman" w:cs="Times New Roman" w:eastAsia="Times New Roman" w:hAnsi="Times New Roman"/>
                <w:sz w:val="29"/>
                <w:szCs w:val="29"/>
                <w:color w:val="auto"/>
                <w:vertAlign w:val="superscript"/>
              </w:rPr>
              <w:t>(1)(2)(3)</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22"/>
                <w:szCs w:val="22"/>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6"/>
        </w:trPr>
        <w:tc>
          <w:tcPr>
            <w:tcW w:w="50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Dov Ofer</w:t>
            </w:r>
            <w:r>
              <w:rPr>
                <w:rFonts w:ascii="Times New Roman" w:cs="Times New Roman" w:eastAsia="Times New Roman" w:hAnsi="Times New Roman"/>
                <w:sz w:val="13"/>
                <w:szCs w:val="13"/>
                <w:color w:val="auto"/>
              </w:rPr>
              <w:t>(1)(2)(3)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2"/>
                <w:szCs w:val="22"/>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Gabi Seligsohn</w:t>
            </w:r>
            <w:r>
              <w:rPr>
                <w:rFonts w:ascii="Times New Roman" w:cs="Times New Roman" w:eastAsia="Times New Roman" w:hAnsi="Times New Roman"/>
                <w:sz w:val="29"/>
                <w:szCs w:val="29"/>
                <w:color w:val="auto"/>
                <w:vertAlign w:val="superscript"/>
              </w:rPr>
              <w:t>(2)(3)</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22"/>
                <w:szCs w:val="22"/>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98"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Nasdaq Stock Market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Ronen Samuel </w:t>
      </w:r>
      <w:r>
        <w:rPr>
          <w:rFonts w:ascii="Times New Roman" w:cs="Times New Roman" w:eastAsia="Times New Roman" w:hAnsi="Times New Roman"/>
          <w:sz w:val="18"/>
          <w:szCs w:val="18"/>
          <w:color w:val="auto"/>
        </w:rPr>
        <w:t>has served as our Chief Executive Officer since August 2018 and as a director since August 2019. Prior to joining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Lauri Hanover </w:t>
      </w:r>
      <w:r>
        <w:rPr>
          <w:rFonts w:ascii="Times New Roman" w:cs="Times New Roman" w:eastAsia="Times New Roman" w:hAnsi="Times New Roman"/>
          <w:sz w:val="18"/>
          <w:szCs w:val="18"/>
          <w:color w:val="auto"/>
        </w:rPr>
        <w:t>has served as our Chief Financial Officer since November 2022. Ms. Hanover also served as a director from March 2015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2023 (and until August 2019 as an external director under the Companies Law). From April 2021 to November 2022, Ms. Hanover served as Senior Vice President, Community Agriculture and prior to that served as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at Scitex Corporation Ltd., a developer and manufacturer of inkjet printers, and at Philip Morris Inc. (Altria), a leading consumer goods manufacturer. Ms. Hanover holds a B.A. from the University of Pennsylvania, a B.S. in Economics from The Wharton School of the University of Pennsylvania, and an M.B.A. from New York University.</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Daniel Gazit </w:t>
      </w:r>
      <w:r>
        <w:rPr>
          <w:rFonts w:ascii="Times New Roman" w:cs="Times New Roman" w:eastAsia="Times New Roman" w:hAnsi="Times New Roman"/>
          <w:sz w:val="18"/>
          <w:szCs w:val="18"/>
          <w:color w:val="auto"/>
        </w:rPr>
        <w:t>has served as our Chief Product Officer since November 2022. Daniel joined Kornit as vice president and general manager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Direct-to-Fabric business in 2019, and later led the Global Customer success organization. Daniel has more than 20 years’ experience leading large-scale customer facing and operational organizations in the high-tech industry. Prior to joining Kornit, Daniel held the position of VP Professional Service and Delivery at TEOCO and served as the vice president of global services at Comverse. His prior experience includes various business, technical and operational leadership positions in global high-tech organizations. Daniel holds a B.Sc. in industrial engineering and management from Tel-Aviv University.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Kobi Mann </w:t>
      </w:r>
      <w:r>
        <w:rPr>
          <w:rFonts w:ascii="Times New Roman" w:cs="Times New Roman" w:eastAsia="Times New Roman" w:hAnsi="Times New Roman"/>
          <w:sz w:val="18"/>
          <w:szCs w:val="18"/>
          <w:color w:val="auto"/>
        </w:rPr>
        <w:t>has served as our Chief Technology Officer since January 2020, prior to which he had held the position of VP Consumables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development since September 2017. Kobi Mann joined Kornit in 2004 as an R&amp;D Chemist and has held core technology roles. As one of Kornit’s founders he brings over 17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led Kornit’s Ink plant design. Prior to his executive position, Kobi held several managerial positions including Business Development of Consumables and Director of Global Application, an area he established in Kornit. Kobi holds a B.Sc. Chemistry and Executive MBA - both from Bar Ilan University in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Yuval Cohen has served as the Chairman of our board of directors since August 2011. Mr. Cohen is the founding and managing partner of 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chairman of the board of directors of each of Radware Ltd. (Nasdaq: RDWR) and Cellcom Israel Ltd. (TASE: CEL), and is expected to be appointed to the board of directors of Stratasys Ltd. (Nasdaq: SSYS) on March 31, 2025. He also serves on the board of directors of several privately held portfolio companies of Fortissimo Capital. Mr. Cohen holds a B.Sc. in Industrial Engineering from Tel Aviv University in Israel and an M.B.A. from Harvard Business School.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Ofer Ben-Zur </w:t>
      </w:r>
      <w:r>
        <w:rPr>
          <w:rFonts w:ascii="Times New Roman" w:cs="Times New Roman" w:eastAsia="Times New Roman" w:hAnsi="Times New Roman"/>
          <w:sz w:val="18"/>
          <w:szCs w:val="18"/>
          <w:color w:val="auto"/>
        </w:rPr>
        <w:t>is a co-founder of our company and has served as director since 2002. From April 2014 to July 2016, Mr. Ben-Zur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an M.Sc. in Mechanical Engineering from Tel Aviv University, and an M.B.A. from Bradford University.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Naama Halevi Davidov </w:t>
      </w:r>
      <w:r>
        <w:rPr>
          <w:rFonts w:ascii="Times New Roman" w:cs="Times New Roman" w:eastAsia="Times New Roman" w:hAnsi="Times New Roman"/>
          <w:sz w:val="18"/>
          <w:szCs w:val="18"/>
          <w:color w:val="auto"/>
        </w:rPr>
        <w:t>has served as a member of our board of directors since August 2023. She served as Chief Financial Officer of XM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2022. In addition, Dr. Halevi Davidov has served as a member of the board of directors of Kaltura (Nasdaq: KLTR) since July 2021, and as a member of the board of directors of Actelis Networks (Nasdaq: ASNS) since May 2022; Over the past 20 years, Dr. Halevi Davidov has served as a CFO for several global technology companies. Dr. Halevi Davidov is a Certified Public Accountant in Israel. She holds a Ph.D. in Strategy from Tel Aviv University, an M.B.A from Tel Aviv University and B.A in Accounting and Economics from Tel Aviv University.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Nigro </w:t>
      </w:r>
      <w:r>
        <w:rPr>
          <w:rFonts w:ascii="Times New Roman" w:cs="Times New Roman" w:eastAsia="Times New Roman" w:hAnsi="Times New Roman"/>
          <w:sz w:val="18"/>
          <w:szCs w:val="18"/>
          <w:color w:val="auto"/>
        </w:rPr>
        <w:t>has served as a member of our board of directors since August 2019, after having served as a strategic advisor to our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(NYSE:DM). He also serves on the Oregon Economic Development Committee and is a member of iUrbanTeen, Executive Council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Dov Ofer </w:t>
      </w:r>
      <w:r>
        <w:rPr>
          <w:rFonts w:ascii="Times New Roman" w:cs="Times New Roman" w:eastAsia="Times New Roman" w:hAnsi="Times New Roman"/>
          <w:sz w:val="18"/>
          <w:szCs w:val="18"/>
          <w:color w:val="auto"/>
        </w:rPr>
        <w:t>has served as a member of our board of directors since March 2015 and is a member of our audit and compensation committees.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Gabi Seligsohn </w:t>
      </w:r>
      <w:r>
        <w:rPr>
          <w:rFonts w:ascii="Times New Roman" w:cs="Times New Roman" w:eastAsia="Times New Roman" w:hAnsi="Times New Roman"/>
          <w:sz w:val="18"/>
          <w:szCs w:val="18"/>
          <w:color w:val="auto"/>
        </w:rPr>
        <w:t>has served as a member of our board of directors since May 2015. He also served as our Chief Executive Officer from April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July 2018, and led our successful IPO in April 2015. From August 2006 until August 2013, Mr. Seligsohn served as the President and Chief Executive Officer of Nova Measuring Instruments Ltd., or Nova (Nasdaq: NVMI), a designer, developer and producer of optical metrology solutions. From 1998 until 2006, Mr. Seligsohn served in several leadership positions in Nova. Mr. Seligsohn currently serves as a senior advisor to PSG private equity and works as an advisor to several privately held technology companies. He holds an LL.B. from the University of Reading.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Concerning Election of Directors; Family Relationships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seven directors. We are not a party to, and are not aware of, any voting agreements among our shareholders. In addition, there are no family relationships among our executive officers or senior management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cash compensation recorded and equity-based compensation and other compensation expensed by us and our subsidiaries for our directors and executive officers with respect to the year ended December 31, 2024 was $6.1 million. The foregoing sum includes approximately $0.2 million set aside or accrued to provide pension, severance, retirement or similar benefits or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forgoing aggregate compensation includes cash fees recorded and equity compensation expensed for two of our former directors, Jae Hyun (Jay) Lee and Yehoshua (Shuki) Nir, who served during 2024, from the start of the year through October 10, 2024 and December 31,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grant dates, number of options, RSUs and PSUs, and related exercise prices and expiration dates of options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to our directors and executive officers for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(per Share)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14, 2024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11,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104,526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12,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39,967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12, 2034</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29,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49,168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non-employee directors receive annual fees and per-meeting fees for their service on our board and its committees as follows:</w:t>
      </w:r>
    </w:p>
    <w:p>
      <w:pPr>
        <w:spacing w:after="0" w:line="225"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in an amount of $45,000, and $95,000 for the chairman of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 - Audit: $20,000; Compensation: $15,000; any other committee - up to $15,000;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retainer - Audit: $10,000; Compensation: $7,500; Any other committee: up to a maximum of $7,500.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commencing with our 2020 annual general meeting of shareholders, we provide for annual RSU grants to our non-employee directors. The number of RSUs granted to each director is linked to a fixed value- $115,000 for each non-employee director. The actual number of RSUs to be granted each year with the foregoing $115,000 value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granted to each non-employee director as of the date of each annual shareholder meeting;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their entirety on the earlier of (x) the first anniversary of the grant or (y) the next annual general meeting of shareholders, provided the director continues to serve as a director of our company at such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to the extent then unvested, become fully vested (a) immediately prior to the consummation of a Change of Control (as defined under our 2015 Plan or 2025 Plan, as applicable (as described below)) in which the director is required to resign from or is otherwise terminated from service as a director, or (b) upon termination of service of such director occurring immediately after the consummation of a Change of Control;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otherwise subject to the terms of the 2015 Plan (for grants through 2024) or the 2025 Plan (for grants during or after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outlines the compensation granted to our five most highly compensated office holders during or with respect to the year ended December 31, 2024, in the disclosure format of Regulation 21 of the Israeli Securities Regulations (Periodic and Immediate Reports), 1970. We refer to the five individuals for whom disclosure is provided herein as our “Covered Executives.”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Regarding Covered Executives</w:t>
            </w:r>
            <w:r>
              <w:rPr>
                <w:rFonts w:ascii="Times New Roman" w:cs="Times New Roman" w:eastAsia="Times New Roman" w:hAnsi="Times New Roman"/>
                <w:sz w:val="29"/>
                <w:szCs w:val="29"/>
                <w:b w:val="1"/>
                <w:bCs w:val="1"/>
                <w:color w:val="auto"/>
                <w:vertAlign w:val="superscript"/>
              </w:rPr>
              <w:t>(1)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Benefits 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Equity-Based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r>
              <w:rPr>
                <w:rFonts w:ascii="Times New Roman" w:cs="Times New Roman" w:eastAsia="Times New Roman" w:hAnsi="Times New Roman"/>
                <w:sz w:val="29"/>
                <w:szCs w:val="29"/>
                <w:b w:val="1"/>
                <w:bCs w:val="1"/>
                <w:color w:val="auto"/>
                <w:vertAlign w:val="superscript"/>
              </w:rPr>
              <w:t>(2)</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4620" w:type="dxa"/>
            <w:vAlign w:val="bottom"/>
            <w:gridSpan w:val="2"/>
            <w:vMerge w:val="continue"/>
          </w:tcPr>
          <w:p>
            <w:pPr>
              <w:spacing w:after="0"/>
              <w:rPr>
                <w:sz w:val="22"/>
                <w:szCs w:val="22"/>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Borders>
              <w:top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(in thousands, US dollars)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Ronen Samuel, Chief Executive Officer</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2,090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Yaakov Mann, Chief Technology Officer</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787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Ilan Elad, President KDAM</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Tomer Artzi, President KDAP</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 Hanover, Chief Financial Officer</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table are in terms of cost to us, as recorded in our financial statements.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listed in the table were our full-time employees during 2024. Cash compensation amounts denominated in currencies other than the U.S. dollar were converted into U.S. dollars at the average conversion rate for 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left="340" w:hanging="332"/>
        <w:spacing w:after="0" w:line="255"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 and benefits, risk insurance (e.g., life, disability, accident), convalescence pay, payments for social security, housing and education, tax gross-up payments and other benefits and perquisites consistent with our guidelines.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incentive and variable compensation payments which were paid or accrued with respect to 2024.</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2024 with respect to equity-based compensation. Assumptions and key variables used in the calculation of such amounts are described in paragraph (u) of Note 2 to our audited financial statements, which are included in “ITEM 18. Financial Statements”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Share Incentive Plan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2012, our board of directors adopted and our shareholders approved our 2012 Share Incentive Plan, or the 2012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2012 Plan replaced our 2004 Plan. We no longer grant equity awards under the 2012 Plan because it was superseded by the 2015 Plan and expired (for purposes of granting new awards) in October 2022, although awards that were previously granted under the 2012 Plan remain outstanding. The 2012 Plan provided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2024, we had options to purchase 20,727 ordinary shares that remained outstanding under the 2012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Incentive Compensation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was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2025 Plan (as described below), no further grants or awards will be made under the 2015 Plan, as all ordinary shares available for issuance under the 2015 Plan have been transferred to the initial pool of ordinary shares under the 2025 Plan. Nevertheless, outstanding awards under the 2015 Plan remain subject to the terms of the 2015 Plan. Generally, shares that are forfeited, cancelled, terminated or expire unexercised, settled in cash in lieu of issuance of shares under the 2015 Plan or the 2012 Plan shall be available for issuance pursuant to new awards under the 2025 Plan. In addition, any shares tendered or withheld to pay the exercise price, purchase price of an award, or any withholding taxes shall be available for issuance pursuant to new awards under the 2025 Plan. Shares delivered pursuant to “substitute awards” (awards granted in assumption or substitution of awards granted by a company acquired by us) shall not reduce the shares available for issuance under the 2025 Plan.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options to purchase 593,921 ordinary shares and 2,158,723 unvested RSUs (a portion of which are subject to performance based vesting conditions), outstanding under the 2015 Plan. As of December 31, 2024, we had no additional ordinary shares reserved for additional grants under the 2015 Plan, since all ordinary shares available for issuance under the 2015 Plan had been transferred to the initial pool of ordinary shares under the 2025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 the 2015 Plan is administered by our compensation committee, which has full authority in all matters related to the discharge of its responsibilities and the exercise of its authority under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2015 Israeli Sub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2015 Israeli Sub Plan provides for the grant by us of awards pursuant to Sections 102 and 3(i) of the Ordinance, and the rules and regulations promulgated thereunder. The 2015 Israeli Sub Plan was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our adoption of the 2025 Plan in December 2024 (as described below), we will no longer make future grants under the 2015 Israeli Sub Plan, although outstanding awards under the 2015 Israel Sub Plan will continue to be governed by that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U.S. Sub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our adoption of the 2025 Plan in December 2024 (as described below), we will no longer make future grants under the 2015 U.S. Sub Plan, although outstanding awards under the 2015 U.S. Sub Plan will continue to be governed by that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the 2015 Plan would have expired in March 2025, in December 2024, our board of directors adopted a new share incentive plan— the 2025 Share Incentive Plan, or the 2025 Plan. Outstanding grants under the 2012 Plan and 2015 Plan under which an aggregate of 2,752,644 ordinary shares may be issued will remain subject to those plans even after the expiration of those plans, but all ordinary shares that were unallocated to prior grants under the 2015 Plan as of the effectiveness of the 2025 Plan, or that subsequently become available under the 2012 Plan or 2015 Plan due to the expiration, cancellation, forfeiture or other surrender of outstanding grants under the 2012 Plan or 2015 Plan, have become or will become available for new grants under the 2025 Plan.</w:t>
      </w:r>
    </w:p>
    <w:p>
      <w:pPr>
        <w:spacing w:after="0" w:line="185"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Upon its effectiveness, the 2025 Plan had a total of 2,122,421 ordinary shares reserved and initially available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(i) 1,450,289 ordinary shares that were rolled over from the 2015 Plan (which shares were unused under the 2015 Plan as of the effectiveness of the 2025 Plan) and (ii) 672,132 newly allocated ordinary shares.</w:t>
      </w:r>
    </w:p>
    <w:p>
      <w:pPr>
        <w:spacing w:after="0" w:line="175"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addition to the foregoing 2,122,421 ordinary shares initially available under the 2025 Plan, up to 2,752,644 ordinary shares, in the aggregate, that underlie outstanding awards under the 2012 Plan and 2015 Plan, may, (i) if the related award expires or is canceled, terminated, forfeited, repurchased or settled in cash in lieu of issuance of shares, for any reason, without having been exercised, or (ii) if permitted by us, if are tendered to pay (x) the exercise price of an award or (y) withholding tax obligations, will, in any such case, become available for issuance under the 2025 Plan. Similarly, ordinary shares from among the initial 2,122,422 shares reserved under the 2025 Plan that become subject to an award and are ultimately not issued (for any of the foregoing reasons) will become available once again under the 2025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8" w:name="page69"/>
    <w:bookmarkEnd w:id="68"/>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keeping with the recommendation of institutional shareholder and proxy advisory groups, the 2025 Plan does not contain an “evergreen” provision that provides for an automatic annual increase in the number of ordinary shares available under the plan. Instead, we plan to increase the pool of shares available under the 2025 Plan on an as-needed basis, without equaling or surpassing the recommended limit of 10% dilution from all of the 2012 Plan, 2015 Plan and 2025 Plan, in the aggregate, to our shareholders on a fully-diluted basis.</w:t>
      </w:r>
    </w:p>
    <w:p>
      <w:pPr>
        <w:spacing w:after="0" w:line="178"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A duly authorized committee of our Board (which, based on prior authorization by our Board, is our compensation committee),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absence of any such committee, the Board itself, will administer the 2025 Plan. Under the 2025 Plan, the administrator has the authority, subject to applicable law, to interpret the terms of the 2025 Plan and any award agreements or awards granted thereunder, designate recipients of awards, determine and amend the terms of awards and take all actions and make all other determinations necessary for the administration of the 2025 Plan.</w:t>
      </w:r>
    </w:p>
    <w:p>
      <w:pPr>
        <w:spacing w:after="0" w:line="180"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2025 Plan provides for granting awards under various tax regimes, including, without limitation, in compliance with Section 102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Israeli Tax Ordinance, or the Ordinance and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7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2025 Plan provides for the grant of share options (including nonqualified stock options), ordinary shares, restricted shares,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and other share-based awards to employees, directors, officers, consultants, advisors and any other persons or entities who provides services to the company or any parent, subsidiary or affiliate thereof, subject to the terms and conditions of the 2025 Plan. Options granted under the 2025 Plan to our employees who are U.S. residents may only be non-qualified stock options.</w:t>
      </w:r>
    </w:p>
    <w:p>
      <w:pPr>
        <w:spacing w:after="0" w:line="180"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Grant and Exercise. </w:t>
      </w:r>
      <w:r>
        <w:rPr>
          <w:rFonts w:ascii="Times New Roman" w:cs="Times New Roman" w:eastAsia="Times New Roman" w:hAnsi="Times New Roman"/>
          <w:sz w:val="18"/>
          <w:szCs w:val="18"/>
          <w:color w:val="auto"/>
        </w:rPr>
        <w:t>All awards granted pursuant to the 2025 Plan will be evidenced by an award agreement in a form approved,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the administrator in its sole discretion. Unless otherwise determined by the administrator and stated in the award agreement, and subject to the conditions of the 2025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 The exercise period of an award will be ten years from the date of grant of the award, unless otherwise determined by the administrator and stated in the award agreement.</w:t>
      </w:r>
    </w:p>
    <w:p>
      <w:pPr>
        <w:spacing w:after="0" w:line="185"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In the event of termination of a grantee’s employment or service with the Company or any of its affiliates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reason of death, disability or retirement), different rules apply as to the length of time during which all vested and exercisable awards held by such grantee as of the date of termination may be exercised after such date of termination. In the case of termination due to death during employment or service for the Company or any of its affiliates, or within the three month period (or such longer period of time as determined by the Board, in its discretion) after the date of termination, any outstanding awards shall automatically vest (to the extent not yet vested).</w:t>
      </w:r>
    </w:p>
    <w:p>
      <w:pPr>
        <w:spacing w:after="0" w:line="185"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Any awards which are unvested as of the date of such termination (other than in the case of death, as described above) or which are vested but not then exercised within the applicable period following such date, will terminate and the shares covered by such awards shall again be available for issuance under the 2025 Plan.</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Notwithstanding any of the foregoing, if a grantee’s employment or services with us or any of our affiliates is terminated for “cause” (as defined in the 2025 Plan), all outstanding awards held by such grantee (whether vested or unvested) will terminate on the date of such termination and the shares covered by such awards shall again be available for issuance under the 2025 Plan. In the case of termination for cause, any shares issued upon exercise or (if applicable) vesting of awards, shall be deemed to be irrevocably offered for sale to us.</w:t>
      </w:r>
    </w:p>
    <w:p>
      <w:pPr>
        <w:spacing w:after="0" w:line="178"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Adjustments due to Transactions. </w:t>
      </w:r>
      <w:r>
        <w:rPr>
          <w:rFonts w:ascii="Times New Roman" w:cs="Times New Roman" w:eastAsia="Times New Roman" w:hAnsi="Times New Roman"/>
          <w:sz w:val="18"/>
          <w:szCs w:val="18"/>
          <w:color w:val="auto"/>
        </w:rPr>
        <w:t>The 2025 Plan provides for appropriate adjustments to be made to the plan and to outstanding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 the event of a share split, reverse share split, share dividend, distribution, recapitalization, combination, reclassification of our shares, or any similar recapitalization events.</w:t>
      </w:r>
    </w:p>
    <w:p>
      <w:pPr>
        <w:spacing w:after="0" w:line="175" w:lineRule="exact"/>
        <w:rPr>
          <w:sz w:val="20"/>
          <w:szCs w:val="20"/>
          <w:color w:val="auto"/>
        </w:rPr>
      </w:pPr>
    </w:p>
    <w:p>
      <w:pPr>
        <w:jc w:val="both"/>
        <w:ind w:right="20" w:firstLine="638"/>
        <w:spacing w:after="0" w:line="266" w:lineRule="auto"/>
        <w:rPr>
          <w:sz w:val="20"/>
          <w:szCs w:val="20"/>
          <w:color w:val="auto"/>
        </w:rPr>
      </w:pPr>
      <w:r>
        <w:rPr>
          <w:rFonts w:ascii="Times New Roman" w:cs="Times New Roman" w:eastAsia="Times New Roman" w:hAnsi="Times New Roman"/>
          <w:sz w:val="18"/>
          <w:szCs w:val="18"/>
          <w:color w:val="auto"/>
        </w:rPr>
        <w:t>In the event of any type of merger, consolidation, similar transaction with or into another corporation, exchange of shares, a business combination, a reorganization, a spin-off or other corporate divestiture or division, or other similar occurrences, any adjustments as determined by the compensation committee may be made without the need for a consent of any holder of an award.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With respect to the distribution of a cash dividend to all holders of ordinary shares, the compensation committee shall have the authority to determine, without award holder consent, that the exercise price of any award that is outstanding and unexercised on the record date of such distribution, shall be reduced by an amount equal to the per share gross dividend amount distributed by us. The compensation committee may determine that the exercise price following such reduction shall be not less than the par value of a share. The approval of our shareholders will need to be obtained for that reduction in exercise price.</w:t>
      </w:r>
    </w:p>
    <w:p>
      <w:pPr>
        <w:spacing w:after="0" w:line="183"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the event of a sale of all, or substantially all, of our ordinary shares or assets, a merger, consolidation amalgamation, or similar transaction, or certain changes in the composition of the board of directors, or liquidation or dissolution, or such other transaction or circumstances that the Board determines to be a relevant transaction, then the compensation committee shall make determinations with respect to the treatment of awards as it deems appropriate.</w:t>
      </w:r>
    </w:p>
    <w:p>
      <w:pPr>
        <w:spacing w:after="0" w:line="178"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may suspend, terminate, modify or amend the 2025 Plan at any time; provided that no termination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of the 2025 Plan shall affect any then outstanding award unless expressly provided by the board. Shareholder approval of any amendment to the 2025 Plan will be obtained to the extent necessary to comply with applicable law. The administrator at any time and from time to time may modify or amend any award theretofore granted under the 2025 Plan, including any award agreement, whether retroactively or prospectively.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Dilution Under Share Incentive Plans</w:t>
      </w:r>
    </w:p>
    <w:p>
      <w:pPr>
        <w:spacing w:after="0" w:line="22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The following table presents equity incentive data for our Company on a prospective basis, as of the effectiveness of the 2025 Plan (and not including ordinary shares issuable under the ESPP, as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Fully</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Allocated</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to All</w:t>
            </w: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Plans in</w:t>
            </w:r>
          </w:p>
        </w:tc>
      </w:tr>
      <w:tr>
        <w:trPr>
          <w:trHeight w:val="216"/>
        </w:trPr>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Shares Available Under 2012 Plan and 2015</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 All</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Capital</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w:t>
            </w: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Available Under 2025 Plan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of Shares)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Dilution)</w:t>
            </w:r>
          </w:p>
        </w:tc>
      </w:tr>
      <w:tr>
        <w:trPr>
          <w:trHeight w:val="194"/>
        </w:trPr>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top w:val="single" w:sz="8" w:color="auto"/>
            </w:tcBorders>
            <w:gridSpan w:val="2"/>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(d)</w:t>
            </w: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Newly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Carried Over</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from 2015</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Under</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w:t>
            </w:r>
          </w:p>
        </w:tc>
      </w:tr>
      <w:tr>
        <w:trPr>
          <w:trHeight w:val="245"/>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(a+b)</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2025 Plan</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(d+e)</w:t>
            </w:r>
          </w:p>
        </w:tc>
        <w:tc>
          <w:tcPr>
            <w:tcW w:w="2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(c+f)</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(g/h)</w:t>
            </w:r>
          </w:p>
        </w:tc>
        <w:tc>
          <w:tcPr>
            <w:tcW w:w="180" w:type="dxa"/>
            <w:vAlign w:val="bottom"/>
            <w:tcBorders>
              <w:bottom w:val="single" w:sz="8" w:color="CCEEFF"/>
            </w:tcBorders>
          </w:tcPr>
          <w:p>
            <w:pPr>
              <w:spacing w:after="0"/>
              <w:rPr>
                <w:sz w:val="21"/>
                <w:szCs w:val="21"/>
                <w:color w:val="auto"/>
              </w:rPr>
            </w:pPr>
          </w:p>
        </w:tc>
      </w:tr>
      <w:tr>
        <w:trPr>
          <w:trHeight w:val="216"/>
        </w:trPr>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2,158,723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2,752,644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1,450,289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672,132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2,122,421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4,875,065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52,869,971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adopted an employee share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ESPP is to be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our ordinary shares determined by dividing (1) the employee’s payroll deductions accumulated prior to such exercise date and retained in the employee’s account as of the exercise date by (2) the applicable purchase price. The applicable purchase price is to be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To date, we have not implemented or enabled purchases of ordinary shares by our employees under our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articles, our board of directors must consist of at least five and not more than nine directors, including, to the extent applicable, at least two external directors who may be required to be appointed under the Companies Law. As of the date of this report, our board of directors consists of seven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spacing w:after="0" w:line="162" w:lineRule="exact"/>
        <w:rPr>
          <w:sz w:val="20"/>
          <w:szCs w:val="20"/>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Dov Ofer, whose term will expire at our annual general meeting of shareholders to be held in 2025 and when his successor is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Ofer Ben-Zur, Naama Halevi Davidov and Gabi Seligsohn, and their terms expire at our annual general meeting of shareholders to be held in 2026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Yuval Cohen, Stephen Nigro and Ronen Samuel, and their terms expire at our annual general meeting of shareholders to be held in 2027 and when their successors are elected and qualified.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six of our directors, consisting of Yuval Cohen, Ofer Ben-Zur, Stephen Nigro, Dov Ofer, Gabi Seligsohn and Naama Halevi Davidov,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When we are subject to, or choose to be bound by, the requirement to elect external directors, they are elected for an initial term of three years and may be elected for additional three-year terms under the circumstances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spacing w:after="0" w:line="180" w:lineRule="exact"/>
        <w:rPr>
          <w:sz w:val="20"/>
          <w:szCs w:val="20"/>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the Board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audit committee consists of three members: Naama Halevi Davidov (Chairperson), Dov Ofer, and Stephen Nigro.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members of our audit committee meet the requirements for financial literacy under the applicable rules and regulations of the SEC and Nasdaq corporate governance rules. Our board of directors has determined that Dov Ofer qualifies as an audit committee financial expert, as defined by the SEC rules, and has the requisite financial experience, as defined by the Nasdaq corporate governance rules.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Role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independent registered public accounting firm and recommending the engagement, compensation or termination of engagement of our independent registered public accounting firm to the board of directors and shareholders in accordance with Israeli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the terms of audit, audit-related and all permitted non-audit services provided by the independent registered public accounting firm.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yearly or periodic work plan proposed by the internal auditor;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audit controls and internal auditor’s performance, including whether the internal auditor has sufficient resources and tools to fulfill his or her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our company regarding accounting, internal accounting controls or auditing matters and the confidential, anonymous submission by company employees of concerns regarding questionable accounting or auditing matters, and the protection to be provided to such complaining employees.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part of its capacity in overseeing risk management activities and monitoring management’s policies and procedures, our audit committee also plays a significant strategic role in coordinating our cyber risk initiatives and policies and confirming their efficacy.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and Compensation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consists of three members: Dov Ofer (Chairman), Stephen Nigro and Gabi Seligsohn.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76" w:lineRule="exact"/>
        <w:rPr>
          <w:sz w:val="20"/>
          <w:szCs w:val="20"/>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periodic updates to the compensation policy and assessing implementation of the compensation policy;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compensation terms of executive officers, directors and employees that require approval of the compensation committee;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subject to the approval of the board and under special circumstances, override a determination of the company’s shareholders regarding certain compensation related issues.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foregoing requirements, following the recommendation of our compensation committee, our board and our shareholders last approved our updated compensation policy in July 2023 and August 2023, respectively. Following those approvals, the compensation policy (in updated form, if applicable) will need to be recommended by the compensation committee and presented for the approval of the board and shareholders, every three years, in accordance with the requirements of the Companies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Role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adopted a compensation committee charter that sets forth the responsibilities of the compensation committee,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set forth in the compensation committee charter;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including the approval of the adoption of such plans, amending and interpreting such plans, and making awards to eligible persons under the plans;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is responsible for formulating policy, devising strategy, and ensuring governed execution concerning all ESG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oversight of ESG-related risks and opportunities, the board may assign responsibility for oversight of matters most applicable to representatives of middle and senior management to relevant departments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External directors (when we are required to have them serving on our board of directors) are entitled to remuneration subject to the provisions and limitations set forth in the regulations promulgated under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board of directors of an Israeli public company must appoint an internal auditor recommended by the audit committee. An internal auditor may not be:</w:t>
      </w:r>
    </w:p>
    <w:p>
      <w:pPr>
        <w:spacing w:after="0" w:line="162"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holds 5% or more of the company’s outstanding shares or voting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has the power to appoint a director or the general manager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 holder (including a director) of the company (or a relative thereof);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Hila Barr - Hoisman of Brightman Almagor &amp; Zohar (Deloitte) serves as our internal auditor.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advisability of a given action brought for his or her approval or performed by virtue of his or her position;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any such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The duty of loyalty includes a duty to:</w:t>
      </w:r>
    </w:p>
    <w:p>
      <w:pPr>
        <w:spacing w:after="0" w:line="225" w:lineRule="exact"/>
        <w:rPr>
          <w:sz w:val="20"/>
          <w:szCs w:val="20"/>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an Office Holder and Approval of Certain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80"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Controlling Shareholders and Approval of Certain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spacing w:after="0" w:line="194" w:lineRule="exact"/>
        <w:rPr>
          <w:sz w:val="20"/>
          <w:szCs w:val="20"/>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Duties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76"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uto"/>
        </w:rPr>
      </w:pPr>
    </w:p>
    <w:p>
      <w:pPr>
        <w:ind w:left="660" w:right="2980" w:hanging="4"/>
        <w:spacing w:after="0" w:line="500" w:lineRule="auto"/>
        <w:tabs>
          <w:tab w:leader="none" w:pos="9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 A shareholder also has a general duty to refrain from discriminating against other shareholders.</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sz w:val="20"/>
          <w:szCs w:val="20"/>
          <w:color w:val="auto"/>
        </w:rPr>
      </w:pPr>
    </w:p>
    <w:p>
      <w:pPr>
        <w:jc w:val="both"/>
        <w:ind w:left="98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or forfeit levied against the office 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permit us to exculpate, indemnify and insure our office holders to the fullest extent permitted or to be permitted by the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715 employees, with 396 located in Israel, 120 in the United States, 158 in Europe and 41 in Asia Pacific. The following table shows the breakdown of our workforce of employees and subcontractors by category of activity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Area of Activity</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operations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151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223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8"/>
          <w:szCs w:val="18"/>
          <w:color w:val="auto"/>
        </w:rPr>
        <w:t>The decreases in the number of our employees from 2022 to 2023, and again from 2023 to 2024, were primarily related to our strategic plan to increase our profitability, in part by downsizing our workforce in those years. The decreases in employees were primarily focused on areas in which we viewed our staffing as misaligned with the decline in revenues in those years. Consequently, we decreased the sizes of our sales and marketing and general and administrative departments significantly in 2024, while also steadily reducing our manufacturing and operations, and research and development departments in each of 2023 and 2024, to be proportionate with our needs.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employees have a work council. The work council must be consulted about specific employee related issues and has the right to make proposals to management according to the German Works Constitution Act (BetrVG).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never experienced any labor-related work stoppages or strikes and believe our relationships with our employees are good.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an employee culture of Diversity, Equity and Inclusion, or DEI, where we seek to create a gender-equitable, welcoming and comfortable work environment in which our employees can express themselves freely and feel supported to achieve their best.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refer to “ITEM 6.B. Compensation” and “ITEM 7.A. Major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Major Shareholders and Related Party Transactions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February 28, 2025 by:</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2025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c/o Kornit Digital Ltd., 12 Ha’Amal Street, Rosh -Ha’Ayin 4809246, Israel.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percentages set forth below are based on 45,327,503 ordinary shares outstanding (which excludes 5,773,222 Treasury shares) as of February 28,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8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(1)</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3,557,137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57"/>
        </w:trPr>
        <w:tc>
          <w:tcPr>
            <w:tcW w:w="8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Artisan Partners Limited Partnership</w:t>
            </w:r>
            <w:r>
              <w:rPr>
                <w:rFonts w:ascii="Times New Roman" w:cs="Times New Roman" w:eastAsia="Times New Roman" w:hAnsi="Times New Roman"/>
                <w:sz w:val="29"/>
                <w:szCs w:val="29"/>
                <w:color w:val="auto"/>
                <w:vertAlign w:val="superscript"/>
              </w:rPr>
              <w:t>(2)</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3,332,849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57"/>
        </w:trPr>
        <w:tc>
          <w:tcPr>
            <w:tcW w:w="8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9"/>
                <w:szCs w:val="29"/>
                <w:color w:val="auto"/>
                <w:vertAlign w:val="superscript"/>
              </w:rPr>
              <w:t>(3)</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4,233,349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57"/>
        </w:trPr>
        <w:tc>
          <w:tcPr>
            <w:tcW w:w="8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Chicago Capital LLC </w:t>
            </w:r>
            <w:r>
              <w:rPr>
                <w:rFonts w:ascii="Times New Roman" w:cs="Times New Roman" w:eastAsia="Times New Roman" w:hAnsi="Times New Roman"/>
                <w:sz w:val="29"/>
                <w:szCs w:val="29"/>
                <w:color w:val="auto"/>
                <w:vertAlign w:val="superscript"/>
              </w:rPr>
              <w:t>(4)</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2,493,680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Yuval Cohen</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Naama Halevi Davidov</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Ben-Zur</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 Hanover</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Nigro</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Dov Ofer</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Gazit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Kobi Mann</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(10 persons)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ordinary shares.</w:t>
      </w:r>
    </w:p>
    <w:p>
      <w:pPr>
        <w:spacing w:after="0" w:line="20" w:lineRule="exact"/>
        <w:rPr>
          <w:sz w:val="20"/>
          <w:szCs w:val="20"/>
          <w:color w:val="auto"/>
        </w:rPr>
      </w:pPr>
    </w:p>
    <w:p>
      <w:pPr>
        <w:jc w:val="both"/>
        <w:ind w:left="340" w:hanging="332"/>
        <w:spacing w:after="0" w:line="25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1585 Broadway New York, NY 10036 . The information in this row is provided as of December 31, 2024, based on Amendment No. 2 to a statement of beneficial ownership on Schedule 13G, filed by Morgan Stanley with the SEC on February 4, 2025. The ordinary shares included in the beneficial ownership of this shareholder are beneficially owned, or may be deemed to be beneficially owned, by certain operating units (collectively referred to as the MS Reporting Units) of Morgan Stanley and its subsidiaries and affiliates (collectively referred to as MS). They do not include ordinary shares, if any, beneficially owned by any operating units of MS whose ownership of securities is disaggregated from that of the MS Reporting Units.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875 E. Wisconsin Ave., Suite 800, Milwaukee, WI 53202. The information in this row is provided as of December 31, 2024, based on a report of institutional investment manager on Form 13F filed by Artisan Partners Limited Partnership with the SEC on February 12, 2025. The shares reported for this shareholder have been acquired on behalf of discretionary clients of Artisan Partners Limited Partnership, or APLP. APLP possesses sole voting power with respect to 2,835,917 of such shares, while lacking voting power with respect to 496,932 of such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left="340" w:hanging="332"/>
        <w:spacing w:after="0" w:line="229" w:lineRule="auto"/>
        <w:tabs>
          <w:tab w:leader="none" w:pos="340" w:val="left"/>
        </w:tabs>
        <w:numPr>
          <w:ilvl w:val="0"/>
          <w:numId w:val="5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address of this shareholder is 540 Madison Avenue,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New York 10022. The information in this row is provided as of December 31, 2024, based on a report of institutional investment manager on Form 13F filed by Senvest Management, LLC with the SEC on February 13, 2025.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p>
      <w:pPr>
        <w:spacing w:after="0" w:line="5" w:lineRule="exact"/>
        <w:rPr>
          <w:rFonts w:ascii="Times New Roman" w:cs="Times New Roman" w:eastAsia="Times New Roman" w:hAnsi="Times New Roman"/>
          <w:sz w:val="36"/>
          <w:szCs w:val="36"/>
          <w:color w:val="auto"/>
          <w:vertAlign w:val="superscript"/>
        </w:rPr>
      </w:pPr>
    </w:p>
    <w:p>
      <w:pPr>
        <w:ind w:left="340" w:right="20" w:hanging="332"/>
        <w:spacing w:after="0" w:line="25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this shareholder is 135 South LaSalle Street, Suite 4200, Chicago, IL 60603. The information in this row is provided as of February 28, 2024, based on a statement of beneficial ownership on Schedule 13G filed by Chicago Capital LLC with the SEC on March 4, 2024.</w:t>
      </w:r>
    </w:p>
    <w:p>
      <w:pPr>
        <w:ind w:left="340" w:hanging="332"/>
        <w:spacing w:after="0" w:line="26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and additional ordinary shares underlying options, RSUs and PSUs that may be exercised or settled (as applicable) by our directors and executive officers within 60 days of February 28,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Significant Changes in the Percentage Ownership of Major Shareholders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Artisan Partners Limited Partnership, Granahan Investment Management, LLC (a former major shareholder of ours) and Senvest Management, LLC became a new 5% shareholder over the course of 2022, reporting beneficial ownership that constituted 8.8%, 7.0% and 8.3% of our outstanding ordinary shares, respectively, in February 2023. Also, in February 2023, Wasatch Advisors Inc. (a former major shareholder of ours) reported that it had increased its beneficial ownership percentage from 6.9% to 9.4%, reflecting an increase over the course of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each of Wasatch Advisors Inc. and Granahan Investment Management, LLC reported that its beneficial ownership had decreased below 5% during 2023, thereby causing it to cease to be a major shareholder of ours. In addition, Artisan Partners Limited Partnership reported a decrease in its beneficial ownership over the course of 2023, whereby it held 7.8% of our outstanding shares as of February 2024, while Senvest Management, LLC reported an increase in its beneficial ownership in 2023, with its holdings comprising 9.2% of our outstanding shares as of February 2024. A new major shareholder, Morgan Stanley, acquired ordinary shares in 2023 that constituted 6.6% of our outstanding ordinary shares as of February</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2024. In March 2024, Chicago Capital LLC reported that its beneficial ownership had increased to 5.2% as of February 28, 2024, thereby causing it to become a new major shareholder of ours.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each of Artisan Partners Limited Partnership, Senvest Management, LLC and Morgan Stanley reported changes to its beneficial ownership of our ordinary shares over the course of 2024. Based on those reports, Artisan Partners Limited Partnership’s beneficial ownership decreased to 7.4%, while the beneficial ownership of Senvest Management, LLC and Morgan Stanley increased slightly, to 9.3% and 7.9%, respectively, of our outstanding ordinary shares (each such percentage reflects ownership as of February 28,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the foregoing, there have been no recent significant changes in the percentage ownership of major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a review of the information provided to us by our transfer agent, as of February 14, 2025, there were three holders of record of our ordinary shares, of which one record holder, holding approximately 90.2%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2024,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Arrangements with, and Compensation of,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RSUs and PSUs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to our officers and certain of our directors, and, commencing in 2018 (following approval by our shareholders), we began awarding annual RSU grants to our non-employee directors, and we also award them to our executive officers.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2021 and 2022, following shareholder approvals, we granted RSUs as well as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 for CEO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our 2022 special general meeting of shareholders, held on December 29, 2022, our shareholders approved (following approval by our compensation committee and board of directors) an updated compensation package for our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Ronen Samuel. We have provided below the updated compensation figures for the CEO, as adjusted, based on that approval by our shareholders: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 Salary: NIS 1.51 million (approximately $407,000)</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Annual Bonus (% Base Salary): 100%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Total Cash (Base + Bonus): $814,000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Long-Term Incentive/ Equity Target Value: $2,500,000 annually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Target Total Direct Compensation: $3,314,000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The compensation package includes the following specific elements:</w:t>
      </w:r>
    </w:p>
    <w:p>
      <w:pPr>
        <w:spacing w:after="0" w:line="221"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Total Shareholder Return (TSR) PSUs</w:t>
      </w:r>
      <w:r>
        <w:rPr>
          <w:rFonts w:ascii="Times New Roman" w:cs="Times New Roman" w:eastAsia="Times New Roman" w:hAnsi="Times New Roman"/>
          <w:sz w:val="17"/>
          <w:szCs w:val="17"/>
          <w:color w:val="auto"/>
        </w:rPr>
        <w:t>: PSUs valued at approximately $1,250,000 are granted to the CEO annually.</w:t>
      </w:r>
    </w:p>
    <w:p>
      <w:pPr>
        <w:spacing w:after="0" w:line="229" w:lineRule="exact"/>
        <w:rPr>
          <w:sz w:val="20"/>
          <w:szCs w:val="20"/>
          <w:color w:val="auto"/>
        </w:rPr>
      </w:pPr>
    </w:p>
    <w:p>
      <w:pPr>
        <w:jc w:val="both"/>
        <w:ind w:left="980" w:hanging="324"/>
        <w:spacing w:after="0" w:line="26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TSR PSUs to be granted each year with the foregoing $1,250,000 value are determined based on a valuation methodology generally used for such awards (e.g., Monte Carlo method) as of the date of the relevant annual shareholder meeting or as of the relevant anniversary of the date of the meeting.</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 TSR PSUs is dependent upon the performance of our TSR, as measured by our Company’s share price, relative to the performance of the S&amp;P 500 index, which determination is made for a two-year (30% weight) and three year (70% weight) period of time, upon the two-year and three-year anniversaries of each grant date, with the TSR PSUs either partially or fully vesting (if either/both performance conditions are met at or above the threshold level) or expiring (if the performance conditions are not met) on the three-year anniversary of each grant date;</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payout on the TSR PSUs (i.e., how many vest), will be determined based on our performance relative to a payout curve, with threshold and maximum performance levels, whereby the payout can be anywhere from zero to in excess of the payout target,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Kornit TSR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Percentile Rank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w:t>
            </w:r>
          </w:p>
        </w:tc>
      </w:tr>
      <w:tr>
        <w:trPr>
          <w:trHeight w:val="257"/>
        </w:trPr>
        <w:tc>
          <w:tcPr>
            <w:tcW w:w="5520" w:type="dxa"/>
            <w:vAlign w:val="bottom"/>
            <w:tcBorders>
              <w:top w:val="single" w:sz="8" w:color="auto"/>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&lt; 35</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220" w:type="dxa"/>
            <w:vAlign w:val="bottom"/>
            <w:tcBorders>
              <w:top w:val="single" w:sz="8" w:color="CCEEFF"/>
            </w:tcBorders>
            <w:shd w:val="clear" w:color="auto" w:fill="CCEEFF"/>
          </w:tcPr>
          <w:p>
            <w:pPr>
              <w:spacing w:after="0"/>
              <w:rPr>
                <w:sz w:val="22"/>
                <w:szCs w:val="22"/>
                <w:color w:val="auto"/>
              </w:rPr>
            </w:pPr>
          </w:p>
        </w:tc>
        <w:tc>
          <w:tcPr>
            <w:tcW w:w="5500" w:type="dxa"/>
            <w:vAlign w:val="bottom"/>
            <w:tcBorders>
              <w:top w:val="single" w:sz="8" w:color="auto"/>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0%</w:t>
            </w:r>
          </w:p>
        </w:tc>
      </w:tr>
      <w:tr>
        <w:trPr>
          <w:trHeight w:val="257"/>
        </w:trPr>
        <w:tc>
          <w:tcPr>
            <w:tcW w:w="574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35</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Percentile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(Threshold)</w:t>
            </w:r>
          </w:p>
        </w:tc>
      </w:tr>
      <w:tr>
        <w:trPr>
          <w:trHeight w:val="256"/>
        </w:trPr>
        <w:tc>
          <w:tcPr>
            <w:tcW w:w="574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b w:val="1"/>
                <w:bCs w:val="1"/>
                <w:color w:val="auto"/>
                <w:w w:val="95"/>
              </w:rPr>
              <w:t>55</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Percentile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100% (Target)**</w:t>
            </w:r>
          </w:p>
        </w:tc>
      </w:tr>
      <w:tr>
        <w:trPr>
          <w:trHeight w:val="257"/>
        </w:trPr>
        <w:tc>
          <w:tcPr>
            <w:tcW w:w="574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75</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Percentile</w:t>
            </w:r>
          </w:p>
        </w:tc>
        <w:tc>
          <w:tcPr>
            <w:tcW w:w="550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574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6"/>
              </w:rPr>
              <w:t>&gt; 75</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 (Maximum)</w:t>
            </w:r>
          </w:p>
        </w:tc>
      </w:tr>
    </w:tbl>
    <w:p>
      <w:pPr>
        <w:spacing w:after="0" w:line="198"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linear interpolation</w:t>
      </w:r>
    </w:p>
    <w:p>
      <w:pPr>
        <w:spacing w:after="0" w:line="27" w:lineRule="exact"/>
        <w:rPr>
          <w:sz w:val="20"/>
          <w:szCs w:val="20"/>
          <w:color w:val="auto"/>
        </w:rPr>
      </w:pPr>
    </w:p>
    <w:p>
      <w:pPr>
        <w:ind w:left="340" w:hanging="332"/>
        <w:spacing w:after="0" w:line="26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payout requires above median performance and the applicable payout will be capped at target if our company’s absolute TSR performance for the relevant measurement period is negative, irrespective of our company’s percentile ranking for such period.</w:t>
      </w:r>
    </w:p>
    <w:p>
      <w:pPr>
        <w:spacing w:after="0" w:line="17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RSUs valued at approximately $625,000 are granted to the CEO annually.</w:t>
      </w:r>
    </w:p>
    <w:p>
      <w:pPr>
        <w:spacing w:after="0" w:line="229" w:lineRule="exact"/>
        <w:rPr>
          <w:sz w:val="20"/>
          <w:szCs w:val="20"/>
          <w:color w:val="auto"/>
        </w:rPr>
      </w:pPr>
    </w:p>
    <w:p>
      <w:pPr>
        <w:ind w:left="980" w:right="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number of RSUs to be granted each August 12 with the foregoing $625,000 value is based on the 30-day volume weighted average price of Kornit’s ordinary shares over the 30-day period preceding each such grant date.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over a four-year period, with 25% of the RSUs vesting upon the first anniversary of the grant date and an additional 6.25% of the RSUs vesting upon the conclusion of each of the next 12 quarters thereafter, subject to the CEO’s continuous employment.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w:t>
      </w:r>
    </w:p>
    <w:p>
      <w:pPr>
        <w:spacing w:after="0" w:line="221" w:lineRule="exact"/>
        <w:rPr>
          <w:sz w:val="20"/>
          <w:szCs w:val="20"/>
          <w:color w:val="auto"/>
        </w:rPr>
      </w:pPr>
    </w:p>
    <w:p>
      <w:pPr>
        <w:ind w:left="980" w:hanging="324"/>
        <w:spacing w:after="0" w:line="28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Options valued at approximately $625,000 (the number of options to be granted each August 12 to be determined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binomial pricing methodology as of the date of grant) are granted to the CEO annually.</w:t>
      </w:r>
    </w:p>
    <w:p>
      <w:pPr>
        <w:spacing w:after="0" w:line="159"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an exercise price equal to the closing price of Kornit’s ordinary shares on the grant date;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Mr. Samuel’s continued employment as our CEO, the options vest over a four-year period, with 25% of the options vesting upon the first anniversary of the grant date and an additional 6.25% of the options vesting upon the conclusion of each of the next 12 quarters thereafter, subject to the CEO’s continuous employment;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“double trigger” vesting and acceleration of vesting due to termination of the CEO in certain circumstances;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 ten-year term, at the conclusion of which any unexercised options would expire.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Condition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terms for our CEO are subject, in the case of annual bonus and long-term incentive/equity compensation, to a potential repayment obligation to our Company or cancellation (as applicable), under certain circumstances, as described in our compensation policy. In particular, in the event of an accounting restatement, we would be entitled to recover from the CEO a bonus payment in the amount by which it exceeds the bonus amount that would have been paid under the financial statements, as restated. In the case of performance-based equity compensation,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TSR PSUs, which vest based on the performance of our share price (in comparison to the S&amp;P 500 index companies),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spacing w:after="0" w:line="188"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Our right to recoup an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(as per the terms of our compensation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Hedging/Pledging Restrictions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ensure that the equity portion of our CEO’s compensation package serves solely to motivate our CEO to create value for our shareholders, our CEO is prohibited from creating “short” positions or engaging in other hedging activity with respect to our ordinary shares, which restrictions are based on our insider trading policy, and apply equally to our CEO. For a similar reason, our CEO will generally be prohibited from pledging the equity to be granted to him as collateral for a loan that may be received by him.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Financial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our financial statements at the end of this annual report, starting at page F-1,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Sales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total export sales by our company for each of the fiscal years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Export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203,463</w:t>
            </w:r>
          </w:p>
        </w:tc>
        <w:tc>
          <w:tcPr>
            <w:tcW w:w="160" w:type="dxa"/>
            <w:vAlign w:val="bottom"/>
            <w:shd w:val="clear" w:color="auto" w:fill="CCEEFF"/>
          </w:tcPr>
          <w:p>
            <w:pPr>
              <w:spacing w:after="0"/>
              <w:rPr>
                <w:sz w:val="18"/>
                <w:szCs w:val="18"/>
                <w:color w:val="auto"/>
              </w:rPr>
            </w:pPr>
          </w:p>
        </w:tc>
      </w:tr>
      <w:tr>
        <w:trPr>
          <w:trHeight w:val="23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Total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7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Export sales, as presented, are defined as sales to customers located outside of Israel (where our headquarters are located).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Lawsuits</w:t>
      </w:r>
    </w:p>
    <w:p>
      <w:pPr>
        <w:spacing w:after="0" w:line="229"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On February 15, 2023, a securities class action complaint was filed by a shareholder of Kornit in U.S. federal court in New Jersey, naming our company, our chief executive officer, Ronen Samuel, and our former chief financial officer, Alon Rozner, as defendants. The complaint asserted claims under Sections 10(b) and 20(a) of the Exchange Act, and Rule 10b-5 promulgated thereunder, and sought unspecified damages. The complaint alleged misrepresentations by our company in our Exchange Act disclosures which caused our ordinary shares to trade at artificially inflated prices during the period between February 2021 and July 2022.</w:t>
      </w:r>
    </w:p>
    <w:p>
      <w:pPr>
        <w:spacing w:after="0" w:line="183" w:lineRule="exact"/>
        <w:rPr>
          <w:sz w:val="20"/>
          <w:szCs w:val="20"/>
          <w:color w:val="auto"/>
        </w:rPr>
      </w:pPr>
    </w:p>
    <w:p>
      <w:pPr>
        <w:jc w:val="both"/>
        <w:ind w:firstLine="683"/>
        <w:spacing w:after="0" w:line="254" w:lineRule="auto"/>
        <w:rPr>
          <w:sz w:val="20"/>
          <w:szCs w:val="20"/>
          <w:color w:val="auto"/>
        </w:rPr>
      </w:pPr>
      <w:r>
        <w:rPr>
          <w:rFonts w:ascii="Times New Roman" w:cs="Times New Roman" w:eastAsia="Times New Roman" w:hAnsi="Times New Roman"/>
          <w:sz w:val="18"/>
          <w:szCs w:val="18"/>
          <w:color w:val="auto"/>
        </w:rPr>
        <w:t>On February 17, 2023, an additional securities class action complaint was filed by a shareholder of Kornit in U.S. federal court in New Jersey, naming our company, our directors during the subject period (described below), our chief executive officer, Ronen Samuel, our former chief financial officer, Alon Rozner, the underwriters for our November 2021 follow-on public offering and Amazon (which sold shares in that public offering) as defendants. The complaint asserted claims under Sections 11, 12(a)(2) and 15 of the Securities Act, Sections 10(b) and 20(a) of the Exchange Act, and Rule 10b-5 promulgated under the Exchange Act, and sought unspecified damages. The complaint alleged false and misleading statements by our company in our registration statement and prospectus supplement for the November 2021 follow-on offering and in our Exchange Act disclosures which caused our ordinary shares to be sold in that offering, and to trade in an ongoing manner, at artificially inflated prices during the period between August 2021 and July 2022.</w:t>
      </w:r>
    </w:p>
    <w:p>
      <w:pPr>
        <w:spacing w:after="0" w:line="192"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On August 30, 2023, in the Genesee County case, the Court granted an unopposed motion to consolidate the two actions, to appoint certain plaintiffs represented by Bernstein Litowitz as lead plaintiffs (“Lead Plaintiffs”), and to appoint Bernstein Litowitz as lead counsel. On October 27, 2023, Lead Plaintiffs filed a consolidated complaint. The consolidated complaint alleged that, between February 2021 and July 2022, the Company made misrepresentations and omissions in our public statements and disclosures in violation of the Exchange Act and Rule 10b-5 promulgated thereunder. Lead Plaintiffs asserted these Exchange Act claims against the Company, Mr. Samuel, and Mr. Rozner, sought to recover on behalf of a putative class of Kornit shareholders who acquired shares between February 17, 2021 and July 5, 2022, and sought unspecified damages. The consolidated complaint also asserted claims under the Securities Act, alleging that the Company made misrepresentations and omissions in our registration statement and prospectus for our November 2021 follow-on public offering; it asserted those Securities Act claims against Kornit, Mr. Samuel, Mr. Rozner, certain current and former Kornit officers and directors, and the underwriters for the November 2021 offering (but not against Amazon) (together, “Defendants”).</w:t>
      </w:r>
    </w:p>
    <w:p>
      <w:pPr>
        <w:spacing w:after="0" w:line="188"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Defendants moved to dismiss the consolidated complaint on December 21, 2023. Lead Plaintiffs filed an opposition to Defendants’ motion to dismiss on February 16, 2024.</w:t>
      </w:r>
    </w:p>
    <w:p>
      <w:pPr>
        <w:spacing w:after="0" w:line="162"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On August 15, 2024, the court held an oral hearing on Defendants’ motion to dismiss, following which it granted the defendants’ motion, dismissing the complaint in its entirety, without prejudice. Plaintiffs filed an amended complaint on November 8, 2024. The amended complaint was filed against the company, Mr. Samuel and Mr. Rozner. The underwriters for the November 2021 offering, as well as all other directors, are no longer named as defendants. On January 24, 2025, defendants moved to dismiss the amended complaint. Plaintiffs filed an opposition to defendants’ motion to dismiss on March 10, 2025, and defendants intend to file replies in support of the motion to dismiss on or about April 25, 2025.</w:t>
      </w:r>
    </w:p>
    <w:p>
      <w:pPr>
        <w:spacing w:after="0" w:line="18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We believe the lawsuits are without merit and have been defending against these cases vigorously. As of the date hereof, we are unable to estimate a range of loss, if any, that could result were there to be adverse final decisions in these cases, and estimated liabilities have not been recorded by us in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reduce the trading price of our ordinary shares substantially for an extended period of time, we may potentially use a portion of our cash reserves toward share repurchases, as we have done with our recent $100 million share repurchase program approved in September 2024. We view that as a way of returning value to our shareholders.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in Exhibit 2.2 to this annual report, “Description of Kornit Digital Ltd. Ordinary Shares- Dividend and Liquidation Rights” for an explanation concerning the payment of dividends under Israeli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The Offer and Listing</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Listing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been quoted on the Nasdaq Global Select Market under the symbol “KRNT” since April 2,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19, 2025, the closing sales price of our ordinary shares on the Nasdaq Global Select Market was $21.87.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“-Listing Details”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Articles of Association</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10.B of Form 20-F has been provided in Exhibit 2.2 to this annual report. The content of Exhibit 2.2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Agreements with Amazon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agreed-upon prices which are subject to volume. We also agreed to provide maintenance services and extended warranties to Amazon at agreed-upon prices.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We are required to notify Amazon 12 months in advance if we intend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was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Transaction Agreement and New Warrant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2017, we entered into a transaction agreement with Amazon pursuant to which we had issued to Amazon a warrant to purchase our ordinary shares, which had vested and was exercised, in its entirety, with all underlying shares having been sold by Amazon, prior to 2023. On September 14, 2020, we and Amazon entered into a new transaction agreement, or the New Transaction Agreement, pursuant to which we issued to an affiliate of Amazon a warrant, or the New Warrant, to acquire up to 3,401,028 of our ordinary shares, or the New Warrant Shares, at a purchase price of $59.26 per share, which is based on the 30-trading day VWAP prior to the execution of the New Transaction Agreement. The New Warrant also provides for cashless (net) exercise.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Warrant Shares underlying the New Warrant are subject to vesting as a function of payments of up to an aggregate of $400 million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Amazon and its affiliates over a five-year period for two different categories of product lines and services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Existing Product Lines</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New Product Lines</w:t>
            </w:r>
          </w:p>
        </w:tc>
      </w:tr>
      <w:tr>
        <w:trPr>
          <w:trHeight w:val="245"/>
        </w:trPr>
        <w:tc>
          <w:tcPr>
            <w:tcW w:w="7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and Services</w:t>
            </w:r>
          </w:p>
        </w:tc>
        <w:tc>
          <w:tcPr>
            <w:tcW w:w="16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and Services</w:t>
            </w:r>
          </w:p>
        </w:tc>
      </w:tr>
      <w:tr>
        <w:trPr>
          <w:trHeight w:val="216"/>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Amount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million</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Vesting Shares</w:t>
            </w:r>
          </w:p>
        </w:tc>
        <w:tc>
          <w:tcPr>
            <w:tcW w:w="2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1,943,445</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1,457,583</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Vesting Shares per $5 Million Payment</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48,587</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 to any product line that has not been purchased by Amazon before the date of the issuance of the New Warrant and may be purchased by Amazon in the future. “New” products include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New Warrant Shares issuable upon exercise of the New Warrant are subject to customary anti-dilution adjustments.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Transaction Agreement includes customary representations, warranties and covenants of our company and Amazon. The New Transaction Agreement restricts any transfer of the New Warrant and New Warrant Shares issuable thereunder, except under certain circumstances set forth in the New Transaction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New Transaction Agreement, the registration rights that applied under the Original Transaction Agreement to Original Warrant Shares are deemed to apply to the New Warrant Shares as well.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New Warrant Shares issued under the New Warrant or that remain unexercised under the New Warrant represent less than 2% of our outstanding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1,943,445 New Warrant Shares had vested and were issuable under the New Warrant.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Material Contracts</w:t>
      </w:r>
    </w:p>
    <w:p>
      <w:pPr>
        <w:spacing w:after="0" w:line="225"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Material Contract</w:t>
      </w:r>
      <w:r>
        <w:rPr>
          <w:sz w:val="20"/>
          <w:szCs w:val="20"/>
          <w:color w:val="auto"/>
        </w:rPr>
        <w:tab/>
      </w:r>
      <w:r>
        <w:rPr>
          <w:rFonts w:ascii="Times New Roman" w:cs="Times New Roman" w:eastAsia="Times New Roman" w:hAnsi="Times New Roman"/>
          <w:sz w:val="17"/>
          <w:szCs w:val="17"/>
          <w:b w:val="1"/>
          <w:bCs w:val="1"/>
          <w:color w:val="auto"/>
        </w:rPr>
        <w:t>Location of Description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-296545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200" w:space="540"/>
            <w:col w:w="650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Compensation Policy</w:t>
            </w:r>
          </w:p>
        </w:tc>
        <w:tc>
          <w:tcPr>
            <w:tcW w:w="7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“ITEM  6.C.  Board  Practices-Board  Committees-Compensation  Committee  and</w:t>
            </w:r>
          </w:p>
        </w:tc>
      </w:tr>
      <w:tr>
        <w:trPr>
          <w:trHeight w:val="234"/>
        </w:trPr>
        <w:tc>
          <w:tcPr>
            <w:tcW w:w="3680" w:type="dxa"/>
            <w:vAlign w:val="bottom"/>
            <w:shd w:val="clear" w:color="auto" w:fill="CCEEFF"/>
          </w:tcPr>
          <w:p>
            <w:pPr>
              <w:spacing w:after="0"/>
              <w:rPr>
                <w:sz w:val="20"/>
                <w:szCs w:val="20"/>
                <w:color w:val="auto"/>
              </w:rPr>
            </w:pPr>
          </w:p>
        </w:tc>
        <w:tc>
          <w:tcPr>
            <w:tcW w:w="7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Compensation Policy.”</w:t>
            </w: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OEM Supply Agreement, dated December 3, 2015, between us and FujiFilm Dimatix, Inc.</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-296545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340" w:space="400"/>
            <w:col w:w="6500"/>
          </w:cols>
          <w:pgMar w:left="320" w:top="87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Manufacturing Services Agreement, dated as of May 2015, between us and Flex</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-296545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280" w:space="460"/>
            <w:col w:w="6500"/>
          </w:cols>
          <w:pgMar w:left="320" w:top="877" w:right="33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Manufacturing Services Agreement, dated as of February 26, 2019, between us and Sanmina-SCI Israel Medical Systems Ltd.</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-296545</wp:posOffset>
            </wp:positionV>
            <wp:extent cx="71323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4400" w:space="340"/>
            <w:col w:w="650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Parking Space Lease Agreement, dated as of</w:t>
            </w: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 4.D. Property, Plant and Equipment.”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17, 2007 between us and Industrial Building</w:t>
            </w:r>
          </w:p>
        </w:tc>
        <w:tc>
          <w:tcPr>
            <w:tcW w:w="6660" w:type="dxa"/>
            <w:vAlign w:val="bottom"/>
            <w:shd w:val="clear" w:color="auto" w:fill="CCEEFF"/>
          </w:tcPr>
          <w:p>
            <w:pPr>
              <w:spacing w:after="0"/>
              <w:rPr>
                <w:sz w:val="18"/>
                <w:szCs w:val="18"/>
                <w:color w:val="auto"/>
              </w:rPr>
            </w:pPr>
          </w:p>
        </w:tc>
      </w:tr>
      <w:tr>
        <w:trPr>
          <w:trHeight w:val="23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 as amended</w:t>
            </w:r>
          </w:p>
        </w:tc>
        <w:tc>
          <w:tcPr>
            <w:tcW w:w="6660" w:type="dxa"/>
            <w:vAlign w:val="bottom"/>
            <w:shd w:val="clear" w:color="auto" w:fill="CCEEFF"/>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 Agreement dated as of March 25, 2010 between us and</w:t>
            </w:r>
          </w:p>
        </w:tc>
        <w:tc>
          <w:tcPr>
            <w:tcW w:w="6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“ITEM 4.D. Property, Plant and Equipment.”</w:t>
            </w:r>
          </w:p>
        </w:tc>
      </w:tr>
      <w:tr>
        <w:trPr>
          <w:trHeight w:val="23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Benbenishti Engineering Ltd., as amended</w:t>
            </w:r>
          </w:p>
        </w:tc>
        <w:tc>
          <w:tcPr>
            <w:tcW w:w="6660" w:type="dxa"/>
            <w:vAlign w:val="bottom"/>
            <w:shd w:val="clear" w:color="auto" w:fill="CCEEFF"/>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 dated December 2017 between Bonanno Real Estate</w:t>
            </w:r>
          </w:p>
        </w:tc>
        <w:tc>
          <w:tcPr>
            <w:tcW w:w="66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“ITEM 4.D. Property, Plant and Equipment.”</w:t>
            </w:r>
          </w:p>
        </w:tc>
      </w:tr>
      <w:tr>
        <w:trPr>
          <w:trHeight w:val="23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I, L.P. and Kornit Digital North America, Inc.</w:t>
            </w:r>
          </w:p>
        </w:tc>
        <w:tc>
          <w:tcPr>
            <w:tcW w:w="666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sectPr>
          <w:pgSz w:w="11900" w:h="16838" w:orient="portrait"/>
          <w:cols w:equalWidth="0" w:num="1">
            <w:col w:w="11240"/>
          </w:cols>
          <w:pgMar w:left="320" w:top="877" w:right="339" w:bottom="1440" w:gutter="0" w:footer="0" w:header="0"/>
          <w:type w:val="continuous"/>
        </w:sectPr>
      </w:pPr>
    </w:p>
    <w:p>
      <w:pPr>
        <w:spacing w:after="0" w:line="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Lease Agreement, dated as of March 27, 2022, by and between us and the Israel Lands Authority.</w:t>
      </w:r>
    </w:p>
    <w:p>
      <w:pPr>
        <w:spacing w:after="0" w:line="20" w:lineRule="exact"/>
        <w:rPr>
          <w:sz w:val="20"/>
          <w:szCs w:val="20"/>
          <w:color w:val="auto"/>
        </w:rPr>
      </w:pPr>
      <w:r>
        <w:rPr>
          <w:sz w:val="20"/>
          <w:szCs w:val="20"/>
          <w:color w:val="auto"/>
        </w:rPr>
        <w:br w:type="column"/>
      </w:r>
    </w:p>
    <w:p>
      <w:pPr>
        <w:ind w:right="20"/>
        <w:spacing w:after="0" w:line="284" w:lineRule="auto"/>
        <w:rPr>
          <w:sz w:val="20"/>
          <w:szCs w:val="20"/>
          <w:color w:val="auto"/>
        </w:rPr>
      </w:pPr>
      <w:r>
        <w:rPr>
          <w:rFonts w:ascii="Times New Roman" w:cs="Times New Roman" w:eastAsia="Times New Roman" w:hAnsi="Times New Roman"/>
          <w:sz w:val="18"/>
          <w:szCs w:val="18"/>
          <w:color w:val="auto"/>
        </w:rPr>
        <w:t>“ITEM 3.D. Risk Factors-Risks Related to Our Business and Our Industr</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Our Kiryat Gat ink manufacturing facility…” and “ITEM 4.D.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-297815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877"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Taxes Applicable to Non-Israeli Resident Shareholders.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2024) unless the benefiting provisions of an applicable treaty applies.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non-Israeli 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ITA may require from shareholders who are not liable for Israeli tax to sign declarations in forms specified by that authority or obtain a specific exemption from the ITA to confirm their status as non-Israeli residents, and, in the absence of such declarations or exemptions, may require the purchaser of the shares to withhold taxes at source.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Non-Israeli Shareholders on Receipt of Dividends.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 Preferred Enterprise, or such reduced rate as may be provided under an applicable tax treaty (subject to the receipt in advance of a valid certificate from the ITA allowing for a reduced tax rate, or such lower tax rate as may be provided in an applicable tax treaty).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62"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Individuals who are subject to tax in Israel (whether any such individual is an Israeli resident or non-Israeli resident) are also subject to an additional tax at a rate of 3% on annual income exceeding NIS 721,560 for 2024, which amount is generally linked to the annual change in the Israeli consumer price index (with the exception that based on Israeli new legislation, such amount, and certain other statutory amounts, will not be linked to the Israeli consumer price index for the years 2025-2027), including, but not limited to, dividends, interest and capital gain. According to new legislation, in effect as of January 1, 2025, an </w:t>
      </w:r>
      <w:r>
        <w:rPr>
          <w:rFonts w:ascii="Times New Roman" w:cs="Times New Roman" w:eastAsia="Times New Roman" w:hAnsi="Times New Roman"/>
          <w:sz w:val="18"/>
          <w:szCs w:val="18"/>
          <w:b w:val="1"/>
          <w:bCs w:val="1"/>
          <w:i w:val="1"/>
          <w:iCs w:val="1"/>
          <w:u w:val="single" w:color="auto"/>
          <w:color w:val="auto"/>
        </w:rPr>
        <w:t>additional</w:t>
      </w:r>
      <w:r>
        <w:rPr>
          <w:rFonts w:ascii="Times New Roman" w:cs="Times New Roman" w:eastAsia="Times New Roman" w:hAnsi="Times New Roman"/>
          <w:sz w:val="18"/>
          <w:szCs w:val="18"/>
          <w:color w:val="auto"/>
        </w:rPr>
        <w:t xml:space="preserve"> 2% excess tax is imposed on Capital-Sourced Income (defined as income from any source other than employment income, business income or income from “personal effort”), to the extent that the Individual’s Capital Sourced Income exceeds the specified threshold of NIS 721,560 (and regardless of the employment/business income amount of such individual). This new excess tax applies, among other things, to income from capital gains, dividends, interest, rental income, or the sale of real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0"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ordinary shares as part of a “hedging,” “integrated”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ordinary shares in connection with a trade or business conducted outside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U.S. federal, state, local and foreign tax consequences of acquiring, owning and disposing of our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Treasury Regulations that apply to taxable years beginning on or after December 28, 2021 may in some circumstances prohibit a U.S. Holder from claiming a foreign tax credit unless the taxes are creditable under the U.S.-Israel Tax Treaty and the holder is eligible for benefits under the U.S.-Israel Tax Treaty and elects its application. Holders should consult their own tax advisors about the impact of, and any exception available to, the special sourcing rule described in this paragraph, and the desirability of making, and the method of making, such an election.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Israeli tax is imposed on the sale or other disposition of our ordinary shares, your amount realized will include the gross amount of the proceeds of the sale or other disposition before deduction of the Israeli tax. You should consult your tax adviser as to whether the Israeli tax on gains may be creditable against your U.S. federal income tax on foreign-source income from other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non-U.S. corporation will be classified as a PFIC for federal income tax purposes in any taxable year in which, after applying certain look through rules, either</w:t>
      </w:r>
    </w:p>
    <w:p>
      <w:pPr>
        <w:spacing w:after="0" w:line="162"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and the nature of our business, we believe that we were not classified as a PFIC for the taxable year ended December 31, 2024.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a decline in the value of our ordinary shares may result in our becoming a PFIC. Accordingly,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2024, provided that such U.S. Holder is eligible to make, and successfully makes, either a “mark-to-market” election or a qualified electing fund election described below for the taxable year in which its holding period begins.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whether we are a PFIC and the potential application of the PFIC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Foreign Currency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file with the SEC, within 120 days after the end of each subsequent fiscal year, an annual report on Form 20-F containing financial statements which will be examined and reported on, with an opinion expressed, by an independent public accounting firm. We also furnish to the SEC reports on Form 6-K containing quarterly unaudited financial information for the first three quarters of each fiscal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regarding issuers that file electronically with the SEC. Our filings with the SEC are also available to the public through the SEC’s website at http://www.sec.gov. As permitted under Nasdaq Listing Rule 5250(d)(1) (C), we post our annual reports filed with the SEC on our website at http://www.kornit.com. We will furnish hard copies of such reports to our shareholders upon request free of charge. The information contained on our website is not part of this or any other report filed with or furnished to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Quantitative and Qualitative Disclosures About Market Risks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our international operations, currency exchange rates impact our financial performance. In 2024, approximately 86% of our revenues were denominated in U.S. dollars, 9% of our revenues were denominated in Euros and 5% of our revenues were denominated in Great Britain Pounds. Conversely, in 2024, approximately 16% of our purchases of raw materials and components of our systems and ink and other consumables were denominated in either NIS or in NIS prices that are linked to U.S. dollars. Similarly, a majority of our operating costs, which were largely comprised of labor costs, were denominated in NIS, due to our operations in Israel. Accordingly, our results of operations may be materially affected by fluctuations in the value of the U.S. dollar relative to the NIS and the Euro.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changes in the exchange rates of the U.S. dollar against the NIS and the Euro: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 in Average</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Exchange Rate</w:t>
            </w: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ind w:lef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the NIS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Euro</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figures above represent the change in the average exchange rate in the given year compared with the average exchange rate in the immediately preceding year. Negative figures represent depreciation of the U.S. dollar compared with the NIS or Euro (as applicable) and positive figures represent appreciation of the U.S. dollar compared with the NIS or Euro (as applicable). We estimate that a 10% increase or 10% decrease in the value of the NIS against the U.S. dollar would have decreased or increased our net income by approximately $(15.2 million) or $12.5 million in 2022, $(8.5 million) or $7.0 million in 2023, and $(5.9 million) or $4.8 million in 2024, respectively. We estimate that a 10% increase or 10% decrease in the value of the Euro against the U.S. dollar would have decreased or increased our net income by approximately $1.3 million or $(0.7 million) in 2022, $0.9 million or $(1.2 million) in 2023 and $ 0.1million or $( 0.2million) in 2024,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2022, 2023 and 2024, we entered into forward and option contracts to hedge against the risk of overall changes in future cash flow from payments of payroll and related expenses denominated in NIS.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Liquidity Risk and Interest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investment strategy is to achieve a return that will allow us to preserve capital and maintain liquidity requirements. We invest primarily in debt securities, specifically corporate debt securities. By policy, we limit the amount of credit exposure to any one issuer. As of December 31, 2023 and December 31, 2024, we did not have any material (realized) losses on our marketable debt securities. As of December 31, 2024, unrealized losses on our marketable debt securities were partially due to temporary interest rate fluctuations as a result of higher market interest rates compared with interest rates at the time of purchase. We account for both fixed and variable rate securities at fair value with changes on gains and losses recorded in Other Comprehensive Income until the securities are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Market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believe that we have any material exposure to inflationary or other market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Description of Securities Other than Equity Securities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Defaults, Dividend Arrearages and Delinquencies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Material Modifications to the Rights of Security Holders and Use of Proceeds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8480"/>
        <w:spacing w:after="0"/>
        <w:rPr>
          <w:sz w:val="20"/>
          <w:szCs w:val="20"/>
          <w:color w:val="auto"/>
        </w:rPr>
      </w:pPr>
      <w:r>
        <w:rPr>
          <w:rFonts w:ascii="Times New Roman" w:cs="Times New Roman" w:eastAsia="Times New Roman" w:hAnsi="Times New Roman"/>
          <w:sz w:val="18"/>
          <w:szCs w:val="18"/>
          <w:b w:val="1"/>
          <w:bCs w:val="1"/>
          <w:color w:val="auto"/>
        </w:rPr>
        <w:t xml:space="preserve">A-E.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2024. Based on their evaluation, our principal executive officer and principal financial officer concluded that as of December 31, 2024,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3"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internal control over financial reporting as of December 31, 2024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attestation report of Kost Forer Gabbay &amp; Kasierer, a member of EY Global, an independent registered public accounting firm in Israel, on our management’s assessment of our internal control over financial reporting as of December 31, 2024 is provided on page F-2, as included under Item 18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16A. </w:t>
      </w:r>
      <w:r>
        <w:rPr>
          <w:rFonts w:ascii="Times New Roman" w:cs="Times New Roman" w:eastAsia="Times New Roman" w:hAnsi="Times New Roman"/>
          <w:sz w:val="18"/>
          <w:szCs w:val="18"/>
          <w:b w:val="1"/>
          <w:bCs w:val="1"/>
          <w:u w:val="single" w:color="auto"/>
          <w:color w:val="auto"/>
        </w:rPr>
        <w:t>Audit Committee Financial Expert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Naama Halevi Davidov, who serves on the audit committee of our board of directors and who meets the “independent director” definition under the Nasdaq Listing Rules, qualifies as an “audit committee financial expert,” as defined under the rules and regulations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16B. </w:t>
      </w:r>
      <w:r>
        <w:rPr>
          <w:rFonts w:ascii="Times New Roman" w:cs="Times New Roman" w:eastAsia="Times New Roman" w:hAnsi="Times New Roman"/>
          <w:sz w:val="18"/>
          <w:szCs w:val="18"/>
          <w:b w:val="1"/>
          <w:bCs w:val="1"/>
          <w:u w:val="single" w:color="auto"/>
          <w:color w:val="auto"/>
        </w:rPr>
        <w:t>Code of Ethics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applicable to our executive officers, directors and all other employees. A copy of the code, as most recently updated in March 2025,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w:t>
      </w:r>
    </w:p>
    <w:p>
      <w:pPr>
        <w:spacing w:after="0" w:line="3" w:lineRule="exact"/>
        <w:rPr>
          <w:sz w:val="20"/>
          <w:szCs w:val="20"/>
          <w:color w:val="auto"/>
        </w:rPr>
      </w:pPr>
    </w:p>
    <w:p>
      <w:pPr>
        <w:jc w:val="both"/>
        <w:ind w:firstLine="8"/>
        <w:spacing w:after="0" w:line="255" w:lineRule="auto"/>
        <w:tabs>
          <w:tab w:leader="none" w:pos="22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our website within five business days following the date of amendment or waiver in accordance with the requirements of Instruction 4 to such Item 16B or (ii) through the filing of a Report of Foreign Private Issuer on Form 6-K. We did not provide such a waiver or adopt such an amendment during the fiscal year ended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16C. </w:t>
      </w:r>
      <w:r>
        <w:rPr>
          <w:rFonts w:ascii="Times New Roman" w:cs="Times New Roman" w:eastAsia="Times New Roman" w:hAnsi="Times New Roman"/>
          <w:sz w:val="18"/>
          <w:szCs w:val="18"/>
          <w:b w:val="1"/>
          <w:bCs w:val="1"/>
          <w:u w:val="single" w:color="auto"/>
          <w:color w:val="auto"/>
        </w:rPr>
        <w:t>Principal Accountant Fees and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Fees billed or expected to be billed by Kost, Forer, Gabbay &amp; Kasierer, a member of EY Global, and other members of EY Global for professional services for each of the last two fiscal years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24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 of dollars)</w:t>
            </w:r>
          </w:p>
        </w:tc>
        <w:tc>
          <w:tcPr>
            <w:tcW w:w="1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16D. </w:t>
      </w:r>
      <w:r>
        <w:rPr>
          <w:rFonts w:ascii="Times New Roman" w:cs="Times New Roman" w:eastAsia="Times New Roman" w:hAnsi="Times New Roman"/>
          <w:sz w:val="18"/>
          <w:szCs w:val="18"/>
          <w:b w:val="1"/>
          <w:bCs w:val="1"/>
          <w:u w:val="single" w:color="auto"/>
          <w:color w:val="auto"/>
        </w:rPr>
        <w:t>Exemptions from the Listing Standards for Audit Committees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16E. </w:t>
      </w:r>
      <w:r>
        <w:rPr>
          <w:rFonts w:ascii="Times New Roman" w:cs="Times New Roman" w:eastAsia="Times New Roman" w:hAnsi="Times New Roman"/>
          <w:sz w:val="18"/>
          <w:szCs w:val="18"/>
          <w:b w:val="1"/>
          <w:bCs w:val="1"/>
          <w:u w:val="single" w:color="auto"/>
          <w:color w:val="auto"/>
        </w:rPr>
        <w:t>Purchases of Equity Securities by the Issuer and Affiliated Purchasers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10, 2022, we announced that our board of directors had approved a $75 million repurchase program for our ordinary shares, subject to Israeli court approval, which was obtained on December 15, 2022 for an initial six-month repurchase period. On July 18, 2023, we received Israeli court approval for a six-month extension of the repurchase program covering the then-remaining available amount under the program. On December 17, 2023, we requested Israeli court approval for an additional six-month extension for the repurchase of up to the remaining available amount under the repurchase program, which was obtained on January 22, 2024. That six-month extension period expired in July 2024, and we have not sought a further extension for that repurchase program, and we therefore cannot make further repurchases under that program since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On September 16, 2024, we announced that our board of directors had authorized an additional program for our repurchase of up to $100 million of our ordinary shares, from time to time. In order to facilitate our repurchase of ordinary shares under our additional repurchase program, on November 10, 2024, we entered into an accelerated share repurchase agreement, or the ASR Agreement, with Goldman Sachs International, or Goldman Sachs, to repurchase $75 million of our ordinary shares. Pursuant to the agreement, we made a payment of $75 million to Goldman Sachs on November 12, 2024. In November 2024 and December 2024, we received deliveries of 986,194 and 839,707 of our ordinary shares, respectively, from Goldman Sachs for repurchase pursuant to the agreement. In February 2025, we received an additional 641,305 ordinary shares from Goldman Sachs for repurchase, which constituted the final set of shares repurchased under the agreement. In February 2025 and March 2025, we also repurchased an additional 147,040 and 185,898 ordinary shares, respectively, in open market purchases under our additional share repurchase program. Each set of share repurchases reduced, on an immediate basis, our outstanding share total. In addition to other impacts that the repurchases have had on our financial condition and the market for our ordinary shares, the November 2024 and December 2024 repurchases also reduced the weighted average number of ordinary shares outstanding that was used for calculation of our basic and diluted earnings per share for the year ended December 31, 2024. See “Note 10. Stockholders’ Equity” to our consolidated financial statements included in Item 18 of this annual report for additional information regarding our share repurchase programs and the accelerated share repurchase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each repurchase program, we have made (and may still make, in the case of the additional share repurchase program) repurchases from time to time through open market repurchases or privately negotiated transactions, subject to market conditions, applicable legal requirements, and other relevant factors. We have effected (and may effect, as applicable) open market repurchases under the programs in accordance with the requirements of Rule 10b-18 under the Exchange Act. From time to time, we have also entered (and may enter, as applicable) into plans in accordance with the affirmative defense provided by Rule 10b5-1 under the Exchange Act to facilitate repurchases of our shares. Our additional repurchase program does not obligate us to acquire any particular amount of our ordinary shares, and it may be modified, suspended, or terminated, at any time at our discretion. The timing and actual number of shares repurchased may depend on a variety of factors, including price, general business and market conditions, and alternative investment opportunities.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Section 7C of the Israeli Companies Regulations (Leniencies for Companies Whose Securities are Listed for Trading Outside of Israel), 5760-2000, or the Leniency Regulations, the additional share repurchase program (adopted in September 2024) did not require approval by an Israeli court and went into effect 30 days after notice of our board of directors’ adoption of the repurchase program was provided to our material creditors and secured creditors (if any). All repurchased shares (under both repurchase programs) are classified as treasury shares.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twelve months of 2024, we repurchased, pursuant to the two repurchase programs, an aggregate of 2,332,826 of our ordinary shares at an average price of $28.25 per share. That total includes the aggregate 1,825,901 ordinary shares repurchased in November 2024 and December 2024 pursuant to the ASR Agreement (which were purchased at an average price of $31.14 per share) under our additional repurchase program, as well as 506,925 ordinary shares purchased throughout 2024 in open market transactions, in accordance with Rule 10b-18, under our original repurchase program. All share repurchases during 2024 reduced the weighted average number of ordinary shares used for calculation of basic and diluted earnings per share in our results of operations for the year ended December 31, 2024. After taking into account the repurchases effected during November and December 2024, as of December 31, 2024, under our additional repurchase program, there was $43.1 million that remained available for further repurchases under the board authorization for that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the ordinary shares repurchased by us under our two repurchase programs during 2024. We have omitted from the table those months during which no repurchases were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Part of the</w:t>
            </w: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45"/>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 Share (*)</w:t>
            </w:r>
          </w:p>
        </w:tc>
        <w:tc>
          <w:tcPr>
            <w:tcW w:w="16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Programs ($)</w:t>
            </w:r>
          </w:p>
        </w:tc>
      </w:tr>
      <w:tr>
        <w:trPr>
          <w:trHeight w:val="283"/>
        </w:trPr>
        <w:tc>
          <w:tcPr>
            <w:tcW w:w="5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2024- February 28, 2024</w:t>
            </w:r>
          </w:p>
        </w:tc>
        <w:tc>
          <w:tcPr>
            <w:tcW w:w="140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354,944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18.68</w:t>
            </w: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354,944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18"/>
                <w:szCs w:val="18"/>
                <w:color w:val="auto"/>
              </w:rPr>
              <w:t>12,602,334</w:t>
            </w:r>
            <w:r>
              <w:rPr>
                <w:rFonts w:ascii="Times New Roman" w:cs="Times New Roman" w:eastAsia="Times New Roman" w:hAnsi="Times New Roman"/>
                <w:sz w:val="34"/>
                <w:szCs w:val="34"/>
                <w:color w:val="auto"/>
                <w:vertAlign w:val="superscript"/>
              </w:rPr>
              <w:t>(1)</w:t>
            </w:r>
          </w:p>
        </w:tc>
      </w:tr>
      <w:tr>
        <w:trPr>
          <w:trHeight w:val="29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2024-March 31, 2024</w:t>
            </w:r>
          </w:p>
        </w:tc>
        <w:tc>
          <w:tcPr>
            <w:tcW w:w="140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69,100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w:t>
            </w: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69,100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11,374,425</w:t>
            </w:r>
            <w:r>
              <w:rPr>
                <w:rFonts w:ascii="Times New Roman" w:cs="Times New Roman" w:eastAsia="Times New Roman" w:hAnsi="Times New Roman"/>
                <w:sz w:val="34"/>
                <w:szCs w:val="34"/>
                <w:color w:val="auto"/>
                <w:vertAlign w:val="superscript"/>
              </w:rPr>
              <w:t>(1)</w:t>
            </w:r>
          </w:p>
        </w:tc>
      </w:tr>
      <w:tr>
        <w:trPr>
          <w:trHeight w:val="30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2024- May 31, 2024</w:t>
            </w:r>
          </w:p>
        </w:tc>
        <w:tc>
          <w:tcPr>
            <w:tcW w:w="140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82,881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14.30</w:t>
            </w: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82,881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10,188,894</w:t>
            </w:r>
            <w:r>
              <w:rPr>
                <w:rFonts w:ascii="Times New Roman" w:cs="Times New Roman" w:eastAsia="Times New Roman" w:hAnsi="Times New Roman"/>
                <w:sz w:val="32"/>
                <w:szCs w:val="32"/>
                <w:color w:val="auto"/>
                <w:vertAlign w:val="superscript"/>
              </w:rPr>
              <w:t>(1)</w:t>
            </w:r>
          </w:p>
        </w:tc>
      </w:tr>
      <w:tr>
        <w:trPr>
          <w:trHeight w:val="264"/>
        </w:trPr>
        <w:tc>
          <w:tcPr>
            <w:tcW w:w="55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November 1, 2024- November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986,194</w:t>
            </w:r>
          </w:p>
        </w:tc>
        <w:tc>
          <w:tcPr>
            <w:tcW w:w="280" w:type="dxa"/>
            <w:vAlign w:val="bottom"/>
            <w:tcBorders>
              <w:top w:val="single" w:sz="8" w:color="CCEEFF"/>
              <w:bottom w:val="single" w:sz="8" w:color="CCEEFF"/>
            </w:tcBorders>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986,194</w:t>
            </w:r>
          </w:p>
        </w:tc>
        <w:tc>
          <w:tcPr>
            <w:tcW w:w="320" w:type="dxa"/>
            <w:vAlign w:val="bottom"/>
            <w:tcBorders>
              <w:top w:val="single" w:sz="8" w:color="CCEEFF"/>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c>
          <w:tcPr>
            <w:tcW w:w="1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70,000,000</w:t>
            </w:r>
            <w:r>
              <w:rPr>
                <w:rFonts w:ascii="Times New Roman" w:cs="Times New Roman" w:eastAsia="Times New Roman" w:hAnsi="Times New Roman"/>
                <w:sz w:val="29"/>
                <w:szCs w:val="29"/>
                <w:color w:val="auto"/>
                <w:vertAlign w:val="superscript"/>
              </w:rPr>
              <w:t>(3)</w:t>
            </w:r>
          </w:p>
        </w:tc>
      </w:tr>
      <w:tr>
        <w:trPr>
          <w:trHeight w:val="277"/>
        </w:trPr>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839,707</w:t>
            </w:r>
          </w:p>
        </w:tc>
        <w:tc>
          <w:tcPr>
            <w:tcW w:w="2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839,707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43,137,773</w:t>
            </w:r>
            <w:r>
              <w:rPr>
                <w:rFonts w:ascii="Times New Roman" w:cs="Times New Roman" w:eastAsia="Times New Roman" w:hAnsi="Times New Roman"/>
                <w:sz w:val="31"/>
                <w:szCs w:val="31"/>
                <w:color w:val="auto"/>
                <w:vertAlign w:val="superscript"/>
              </w:rPr>
              <w:t>(3)</w:t>
            </w:r>
          </w:p>
        </w:tc>
      </w:tr>
      <w:tr>
        <w:trPr>
          <w:trHeight w:val="28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 2024</w:t>
            </w:r>
          </w:p>
        </w:tc>
        <w:tc>
          <w:tcPr>
            <w:tcW w:w="140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2,332,826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28.25</w:t>
            </w: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2,332,826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Excluding commissions.</w:t>
      </w:r>
    </w:p>
    <w:p>
      <w:pPr>
        <w:spacing w:after="0" w:line="27" w:lineRule="exact"/>
        <w:rPr>
          <w:sz w:val="20"/>
          <w:szCs w:val="20"/>
          <w:color w:val="auto"/>
        </w:rPr>
      </w:pPr>
    </w:p>
    <w:p>
      <w:pPr>
        <w:jc w:val="both"/>
        <w:ind w:left="3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dollar amounts remaining available for repurchase under our original ($75 million) share repurchase program approved by our board of directors in August 2022. The last extension period for that program expired in July 2024, after which no further repurchases may be made. Consequently, the dollar value of ordinary shares that may yet be purchased under that original program dropped to $0 as of the end of July 2024.</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ordinary shares purchased under the ASR Agreement with Goldman Sachs, under our additional ($100 million) share repurchase program approved by our board of directors in September 2024.</w:t>
      </w:r>
    </w:p>
    <w:p>
      <w:pPr>
        <w:ind w:left="340" w:right="20" w:hanging="332"/>
        <w:spacing w:after="0" w:line="26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dollar amounts remaining available for repurchase under our additional ($100 million) share repurchase program approved by our board of directors in September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16F. </w:t>
      </w:r>
      <w:r>
        <w:rPr>
          <w:rFonts w:ascii="Times New Roman" w:cs="Times New Roman" w:eastAsia="Times New Roman" w:hAnsi="Times New Roman"/>
          <w:sz w:val="18"/>
          <w:szCs w:val="18"/>
          <w:b w:val="1"/>
          <w:bCs w:val="1"/>
          <w:u w:val="single" w:color="auto"/>
          <w:color w:val="auto"/>
        </w:rPr>
        <w:t>Change in Registrant’s Certifying Accountant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16G. </w:t>
      </w:r>
      <w:r>
        <w:rPr>
          <w:rFonts w:ascii="Times New Roman" w:cs="Times New Roman" w:eastAsia="Times New Roman" w:hAnsi="Times New Roman"/>
          <w:sz w:val="18"/>
          <w:szCs w:val="18"/>
          <w:b w:val="1"/>
          <w:bCs w:val="1"/>
          <w:u w:val="single" w:color="auto"/>
          <w:color w:val="auto"/>
        </w:rPr>
        <w:t>Corporate Governance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this Item 16G of Form 20-F.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jc w:val="both"/>
        <w:ind w:left="980" w:hanging="324"/>
        <w:spacing w:after="0" w:line="269"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requirement for shareholder meetings</w:t>
      </w:r>
      <w:r>
        <w:rPr>
          <w:rFonts w:ascii="Times New Roman" w:cs="Times New Roman" w:eastAsia="Times New Roman" w:hAnsi="Times New Roman"/>
          <w:sz w:val="18"/>
          <w:szCs w:val="18"/>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issued share capital, as required under the Nasdaq Listing Rules.</w:t>
      </w:r>
    </w:p>
    <w:p>
      <w:pPr>
        <w:spacing w:after="0" w:line="6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of Equity Compensation Plans</w:t>
      </w:r>
      <w:r>
        <w:rPr>
          <w:rFonts w:ascii="Times New Roman" w:cs="Times New Roman" w:eastAsia="Times New Roman" w:hAnsi="Times New Roman"/>
          <w:sz w:val="18"/>
          <w:szCs w:val="18"/>
          <w:color w:val="auto"/>
        </w:rPr>
        <w:t>: Pursuant to Israeli law, we seek shareholder approval for all corporate actions requiring such approval under the requirements of the Companies Law, which are different from, or in addition to, the requirements for seeking shareholder approval under Nasdaq Listing Rule 5635(c), which requires shareholder approval for the issuance of ordinary shares or other securities to officers, directors, employees or consultants under an equity compensation plan or arrangement, or for the adoption of, or a material amendment to, such a plan or arrangement. Israeli law only requires shareholder approval generally for an equity grant under a plan or arrangement for a director or the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16H. </w:t>
      </w:r>
      <w:r>
        <w:rPr>
          <w:rFonts w:ascii="Times New Roman" w:cs="Times New Roman" w:eastAsia="Times New Roman" w:hAnsi="Times New Roman"/>
          <w:sz w:val="18"/>
          <w:szCs w:val="18"/>
          <w:b w:val="1"/>
          <w:bCs w:val="1"/>
          <w:u w:val="single" w:color="auto"/>
          <w:color w:val="auto"/>
        </w:rPr>
        <w:t>Mine Safety 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16I. </w:t>
      </w:r>
      <w:r>
        <w:rPr>
          <w:rFonts w:ascii="Times New Roman" w:cs="Times New Roman" w:eastAsia="Times New Roman" w:hAnsi="Times New Roman"/>
          <w:sz w:val="18"/>
          <w:szCs w:val="18"/>
          <w:b w:val="1"/>
          <w:bCs w:val="1"/>
          <w:u w:val="single" w:color="auto"/>
          <w:color w:val="auto"/>
        </w:rPr>
        <w:t>Disclosure Regarding Foreign Jurisdictions that Prevent Inspections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16J. </w:t>
      </w:r>
      <w:r>
        <w:rPr>
          <w:rFonts w:ascii="Times New Roman" w:cs="Times New Roman" w:eastAsia="Times New Roman" w:hAnsi="Times New Roman"/>
          <w:sz w:val="18"/>
          <w:szCs w:val="18"/>
          <w:b w:val="1"/>
          <w:bCs w:val="1"/>
          <w:u w:val="single" w:color="auto"/>
          <w:color w:val="auto"/>
        </w:rPr>
        <w:t>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the registrant’s securities by directors, senior management, and employees that is reasonably designed to promote compliance with applicable insider trading laws, rules and regulations, and any listing standards applicable to us. A copy of our insider trading policy is filed as Exhibit 11.1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16K. </w:t>
      </w:r>
      <w:r>
        <w:rPr>
          <w:rFonts w:ascii="Times New Roman" w:cs="Times New Roman" w:eastAsia="Times New Roman" w:hAnsi="Times New Roman"/>
          <w:sz w:val="18"/>
          <w:szCs w:val="18"/>
          <w:b w:val="1"/>
          <w:bCs w:val="1"/>
          <w:u w:val="single" w:color="auto"/>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prioritize the management of cybersecurity risk and the protection of information across our enterprise by embedding data protection and cybersecurity risk management in our operations. Our processes for assessing, identifying, and managing material risks from cybersecurity threats have been integrated into our overall risk management system and processes.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foundation of this approach, we have implemented a layered governance structure to help assess, identify and manage cybersecurity risks. Our privacy and cybersecurity policies encompass incident response procedures, information security and vendor management. In order to help develop these policies and procedures, we monitor the privacy and cybersecurity laws, regulations and guidance applicable to us in the regions where we do business (including ISO27001, GDPR and CSL\DSL\PIPL), as well as proposed privacy and cybersecurity laws, regulations, guidance and emerging risks.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undergo penetration testing 3-4 times a year. With respect to third party service providers, we obligate our main information technology vendors to adhere to privacy and cybersecurity measures, and we perform risk assessments of vendors having access to our systems or sensitive personal data, including their ability to protect data from unauthorized access.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Item 3.D “Risk Factors,” our operations rely on the secure processing, storage and transmission of confidential and other information in our computer systems and networks. Computer viruses, hackers, employee or vendor misconduct, and other external hazards could expose our information systems and those of our vendors to security breaches, cybersecurity incidents or other disruptions, any of which could materially and adversely affect our business, including by way of disruption of operations resulting from inability to carry out manufacturing, sales activity, shipping and other business operations, financial losses due to direct costs associated with investigation, remediation, and legal fees and indirect costs may encompass increased insurance premiums, loss of business due to damaged reputation and the need for significant investments in cybersecurity measures post-incident. While we have experienced cybersecurity incidents, to date, we are not aware that we have experienced a material cybersecurity incident during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sophistication of cybersecurity threats, including through the use of artificial intelligence, continues to increase, and the controls and preventative actions we take to reduce the risk of cybersecurity incidents and protect our systems, including the regular testing of our cybersecurity incident response plan, may be insufficient. In addition, to the extent we use new technology that could result in greater operational efficiency such as artificial intelligence, we may further expose our computer systems to the risk of cybersecurity incidents.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2024, we obtained our first ISO 27001 certification, a globally recognized standard for information security management systems (ISMS). This milestone demonstrates our strong commitment to safeguarding sensitive information and aligning with industry best practices. The certification reflects our dedication to implementing robust security controls, mitigating risks, and building trust with customers, partners, and stakeholders by adhering to the highest standards of information security management.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successfully completed a Business Impact Analysis (BIA) phase, marking a critical milestone in establishing a comprehensive Business Continuity Plan (BCP). This achievement underscores Kornit’s proactive approach to identifying key business processes, assessing potential risks, and ensuring operational resilience in the face of disruptions.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overall risk management approach, we prioritize the identification and management of cybersecurity risk at several levels, including Board oversight, executive commitment and employee training and awareness. Our Audit Committee, comprised of independent directors from our Board, oversees the Board’s responsibilities relating to the operational (including information technology (IT) risks, business continuity and data security) risk affairs of the Company. Our Audit Committee is informed of such risks through quarterly reports from our group Chief Information Security Officer (CISO).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2024, Kornit appointed a new Chief Information Security Officer (CISO) with over 15 years of experience in the security field. Before joining Kornit the new CISO has held several senior security related positions in both the consulting industry and corporate environments. Our CISO oversees the implementation and compliance of our information security standards and mitigation of information security related risks. We also have a management level committee and a cybersecurity incident team who support our processes to assess and manage cybersecurity risk as follows:</w:t>
      </w:r>
    </w:p>
    <w:p>
      <w:pPr>
        <w:spacing w:after="0" w:line="180" w:lineRule="exact"/>
        <w:rPr>
          <w:sz w:val="20"/>
          <w:szCs w:val="20"/>
          <w:color w:val="auto"/>
        </w:rPr>
      </w:pPr>
    </w:p>
    <w:p>
      <w:pPr>
        <w:jc w:val="both"/>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security committee, co-chaired by the CISO and our CEO, brings together IT, legal and other function leads. The information security provides a forum for these cross-functional members of management to consider emerging cybersecurity risks; review, approve, and update policies and standards as appropriate; and promote cross-functional collaboration to manage cybersecurity and privacy risks across the enterprise.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incident team includes our CISO, CIO and other members of the IT department, is alerted as appropriate to cybersecurity incidents, natural disasters and business outages and involves executives of the Company, such as the General Counsel and senior management as needed.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CISO summarizes the information pertaining to information security committee’s activities as appropriate and reports to the Audit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employee level, we maintain an experienced information technology team who are tasked with implementing our privacy and cybersecurity program and support the CISO in carrying out reporting, security and mitigation functions. We also hold employee trainings on privacy and cybersecurity, records and information management, conduct phishing tests and generally seek to promote awareness of cybersecurity risk through communication and education of our employee population.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37"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18.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pages F-1 through F-51 appended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19.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4.10.4</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Amended and Restated Articles of Association of Kornit Digital Ltd.</w:t>
        </w:r>
        <w:r>
          <w:rPr>
            <w:rFonts w:ascii="Times New Roman" w:cs="Times New Roman" w:eastAsia="Times New Roman" w:hAnsi="Times New Roman"/>
            <w:sz w:val="29"/>
            <w:szCs w:val="29"/>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Specimen ordinary share certificate of Kornit Digital Ltd.</w:t>
        </w:r>
        <w:r>
          <w:rPr>
            <w:rFonts w:ascii="Times New Roman" w:cs="Times New Roman" w:eastAsia="Times New Roman" w:hAnsi="Times New Roman"/>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-635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Description of ordinary shares of Kornit Digital Ltd.#</w:t>
      </w:r>
    </w:p>
    <w:p>
      <w:pPr>
        <w:spacing w:after="0" w:line="190" w:lineRule="auto"/>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Form of Indemnification Agreement</w:t>
        </w:r>
        <w:r>
          <w:rPr>
            <w:rFonts w:ascii="Times New Roman" w:cs="Times New Roman" w:eastAsia="Times New Roman" w:hAnsi="Times New Roman"/>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0</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2012 Share Incentive Plan</w:t>
        </w:r>
        <w:r>
          <w:rPr>
            <w:rFonts w:ascii="Times New Roman" w:cs="Times New Roman" w:eastAsia="Times New Roman" w:hAnsi="Times New Roman"/>
            <w:sz w:val="29"/>
            <w:szCs w:val="29"/>
            <w:u w:val="single" w:color="auto"/>
            <w:color w:val="0000EE"/>
            <w:vertAlign w:val="superscript"/>
          </w:rPr>
          <w:t>(4)</w:t>
        </w:r>
      </w:hyperlink>
    </w:p>
    <w:p>
      <w:pPr>
        <w:spacing w:after="0" w:line="185" w:lineRule="auto"/>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2015 Incentive Compensation Plan</w:t>
        </w:r>
        <w:r>
          <w:rPr>
            <w:rFonts w:ascii="Times New Roman" w:cs="Times New Roman" w:eastAsia="Times New Roman" w:hAnsi="Times New Roman"/>
            <w:sz w:val="29"/>
            <w:szCs w:val="29"/>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2025 Share Incentive Plan#</w:t>
      </w:r>
    </w:p>
    <w:p>
      <w:pPr>
        <w:spacing w:after="0" w:line="191"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Kornit Digital Ltd. Compensation Policy</w:t>
        </w:r>
        <w:r>
          <w:rPr>
            <w:rFonts w:ascii="Times New Roman" w:cs="Times New Roman" w:eastAsia="Times New Roman" w:hAnsi="Times New Roman"/>
            <w:sz w:val="29"/>
            <w:szCs w:val="2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-635</wp:posOffset>
            </wp:positionV>
            <wp:extent cx="7132320" cy="1945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jc w:val="both"/>
        <w:spacing w:after="0" w:line="243" w:lineRule="auto"/>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English summary of the Office and Parking Space Lease Agreement dated as of December 17, 2007, by and between the Registrant and</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Industrial Building Corporation Ltd. as amended by Addendum, dated 2007, Addendum to Lease Agreement, dated 2007, Addendum to</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Lease Agreement, dated March 8, 2012, Addendum to Lease Agreement, dated 2012, Addendum to Lease Agreement, dated December</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19, 2012, Addendum to Lease Agreement, dated May 20, 2013, Addendum to Lease Agreement, dated January 12, 2014, Addendum to</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Lease Agreement, dated January 12, 2014, Addendum to Lease Agreement, dated December 27, 2015, Addendum to Lease Agreement,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dated December 28, 2015, Addendum to the Lease Agreement dated October 17, 2017, Addendum dated February 21, 2018, Addendum</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to the Lease Agreement, dated April 23, 2018, Addendum to the Lease Agreement dated December 26, 2018, Addendum to the Lease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Agreement, dated January 3, 2019, Addendum to the Lease Agreement dated September 16, 2019, Addendum to the Lease Agreement,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dated November 28, 2019, Addendum to the Lease Agreement dated February 9, 2020, Addendum to the Lease Agreement, dated June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28, 2020, Addendum to the Lease Agreement, dated April 13, 2021, Addendum to the Lease Agreement, dated April 13, 2021,</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Addendum to the Lease Agreement, dated June 21, 2021, Addendum to the Lease Agreement, dated July 27, 2021, Addendum to the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Lease Agreement, dated October 10, 2021, Addendum to the Lease Agreement, dated November 14, 2021, Addendum to the Lease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Agreement, dated December 28, 2021, Addendum to the Lease Agreement, dated December 28, 2021 and Addendum to the Lease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 xml:space="preserve">Agreement, dated April 28, 2022. </w:t>
        </w:r>
        <w:r>
          <w:rPr>
            <w:rFonts w:ascii="Times New Roman" w:cs="Times New Roman" w:eastAsia="Times New Roman" w:hAnsi="Times New Roman"/>
            <w:sz w:val="29"/>
            <w:szCs w:val="29"/>
            <w:u w:val="single" w:color="auto"/>
            <w:color w:val="0000EE"/>
            <w:vertAlign w:val="superscript"/>
          </w:rPr>
          <w:t>(7)</w:t>
        </w:r>
      </w:hyperlink>
    </w:p>
    <w:p>
      <w:pPr>
        <w:spacing w:after="0" w:line="2" w:lineRule="exact"/>
        <w:rPr>
          <w:rFonts w:ascii="Times New Roman" w:cs="Times New Roman" w:eastAsia="Times New Roman" w:hAnsi="Times New Roman"/>
          <w:sz w:val="18"/>
          <w:szCs w:val="18"/>
          <w:u w:val="single" w:color="auto"/>
          <w:color w:val="0000EE"/>
        </w:rPr>
      </w:pPr>
    </w:p>
    <w:p>
      <w:pPr>
        <w:jc w:val="both"/>
        <w:spacing w:after="0" w:line="239"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English summary of the Lease Agreement, dated March 25, 2010, by and between the Registrant and Benvenisti Engineering Ltd. as</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amended by Addendum to Lease Agreement, dated November 21, 2011, Addendum to Lease Agreement, dated September 16, 2014,</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Addendum to the Lease Agreement dated March 16, 2015, an Addendum to the Lease Agreement dated August 31, 2017, an Addendum</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to the Lease Agreement dated June 24, 2018 an Addendum to the Lease Agreement dated January 11, 2021, an Addendum to Lease</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 xml:space="preserve">Agreement dated March 10, 2021 and an Addendum to Lease Agreement dated September 13, 2021 </w:t>
        </w:r>
        <w:r>
          <w:rPr>
            <w:rFonts w:ascii="Times New Roman" w:cs="Times New Roman" w:eastAsia="Times New Roman" w:hAnsi="Times New Roman"/>
            <w:sz w:val="29"/>
            <w:szCs w:val="29"/>
            <w:u w:val="single" w:color="auto"/>
            <w:color w:val="0000EE"/>
            <w:vertAlign w:val="superscript"/>
          </w:rPr>
          <w:t>(8)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-857885</wp:posOffset>
            </wp:positionH>
            <wp:positionV relativeFrom="paragraph">
              <wp:posOffset>-23495</wp:posOffset>
            </wp:positionV>
            <wp:extent cx="71323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rFonts w:ascii="Times New Roman" w:cs="Times New Roman" w:eastAsia="Times New Roman" w:hAnsi="Times New Roman"/>
          <w:sz w:val="16"/>
          <w:szCs w:val="16"/>
          <w:u w:val="single" w:color="auto"/>
          <w:color w:val="0000EE"/>
        </w:rPr>
      </w:pPr>
      <w:hyperlink r:id="rId144">
        <w:r>
          <w:rPr>
            <w:rFonts w:ascii="Times New Roman" w:cs="Times New Roman" w:eastAsia="Times New Roman" w:hAnsi="Times New Roman"/>
            <w:sz w:val="16"/>
            <w:szCs w:val="16"/>
            <w:u w:val="single" w:color="auto"/>
            <w:color w:val="0000EE"/>
          </w:rPr>
          <w:t>OEM Supply Agreement, dated December 3, 2015, among the Registrant and FujiFilm Dimatix, Inc.</w:t>
        </w:r>
        <w:r>
          <w:rPr>
            <w:rFonts w:ascii="Times New Roman" w:cs="Times New Roman" w:eastAsia="Times New Roman" w:hAnsi="Times New Roman"/>
            <w:sz w:val="25"/>
            <w:szCs w:val="25"/>
            <w:u w:val="single" w:color="auto"/>
            <w:color w:val="0000EE"/>
            <w:vertAlign w:val="superscript"/>
          </w:rPr>
          <w:t>†(9)</w:t>
        </w:r>
      </w:hyperlink>
    </w:p>
    <w:p>
      <w:pPr>
        <w:spacing w:after="0"/>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Manufacturing Services Agreement, dated May 2015, by and between the Registrant and Flex (formerly known as Flextronics (Israel)</w:t>
        </w:r>
      </w:hyperlink>
    </w:p>
    <w:p>
      <w:pPr>
        <w:spacing w:after="0" w:line="190" w:lineRule="auto"/>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Ltd.)</w:t>
        </w:r>
        <w:r>
          <w:rPr>
            <w:rFonts w:ascii="Times New Roman" w:cs="Times New Roman" w:eastAsia="Times New Roman" w:hAnsi="Times New Roman"/>
            <w:sz w:val="29"/>
            <w:szCs w:val="29"/>
            <w:u w:val="single" w:color="auto"/>
            <w:color w:val="0000EE"/>
            <w:vertAlign w:val="superscript"/>
          </w:rPr>
          <w:t>†(10)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-857885</wp:posOffset>
            </wp:positionH>
            <wp:positionV relativeFrom="paragraph">
              <wp:posOffset>0</wp:posOffset>
            </wp:positionV>
            <wp:extent cx="713232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Master Purchase Agreement, dated January 10, 2017, between the Registrant and Amazon Corporate LLC</w:t>
        </w:r>
        <w:r>
          <w:rPr>
            <w:rFonts w:ascii="Times New Roman" w:cs="Times New Roman" w:eastAsia="Times New Roman" w:hAnsi="Times New Roman"/>
            <w:sz w:val="29"/>
            <w:szCs w:val="29"/>
            <w:u w:val="single" w:color="auto"/>
            <w:color w:val="0000EE"/>
            <w:vertAlign w:val="superscript"/>
          </w:rPr>
          <w:t>†(11)</w:t>
        </w:r>
      </w:hyperlink>
    </w:p>
    <w:p>
      <w:pPr>
        <w:spacing w:after="0" w:line="185" w:lineRule="auto"/>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Amendment 1 to Master Purchase Agreement, effective March 1, 2017, between the Registrant and Amazon Corporate LLC*</w:t>
        </w:r>
        <w:r>
          <w:rPr>
            <w:rFonts w:ascii="Times New Roman" w:cs="Times New Roman" w:eastAsia="Times New Roman" w:hAnsi="Times New Roman"/>
            <w:sz w:val="29"/>
            <w:szCs w:val="29"/>
            <w:u w:val="single" w:color="auto"/>
            <w:color w:val="0000EE"/>
            <w:vertAlign w:val="superscript"/>
          </w:rPr>
          <w:t>(12)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-857885</wp:posOffset>
            </wp:positionH>
            <wp:positionV relativeFrom="paragraph">
              <wp:posOffset>0</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4" w:lineRule="auto"/>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Amendment 2 to Master Purchase Agreement, effective January 1, 2018, between the Registrant and Amazon Corporate LLC*</w:t>
        </w:r>
        <w:r>
          <w:rPr>
            <w:rFonts w:ascii="Times New Roman" w:cs="Times New Roman" w:eastAsia="Times New Roman" w:hAnsi="Times New Roman"/>
            <w:sz w:val="29"/>
            <w:szCs w:val="29"/>
            <w:u w:val="single" w:color="auto"/>
            <w:color w:val="0000EE"/>
            <w:vertAlign w:val="superscript"/>
          </w:rPr>
          <w:t>(13)</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Amendment 3 to Master Purchase Agreement, effective June 29, 2018, between the Registrant and Amazon Corporate LLC*</w:t>
        </w:r>
      </w:hyperlink>
      <w:r>
        <w:rPr>
          <w:rFonts w:ascii="Times New Roman" w:cs="Times New Roman" w:eastAsia="Times New Roman" w:hAnsi="Times New Roman"/>
          <w:sz w:val="29"/>
          <w:szCs w:val="29"/>
          <w:u w:val="single" w:color="auto"/>
          <w:color w:val="0000EE"/>
          <w:vertAlign w:val="superscript"/>
        </w:rPr>
        <w:t>(14)</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0" w:space="720"/>
            <w:col w:w="9880"/>
          </w:cols>
          <w:pgMar w:left="320" w:top="873" w:right="339" w:bottom="1440" w:gutter="0" w:footer="0" w:header="0"/>
          <w:type w:val="continuous"/>
        </w:sectPr>
      </w:pPr>
    </w:p>
    <w:p>
      <w:pPr>
        <w:spacing w:after="0" w:line="135"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4.10.5</w:t>
            </w:r>
          </w:p>
        </w:tc>
        <w:tc>
          <w:tcPr>
            <w:tcW w:w="9420" w:type="dxa"/>
            <w:vAlign w:val="bottom"/>
            <w:tcBorders>
              <w:bottom w:val="single" w:sz="8" w:color="CCEEFF"/>
            </w:tcBorders>
            <w:gridSpan w:val="17"/>
            <w:vMerge w:val="restart"/>
            <w:shd w:val="clear" w:color="auto" w:fill="CCEEFF"/>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4 to Master Purchase Agreement, effective January 1, 2020, between the Registrant and Amazon.com Services LLC*</w:t>
              </w:r>
            </w:hyperlink>
          </w:p>
        </w:tc>
        <w:tc>
          <w:tcPr>
            <w:tcW w:w="260" w:type="dxa"/>
            <w:vAlign w:val="bottom"/>
            <w:tcBorders>
              <w:bottom w:val="single" w:sz="8" w:color="0000EE"/>
            </w:tcBorders>
            <w:gridSpan w:val="3"/>
            <w:shd w:val="clear" w:color="auto" w:fill="CCEEFF"/>
          </w:tcPr>
          <w:p>
            <w:pPr>
              <w:jc w:val="right"/>
              <w:spacing w:after="0"/>
              <w:rPr>
                <w:rFonts w:ascii="Times New Roman" w:cs="Times New Roman" w:eastAsia="Times New Roman" w:hAnsi="Times New Roman"/>
                <w:sz w:val="15"/>
                <w:szCs w:val="15"/>
                <w:color w:val="0000EE"/>
                <w:w w:val="95"/>
              </w:rPr>
            </w:pPr>
            <w:hyperlink r:id="rId153">
              <w:r>
                <w:rPr>
                  <w:rFonts w:ascii="Times New Roman" w:cs="Times New Roman" w:eastAsia="Times New Roman" w:hAnsi="Times New Roman"/>
                  <w:sz w:val="15"/>
                  <w:szCs w:val="15"/>
                  <w:color w:val="0000EE"/>
                  <w:w w:val="95"/>
                </w:rPr>
                <w:t>(15)</w:t>
              </w:r>
            </w:hyperlink>
          </w:p>
        </w:tc>
        <w:tc>
          <w:tcPr>
            <w:tcW w:w="120" w:type="dxa"/>
            <w:vAlign w:val="bottom"/>
            <w:tcBorders>
              <w:bottom w:val="single" w:sz="8" w:color="CCEEFF"/>
            </w:tcBorders>
            <w:vMerge w:val="restart"/>
            <w:shd w:val="clear" w:color="auto" w:fill="CCEEFF"/>
          </w:tcPr>
          <w:p>
            <w:pPr>
              <w:spacing w:after="0"/>
              <w:rPr>
                <w:sz w:val="16"/>
                <w:szCs w:val="16"/>
                <w:color w:val="auto"/>
              </w:rPr>
            </w:pPr>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360" w:type="dxa"/>
            <w:vAlign w:val="bottom"/>
            <w:tcBorders>
              <w:bottom w:val="single" w:sz="8" w:color="CCEEFF"/>
            </w:tcBorders>
            <w:vMerge w:val="continue"/>
            <w:shd w:val="clear" w:color="auto" w:fill="CCEEFF"/>
          </w:tcPr>
          <w:p>
            <w:pPr>
              <w:spacing w:after="0"/>
              <w:rPr>
                <w:sz w:val="5"/>
                <w:szCs w:val="5"/>
                <w:color w:val="auto"/>
              </w:rPr>
            </w:pPr>
          </w:p>
        </w:tc>
        <w:tc>
          <w:tcPr>
            <w:tcW w:w="9420" w:type="dxa"/>
            <w:vAlign w:val="bottom"/>
            <w:tcBorders>
              <w:bottom w:val="single" w:sz="8" w:color="0000EE"/>
            </w:tcBorders>
            <w:gridSpan w:val="17"/>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4.10.6</w:t>
            </w:r>
          </w:p>
        </w:tc>
        <w:tc>
          <w:tcPr>
            <w:tcW w:w="9580" w:type="dxa"/>
            <w:vAlign w:val="bottom"/>
            <w:tcBorders>
              <w:top w:val="single" w:sz="8" w:color="CCEEFF"/>
              <w:bottom w:val="single" w:sz="8" w:color="CCEEFF"/>
            </w:tcBorders>
            <w:gridSpan w:val="19"/>
            <w:vMerge w:val="restart"/>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Amendment 5 to Master Purchase Agreement, effective September 1, 2020, between the Registrant and Amazon.com Services LLC*</w:t>
              </w:r>
            </w:hyperlink>
          </w:p>
        </w:tc>
        <w:tc>
          <w:tcPr>
            <w:tcW w:w="260" w:type="dxa"/>
            <w:vAlign w:val="bottom"/>
            <w:tcBorders>
              <w:top w:val="single" w:sz="8" w:color="CCEEFF"/>
              <w:bottom w:val="single" w:sz="8" w:color="0000EE"/>
            </w:tcBorders>
            <w:gridSpan w:val="4"/>
          </w:tcPr>
          <w:p>
            <w:pPr>
              <w:jc w:val="right"/>
              <w:spacing w:after="0" w:line="129"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(16)</w:t>
              </w:r>
            </w:hyperlink>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9580" w:type="dxa"/>
            <w:vAlign w:val="bottom"/>
            <w:tcBorders>
              <w:bottom w:val="single" w:sz="8" w:color="0000EE"/>
            </w:tcBorders>
            <w:gridSpan w:val="19"/>
            <w:vMerge w:val="continue"/>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4.10.7</w:t>
            </w:r>
          </w:p>
        </w:tc>
        <w:tc>
          <w:tcPr>
            <w:tcW w:w="9560" w:type="dxa"/>
            <w:vAlign w:val="bottom"/>
            <w:tcBorders>
              <w:bottom w:val="single" w:sz="8" w:color="CCEEFF"/>
            </w:tcBorders>
            <w:gridSpan w:val="18"/>
            <w:vMerge w:val="restart"/>
            <w:shd w:val="clear" w:color="auto" w:fill="CCEEFF"/>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Amendment 6 to Master Purchase Agreement, effective February 15, 2021, between the Registrant and Amazon.com Services LLC*</w:t>
              </w:r>
            </w:hyperlink>
          </w:p>
        </w:tc>
        <w:tc>
          <w:tcPr>
            <w:tcW w:w="240" w:type="dxa"/>
            <w:vAlign w:val="bottom"/>
            <w:tcBorders>
              <w:bottom w:val="single" w:sz="8" w:color="0000EE"/>
            </w:tcBorders>
            <w:gridSpan w:val="3"/>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155">
              <w:r>
                <w:rPr>
                  <w:rFonts w:ascii="Times New Roman" w:cs="Times New Roman" w:eastAsia="Times New Roman" w:hAnsi="Times New Roman"/>
                  <w:sz w:val="14"/>
                  <w:szCs w:val="14"/>
                  <w:color w:val="0000EE"/>
                  <w:w w:val="94"/>
                </w:rPr>
                <w:t>(17)</w:t>
              </w:r>
            </w:hyperlink>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360" w:type="dxa"/>
            <w:vAlign w:val="bottom"/>
            <w:tcBorders>
              <w:bottom w:val="single" w:sz="8" w:color="CCEEFF"/>
            </w:tcBorders>
            <w:vMerge w:val="continue"/>
            <w:shd w:val="clear" w:color="auto" w:fill="CCEEFF"/>
          </w:tcPr>
          <w:p>
            <w:pPr>
              <w:spacing w:after="0"/>
              <w:rPr>
                <w:sz w:val="5"/>
                <w:szCs w:val="5"/>
                <w:color w:val="auto"/>
              </w:rPr>
            </w:pPr>
          </w:p>
        </w:tc>
        <w:tc>
          <w:tcPr>
            <w:tcW w:w="9560" w:type="dxa"/>
            <w:vAlign w:val="bottom"/>
            <w:tcBorders>
              <w:bottom w:val="single" w:sz="8" w:color="0000EE"/>
            </w:tcBorders>
            <w:gridSpan w:val="18"/>
            <w:vMerge w:val="continue"/>
            <w:shd w:val="clear" w:color="auto" w:fill="CCEEFF"/>
          </w:tcPr>
          <w:p>
            <w:pPr>
              <w:spacing w:after="0"/>
              <w:rPr>
                <w:sz w:val="5"/>
                <w:szCs w:val="5"/>
                <w:color w:val="auto"/>
              </w:rPr>
            </w:pPr>
          </w:p>
        </w:tc>
        <w:tc>
          <w:tcPr>
            <w:tcW w:w="240" w:type="dxa"/>
            <w:vAlign w:val="bottom"/>
            <w:tcBorders>
              <w:bottom w:val="single" w:sz="8" w:color="CCEEFF"/>
            </w:tcBorders>
            <w:gridSpan w:val="3"/>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4.11</w:t>
            </w:r>
          </w:p>
        </w:tc>
        <w:tc>
          <w:tcPr>
            <w:tcW w:w="7080" w:type="dxa"/>
            <w:vAlign w:val="bottom"/>
            <w:tcBorders>
              <w:top w:val="single" w:sz="8" w:color="CCEEFF"/>
              <w:bottom w:val="single" w:sz="8" w:color="CCEEFF"/>
            </w:tcBorders>
            <w:gridSpan w:val="11"/>
            <w:vMerge w:val="restart"/>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Transaction Agreement, dated September 14, 2020, between the Registrant and Amazon.com, Inc.</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156">
              <w:r>
                <w:rPr>
                  <w:rFonts w:ascii="Times New Roman" w:cs="Times New Roman" w:eastAsia="Times New Roman" w:hAnsi="Times New Roman"/>
                  <w:sz w:val="14"/>
                  <w:szCs w:val="14"/>
                  <w:color w:val="0000EE"/>
                  <w:w w:val="94"/>
                </w:rPr>
                <w:t>(18)</w:t>
              </w:r>
            </w:hyperlink>
          </w:p>
        </w:tc>
        <w:tc>
          <w:tcPr>
            <w:tcW w:w="90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960" w:type="dxa"/>
            <w:vAlign w:val="bottom"/>
            <w:tcBorders>
              <w:top w:val="single" w:sz="8" w:color="CCEEFF"/>
              <w:bottom w:val="single" w:sz="8" w:color="CCEEFF"/>
            </w:tcBorders>
            <w:gridSpan w:val="6"/>
            <w:vMerge w:val="restart"/>
          </w:tcPr>
          <w:p>
            <w:pPr>
              <w:spacing w:after="0"/>
              <w:rPr>
                <w:sz w:val="12"/>
                <w:szCs w:val="12"/>
                <w:color w:val="auto"/>
              </w:rPr>
            </w:pPr>
          </w:p>
        </w:tc>
        <w:tc>
          <w:tcPr>
            <w:tcW w:w="4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7080" w:type="dxa"/>
            <w:vAlign w:val="bottom"/>
            <w:tcBorders>
              <w:bottom w:val="single" w:sz="8" w:color="0000EE"/>
            </w:tcBorders>
            <w:gridSpan w:val="11"/>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960" w:type="dxa"/>
            <w:vAlign w:val="bottom"/>
            <w:gridSpan w:val="6"/>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8620" w:type="dxa"/>
            <w:vAlign w:val="bottom"/>
            <w:tcBorders>
              <w:bottom w:val="single" w:sz="8" w:color="CCEEFF"/>
            </w:tcBorders>
            <w:gridSpan w:val="15"/>
            <w:vMerge w:val="restart"/>
            <w:shd w:val="clear" w:color="auto" w:fill="CCEEFF"/>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Warrant to Purchase Ordinary Shares, dated September 14, 2020, issued to Amazon.com NV Investment Holdings LLC</w:t>
              </w:r>
            </w:hyperlink>
          </w:p>
        </w:tc>
        <w:tc>
          <w:tcPr>
            <w:tcW w:w="240" w:type="dxa"/>
            <w:vAlign w:val="bottom"/>
            <w:tcBorders>
              <w:bottom w:val="single" w:sz="8" w:color="0000EE"/>
            </w:tcBorders>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157">
              <w:r>
                <w:rPr>
                  <w:rFonts w:ascii="Times New Roman" w:cs="Times New Roman" w:eastAsia="Times New Roman" w:hAnsi="Times New Roman"/>
                  <w:sz w:val="14"/>
                  <w:szCs w:val="14"/>
                  <w:color w:val="0000EE"/>
                  <w:w w:val="94"/>
                </w:rPr>
                <w:t>(19)</w:t>
              </w:r>
            </w:hyperlink>
          </w:p>
        </w:tc>
        <w:tc>
          <w:tcPr>
            <w:tcW w:w="960" w:type="dxa"/>
            <w:vAlign w:val="bottom"/>
            <w:tcBorders>
              <w:bottom w:val="single" w:sz="8" w:color="CCEEFF"/>
            </w:tcBorders>
            <w:gridSpan w:val="6"/>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360" w:type="dxa"/>
            <w:vAlign w:val="bottom"/>
            <w:tcBorders>
              <w:bottom w:val="single" w:sz="8" w:color="CCEEFF"/>
            </w:tcBorders>
            <w:vMerge w:val="continue"/>
            <w:shd w:val="clear" w:color="auto" w:fill="CCEEFF"/>
          </w:tcPr>
          <w:p>
            <w:pPr>
              <w:spacing w:after="0"/>
              <w:rPr>
                <w:sz w:val="5"/>
                <w:szCs w:val="5"/>
                <w:color w:val="auto"/>
              </w:rPr>
            </w:pPr>
          </w:p>
        </w:tc>
        <w:tc>
          <w:tcPr>
            <w:tcW w:w="8620" w:type="dxa"/>
            <w:vAlign w:val="bottom"/>
            <w:tcBorders>
              <w:bottom w:val="single" w:sz="8" w:color="0000EE"/>
            </w:tcBorders>
            <w:gridSpan w:val="15"/>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gridSpan w:val="6"/>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4.13</w:t>
            </w:r>
          </w:p>
        </w:tc>
        <w:tc>
          <w:tcPr>
            <w:tcW w:w="8220" w:type="dxa"/>
            <w:vAlign w:val="bottom"/>
            <w:tcBorders>
              <w:top w:val="single" w:sz="8" w:color="CCEEFF"/>
              <w:bottom w:val="single" w:sz="8" w:color="CCEEFF"/>
            </w:tcBorders>
            <w:gridSpan w:val="13"/>
            <w:vMerge w:val="restart"/>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Lease, dated December 2017, between Kornit Digital North America, Inc. and Bonanno Real Estate Group I, L.P.</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158">
              <w:r>
                <w:rPr>
                  <w:rFonts w:ascii="Times New Roman" w:cs="Times New Roman" w:eastAsia="Times New Roman" w:hAnsi="Times New Roman"/>
                  <w:sz w:val="14"/>
                  <w:szCs w:val="14"/>
                  <w:color w:val="0000EE"/>
                  <w:w w:val="94"/>
                </w:rPr>
                <w:t>(20)</w:t>
              </w:r>
            </w:hyperlink>
          </w:p>
        </w:tc>
        <w:tc>
          <w:tcPr>
            <w:tcW w:w="1360" w:type="dxa"/>
            <w:vAlign w:val="bottom"/>
            <w:tcBorders>
              <w:top w:val="single" w:sz="8" w:color="CCEEFF"/>
              <w:bottom w:val="single" w:sz="8" w:color="CCEEFF"/>
            </w:tcBorders>
            <w:gridSpan w:val="8"/>
            <w:vMerge w:val="restart"/>
          </w:tcPr>
          <w:p>
            <w:pPr>
              <w:spacing w:after="0"/>
              <w:rPr>
                <w:sz w:val="12"/>
                <w:szCs w:val="12"/>
                <w:color w:val="auto"/>
              </w:rPr>
            </w:pPr>
          </w:p>
        </w:tc>
        <w:tc>
          <w:tcPr>
            <w:tcW w:w="4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8220" w:type="dxa"/>
            <w:vAlign w:val="bottom"/>
            <w:tcBorders>
              <w:bottom w:val="single" w:sz="8" w:color="0000EE"/>
            </w:tcBorders>
            <w:gridSpan w:val="13"/>
            <w:vMerge w:val="continue"/>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gridSpan w:val="8"/>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98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Manufacturing Services Agreement, dated as of February 26, 2019, by and between the Registrant and Sanmina-SCI Israel Medical</w:t>
              </w:r>
            </w:hyperlink>
          </w:p>
        </w:tc>
        <w:tc>
          <w:tcPr>
            <w:tcW w:w="0" w:type="dxa"/>
            <w:vAlign w:val="bottom"/>
          </w:tcPr>
          <w:p>
            <w:pPr>
              <w:spacing w:after="0"/>
              <w:rPr>
                <w:sz w:val="1"/>
                <w:szCs w:val="1"/>
                <w:color w:val="auto"/>
              </w:rPr>
            </w:pPr>
          </w:p>
        </w:tc>
      </w:tr>
      <w:tr>
        <w:trPr>
          <w:trHeight w:val="169"/>
        </w:trPr>
        <w:tc>
          <w:tcPr>
            <w:tcW w:w="13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restart"/>
            <w:shd w:val="clear" w:color="auto" w:fill="CCEEFF"/>
          </w:tcPr>
          <w:p>
            <w:pPr>
              <w:spacing w:after="0"/>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Systems Ltd.*</w:t>
              </w:r>
            </w:hyperlink>
          </w:p>
        </w:tc>
        <w:tc>
          <w:tcPr>
            <w:tcW w:w="260" w:type="dxa"/>
            <w:vAlign w:val="bottom"/>
            <w:tcBorders>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95"/>
              </w:rPr>
            </w:pPr>
            <w:hyperlink r:id="rId159">
              <w:r>
                <w:rPr>
                  <w:rFonts w:ascii="Times New Roman" w:cs="Times New Roman" w:eastAsia="Times New Roman" w:hAnsi="Times New Roman"/>
                  <w:sz w:val="15"/>
                  <w:szCs w:val="15"/>
                  <w:color w:val="0000EE"/>
                  <w:w w:val="95"/>
                </w:rPr>
                <w:t>(21)</w:t>
              </w:r>
            </w:hyperlink>
          </w:p>
        </w:tc>
        <w:tc>
          <w:tcPr>
            <w:tcW w:w="1180" w:type="dxa"/>
            <w:vAlign w:val="bottom"/>
            <w:tcBorders>
              <w:bottom w:val="single" w:sz="8" w:color="CCEEFF"/>
            </w:tcBorders>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spacing w:after="0"/>
              <w:rPr>
                <w:sz w:val="14"/>
                <w:szCs w:val="14"/>
                <w:color w:val="auto"/>
              </w:rPr>
            </w:pPr>
          </w:p>
        </w:tc>
        <w:tc>
          <w:tcPr>
            <w:tcW w:w="700" w:type="dxa"/>
            <w:vAlign w:val="bottom"/>
            <w:tcBorders>
              <w:bottom w:val="single" w:sz="8" w:color="CCEEFF"/>
            </w:tcBorders>
            <w:vMerge w:val="restart"/>
            <w:shd w:val="clear" w:color="auto" w:fill="CCEEFF"/>
          </w:tcPr>
          <w:p>
            <w:pPr>
              <w:spacing w:after="0"/>
              <w:rPr>
                <w:sz w:val="14"/>
                <w:szCs w:val="14"/>
                <w:color w:val="auto"/>
              </w:rPr>
            </w:pPr>
          </w:p>
        </w:tc>
        <w:tc>
          <w:tcPr>
            <w:tcW w:w="96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4960" w:type="dxa"/>
            <w:vAlign w:val="bottom"/>
            <w:tcBorders>
              <w:bottom w:val="single" w:sz="8" w:color="CCEEFF"/>
            </w:tcBorders>
            <w:gridSpan w:val="12"/>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36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0000EE"/>
            </w:tcBorders>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8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70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4960" w:type="dxa"/>
            <w:vAlign w:val="bottom"/>
            <w:tcBorders>
              <w:bottom w:val="single" w:sz="8" w:color="CCEEFF"/>
            </w:tcBorders>
            <w:gridSpan w:val="12"/>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9880" w:type="dxa"/>
            <w:vAlign w:val="bottom"/>
            <w:tcBorders>
              <w:top w:val="single" w:sz="8" w:color="CCEEFF"/>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 #</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98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 of the Registrant#</w:t>
            </w:r>
          </w:p>
        </w:tc>
        <w:tc>
          <w:tcPr>
            <w:tcW w:w="0" w:type="dxa"/>
            <w:vAlign w:val="bottom"/>
          </w:tcPr>
          <w:p>
            <w:pPr>
              <w:spacing w:after="0"/>
              <w:rPr>
                <w:sz w:val="1"/>
                <w:szCs w:val="1"/>
                <w:color w:val="auto"/>
              </w:rPr>
            </w:pP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98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pursuant to Securities Exchange Act Rules 13a-14(a) and 15d-14(a) as adopted pursuant to §302</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988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Certificate of Chief Financial Officer pursuant to Securities Exchange Act Rules 13a-14(a) and 15d-14(a) as adopted pursuant to §302 of</w:t>
            </w:r>
          </w:p>
        </w:tc>
        <w:tc>
          <w:tcPr>
            <w:tcW w:w="0" w:type="dxa"/>
            <w:vAlign w:val="bottom"/>
          </w:tcPr>
          <w:p>
            <w:pPr>
              <w:spacing w:after="0"/>
              <w:rPr>
                <w:sz w:val="1"/>
                <w:szCs w:val="1"/>
                <w:color w:val="auto"/>
              </w:rPr>
            </w:pPr>
          </w:p>
        </w:tc>
      </w:tr>
      <w:tr>
        <w:trPr>
          <w:trHeight w:val="217"/>
        </w:trPr>
        <w:tc>
          <w:tcPr>
            <w:tcW w:w="136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 #</w:t>
            </w:r>
          </w:p>
        </w:tc>
        <w:tc>
          <w:tcPr>
            <w:tcW w:w="7420" w:type="dxa"/>
            <w:vAlign w:val="bottom"/>
            <w:tcBorders>
              <w:bottom w:val="single" w:sz="8" w:color="CCEEFF"/>
            </w:tcBorders>
            <w:gridSpan w:val="2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988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and Chief Financial Officer pursuant to 18 U.S.C. §1350, as adopted pursuant to §906 of the</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furnished herewith #</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98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Kost Forer Gabbay &amp; Kasierer, a member firm of Ernst &amp; Young Global, an independent registered public accounting firm #</w:t>
            </w:r>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4600" w:type="dxa"/>
            <w:vAlign w:val="bottom"/>
            <w:gridSpan w:val="8"/>
            <w:vMerge w:val="restart"/>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Policy for the Recovery of Erroneously Awarded Compensation</w:t>
              </w:r>
            </w:hyperlink>
          </w:p>
        </w:tc>
        <w:tc>
          <w:tcPr>
            <w:tcW w:w="2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(22)</w:t>
              </w:r>
            </w:hyperlink>
          </w:p>
        </w:tc>
        <w:tc>
          <w:tcPr>
            <w:tcW w:w="5020" w:type="dxa"/>
            <w:vAlign w:val="bottom"/>
            <w:gridSpan w:val="1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460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0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1360" w:hanging="1352"/>
        <w:spacing w:after="0" w:line="261" w:lineRule="auto"/>
        <w:tabs>
          <w:tab w:leader="none" w:pos="1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Kornit Digital Ltd.’s Annual Report on Form 20-F for the year ended December 31, 2024 formatted in Inline XBRL (eXtensible Business Reporting Language): (i) Consolidated Balance Sheets at December 31, 2023 and 2024;</w:t>
      </w:r>
    </w:p>
    <w:p>
      <w:pPr>
        <w:ind w:left="1640" w:hanging="282"/>
        <w:spacing w:after="0"/>
        <w:tabs>
          <w:tab w:leader="none" w:pos="16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2022, 2023 and 2024; (iii) Consolidated Statements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Comprehensive Income (Loss) for the years ended December 31, 2022, 2023, and 2024; (iv) Statements of Shareholders’ Equity for the</w:t>
            </w:r>
          </w:p>
        </w:tc>
      </w:tr>
      <w:tr>
        <w:trPr>
          <w:trHeight w:val="216"/>
        </w:trPr>
        <w:tc>
          <w:tcPr>
            <w:tcW w:w="820" w:type="dxa"/>
            <w:vAlign w:val="bottom"/>
          </w:tcPr>
          <w:p>
            <w:pPr>
              <w:spacing w:after="0"/>
              <w:rPr>
                <w:sz w:val="18"/>
                <w:szCs w:val="18"/>
                <w:color w:val="auto"/>
              </w:rPr>
            </w:pP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years ended December 31, 2022, 2023, and 2024; (v) Consolidated Statements of Cash Flows for the years ended December 31, 2022,</w:t>
            </w:r>
          </w:p>
        </w:tc>
      </w:tr>
      <w:tr>
        <w:trPr>
          <w:trHeight w:val="216"/>
        </w:trPr>
        <w:tc>
          <w:tcPr>
            <w:tcW w:w="820" w:type="dxa"/>
            <w:vAlign w:val="bottom"/>
          </w:tcPr>
          <w:p>
            <w:pPr>
              <w:spacing w:after="0"/>
              <w:rPr>
                <w:sz w:val="18"/>
                <w:szCs w:val="18"/>
                <w:color w:val="auto"/>
              </w:rPr>
            </w:pP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and 2024; (vi) Notes to Consolidated Financial Statements, tagged as blocks of text; and (vii) Cover Page Interactive Data File. #</w:t>
            </w:r>
          </w:p>
        </w:tc>
      </w:tr>
      <w:tr>
        <w:trPr>
          <w:trHeight w:val="234"/>
        </w:trPr>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6"/>
              </w:rPr>
              <w:t>104</w:t>
            </w: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Inline Cover Page Interactive Data File (included in Exhibit 101).</w:t>
            </w:r>
          </w:p>
        </w:tc>
      </w:tr>
    </w:tbl>
    <w:p>
      <w:pPr>
        <w:spacing w:after="0" w:line="198" w:lineRule="exact"/>
        <w:rPr>
          <w:sz w:val="20"/>
          <w:szCs w:val="20"/>
          <w:color w:val="auto"/>
        </w:rPr>
      </w:pPr>
    </w:p>
    <w:p>
      <w:pPr>
        <w:ind w:left="460" w:hanging="452"/>
        <w:spacing w:after="0" w:line="261"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August 12, 2021 as Exhibit 99.1 to the Registrant’s Report of Foreign Private Issuer on Form 6-K and incorporated by reference herein.</w:t>
      </w:r>
    </w:p>
    <w:p>
      <w:pPr>
        <w:ind w:left="460" w:hanging="452"/>
        <w:spacing w:after="0" w:line="250"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10, 2015 as Exhibit 4.1 to Amendment No. 1 to the Registrant’s registration statement on Form F-1 (SEC File No. 333-202291) and incorporated by reference herein.</w:t>
      </w:r>
    </w:p>
    <w:p>
      <w:pPr>
        <w:ind w:left="460" w:right="20" w:hanging="452"/>
        <w:spacing w:after="0" w:line="250"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10, 2015 as Exhibit 10.3 to Amendment No. 1 to the Registrant’s registration statement on Form F-1 (SEC File No. 333-202291) and incorporated by reference herein.</w:t>
      </w:r>
    </w:p>
    <w:p>
      <w:pPr>
        <w:ind w:left="460" w:hanging="452"/>
        <w:spacing w:after="0" w:line="260"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February 25, 2015 as Exhibit 10.2 to the Registrant’s registration statement on Form F-1 (SEC File No. 333-202291) and incorporated by reference herein.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09" w:name="page110"/>
    <w:bookmarkEnd w:id="109"/>
    <w:p>
      <w:pPr>
        <w:ind w:left="452" w:hanging="452"/>
        <w:spacing w:after="0" w:line="261"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18, 2015 as Exhibit 10.21 to Amendment No. 3 to the Registrant’s registration statement on Form F-1 (SEC File No. 333-202291)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July 20, 2023 as Appendix A to the Registrant’s proxy statement for its 2023 annual general meeting of shareholders, attached as Exhibit 99.1 to the Registrant’s Report of Foreign Private Issuer on Form 6-K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4.5 to the Registrant’s Annual Report on Form 20-F for the year ended December 31, 2020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4.6 to the Registrant’s Annual Report on Form 20-F for the year ended December 31, 2020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April 14, 2016 as Exhibit 4.9 to Amendment No. 1 to the Registrant’s Annual Report on Form 20-F for the year ended December 31, 2015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4.11 to the Registrant’s Annual Report on Form 20-F for the year ended December 31, 2016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4.13 to the Registrant’s Annual Report on Form 20-F for the year ended December 31, 2016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4.11.2 to the Registrant’s Annual Report on Form 20-F for the year ended December 31, 2019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4.11.3 to the Registrant’s Annual Report on Form 20-F for the year ended December 31, 2019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4.11.4 to the Registrant’s Annual Report on Form 20-F for the year ended December 31, 2019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September 14, 2020 as Exhibit 10.2 to the Registrant’s Report of Foreign Private Issuer on Form 6-K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4.10.6 to the Registrant’s Annual Report on Form 20-F for the year ended December 31, 2020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25, 2021 as Exhibit 4.10.7 to the Registrant’s Annual Report on Form 20-F for the year ended December 31, 2020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September 14, 2020 as Exhibit 10.1 to the Registrant’s Report of Foreign Private Issuer on Form 6-K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furnished to the SEC on September 14, 2020 as Exhibit 4.1 to the Registrant’s Report of Foreign Private Issuer on Form 6-K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20, 2018 as Exhibit 4.16 to the Registrant’s Annual Report on Form 20-F for the year ended December 31, 2017 and incorporated by reference herein.</w:t>
      </w:r>
    </w:p>
    <w:p>
      <w:pPr>
        <w:ind w:left="452" w:hanging="452"/>
        <w:spacing w:after="0" w:line="25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23, 2020 as Exhibit 4.16 to the Registrant’s Annual Report on Form 20-F for the year ended December 31, 2019 and incorporated by reference herein.</w:t>
      </w:r>
    </w:p>
    <w:p>
      <w:pPr>
        <w:ind w:left="452" w:hanging="452"/>
        <w:spacing w:after="0" w:line="260" w:lineRule="auto"/>
        <w:tabs>
          <w:tab w:leader="none" w:pos="4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28, 2024 as Exhibit 97.1 to the Registrant’s Annual Report on Form 20-F for the year ended December 31, 2023 and incorporated by reference herein.</w:t>
      </w:r>
    </w:p>
    <w:p>
      <w:pPr>
        <w:spacing w:after="0" w:line="181" w:lineRule="exact"/>
        <w:rPr>
          <w:sz w:val="20"/>
          <w:szCs w:val="20"/>
          <w:color w:val="auto"/>
        </w:rPr>
      </w:pPr>
    </w:p>
    <w:p>
      <w:pPr>
        <w:ind w:left="452" w:hanging="452"/>
        <w:spacing w:after="0"/>
        <w:tabs>
          <w:tab w:leader="none" w:pos="4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452" w:hanging="452"/>
        <w:spacing w:after="0" w:line="266" w:lineRule="auto"/>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176" w:lineRule="exact"/>
        <w:rPr>
          <w:sz w:val="20"/>
          <w:szCs w:val="20"/>
          <w:color w:val="auto"/>
        </w:rPr>
      </w:pPr>
    </w:p>
    <w:p>
      <w:pPr>
        <w:ind w:left="5472" w:right="2440" w:hanging="5472"/>
        <w:spacing w:after="0" w:line="783" w:lineRule="auto"/>
        <w:tabs>
          <w:tab w:leader="none" w:pos="4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the rules of the Securities and Exchange Commission.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8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KORNIT DIGITAL LTD. AND SUBSIDIARIES</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8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40" w:type="dxa"/>
            <w:vAlign w:val="bottom"/>
            <w:gridSpan w:val="2"/>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8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40" w:type="dxa"/>
            <w:vAlign w:val="bottom"/>
            <w:gridSpan w:val="2"/>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Reports of Independent Registered Public Accounting Firm </w:t>
            </w:r>
            <w:r>
              <w:rPr>
                <w:rFonts w:ascii="Times New Roman" w:cs="Times New Roman" w:eastAsia="Times New Roman" w:hAnsi="Times New Roman"/>
                <w:sz w:val="18"/>
                <w:szCs w:val="18"/>
                <w:color w:val="0000EE"/>
              </w:rPr>
              <w:t>(PCAOB ID Number 1281)</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F-2</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F-4</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F-5</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F-6</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Operations</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F-7</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Comprehensive Income (Loss)</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F-8</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Shareholders’ Equity</w:t>
            </w:r>
          </w:p>
        </w:tc>
        <w:tc>
          <w:tcPr>
            <w:tcW w:w="11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F-9</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F-10</w:t>
            </w:r>
          </w:p>
        </w:tc>
        <w:tc>
          <w:tcPr>
            <w:tcW w:w="6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 F-11</w:t>
            </w:r>
          </w:p>
        </w:tc>
      </w:tr>
      <w:tr>
        <w:trPr>
          <w:trHeight w:val="216"/>
        </w:trPr>
        <w:tc>
          <w:tcPr>
            <w:tcW w:w="2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F-12</w:t>
            </w:r>
          </w:p>
        </w:tc>
        <w:tc>
          <w:tcPr>
            <w:tcW w:w="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F-51</w:t>
            </w:r>
          </w:p>
        </w:tc>
      </w:tr>
      <w:tr>
        <w:trPr>
          <w:trHeight w:val="432"/>
        </w:trPr>
        <w:tc>
          <w:tcPr>
            <w:tcW w:w="3340" w:type="dxa"/>
            <w:vAlign w:val="bottom"/>
            <w:tcBorders>
              <w:top w:val="single" w:sz="8" w:color="0000EE"/>
            </w:tcBorders>
            <w:gridSpan w:val="5"/>
          </w:tcPr>
          <w:p>
            <w:pPr>
              <w:spacing w:after="0"/>
              <w:rPr>
                <w:sz w:val="24"/>
                <w:szCs w:val="24"/>
                <w:color w:val="auto"/>
              </w:rPr>
            </w:pPr>
          </w:p>
        </w:tc>
        <w:tc>
          <w:tcPr>
            <w:tcW w:w="3280" w:type="dxa"/>
            <w:vAlign w:val="bottom"/>
            <w:tcBorders>
              <w:top w:val="single" w:sz="8" w:color="CCEEFF"/>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 - - - - - - - - - - - -</w:t>
            </w:r>
          </w:p>
        </w:tc>
        <w:tc>
          <w:tcPr>
            <w:tcW w:w="35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r>
      <w:tr>
        <w:trPr>
          <w:trHeight w:val="655"/>
        </w:trPr>
        <w:tc>
          <w:tcPr>
            <w:tcW w:w="2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jc w:val="center"/>
              <w:ind w:right="3360"/>
              <w:spacing w:after="0"/>
              <w:rPr>
                <w:sz w:val="20"/>
                <w:szCs w:val="20"/>
                <w:color w:val="auto"/>
              </w:rPr>
            </w:pPr>
            <w:r>
              <w:rPr>
                <w:rFonts w:ascii="Times New Roman" w:cs="Times New Roman" w:eastAsia="Times New Roman" w:hAnsi="Times New Roman"/>
                <w:sz w:val="18"/>
                <w:szCs w:val="18"/>
                <w:color w:val="auto"/>
                <w:w w:val="95"/>
              </w:rPr>
              <w:t>F-1</w:t>
            </w: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805815" cy="925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Kornit Digital Ltd. and subsidiaries (the “Company”) as of December 31, 2024 and 2023, the related consolidated statements of operations, comprehensive income (loss),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27,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left="21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7" w:lineRule="exact"/>
        <w:rPr>
          <w:sz w:val="20"/>
          <w:szCs w:val="20"/>
          <w:color w:val="auto"/>
        </w:rPr>
      </w:pPr>
    </w:p>
    <w:p>
      <w:pPr>
        <w:jc w:val="both"/>
        <w:ind w:left="2160" w:hanging="2145"/>
        <w:spacing w:after="0" w:line="261"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Company’s inventories totaled $60,342 thousand as of December 31, 2024.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net realizable value if those amounts are determined to be less than cost.</w:t>
      </w:r>
    </w:p>
    <w:p>
      <w:pPr>
        <w:spacing w:after="0" w:line="182"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 sales growth.</w:t>
      </w:r>
    </w:p>
    <w:p>
      <w:pPr>
        <w:spacing w:after="0" w:line="178"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internal controls over the</w:t>
      </w:r>
    </w:p>
    <w:p>
      <w:pPr>
        <w:spacing w:after="0" w:line="29" w:lineRule="exact"/>
        <w:rPr>
          <w:sz w:val="20"/>
          <w:szCs w:val="20"/>
          <w:color w:val="auto"/>
        </w:rPr>
      </w:pPr>
    </w:p>
    <w:p>
      <w:pPr>
        <w:ind w:left="2160" w:hanging="2145"/>
        <w:spacing w:after="0" w:line="260"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Company’s excess and obsolete inventory reserve process. This included management’s assessment of the assumptions and data underlying the excess and obsolete inventory valuation.</w:t>
      </w:r>
    </w:p>
    <w:p>
      <w:pPr>
        <w:spacing w:after="0" w:line="181" w:lineRule="exact"/>
        <w:rPr>
          <w:sz w:val="20"/>
          <w:szCs w:val="20"/>
          <w:color w:val="auto"/>
        </w:rPr>
      </w:pPr>
    </w:p>
    <w:p>
      <w:pPr>
        <w:jc w:val="both"/>
        <w:ind w:left="2160"/>
        <w:spacing w:after="0" w:line="256" w:lineRule="auto"/>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805815" cy="925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audited Kornit Digital Ltd and subsidiaries’ internal control over financial reporting as of December 31, 2024,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2024, based on the COSO criteria.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shareholders’ equity and cash flows for each of the three years in the period ended December 31, 2024, and the related notes and our report dated March 27,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205,934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 of allowances of $9,243 and $5,227,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67,712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615,389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522,387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fund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172,095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787,484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50,102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60,585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69,913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(see note 9)</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 Authorized: 200,000,000 shares at December 31, 2024 and 2023;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51,036,338 and 50,371,684 shares at December 31, 2024 and 2023, respectively; Outstanding: 46,051,461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47,719,633 shares at December 31, 2024 and 2023,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958,447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shares at cost, 4,984,877 and 2,652,051 ordinary shares at December 31, 2024 and 2023, respectively.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(121,691)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(116,734</w:t>
            </w:r>
          </w:p>
        </w:tc>
        <w:tc>
          <w:tcPr>
            <w:tcW w:w="240" w:type="dxa"/>
            <w:vAlign w:val="bottom"/>
          </w:tcPr>
          <w:p>
            <w:pPr>
              <w:spacing w:after="0"/>
              <w:rPr>
                <w:sz w:val="6"/>
                <w:szCs w:val="6"/>
                <w:color w:val="auto"/>
              </w:rPr>
            </w:pPr>
          </w:p>
        </w:tc>
        <w:tc>
          <w:tcPr>
            <w:tcW w:w="9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(99,934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787,484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161,045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222,502</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55,739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49,016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203,825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219,786</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271,518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125,935</w:t>
            </w: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50,366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61,313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112,063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152,829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175,018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91,762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66,957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96,500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56,026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71,067</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29,086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37,592</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129,077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154,488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(69,882)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22,350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(56,500)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(64,351)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(79,065)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(64,351)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available for sales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Losses (gains) reclassified into net loss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6,936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(gains) reclassified into net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(17,995)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(97,060)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9" w:name="page120"/>
    <w:bookmarkEnd w:id="119"/>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18"/>
                <w:szCs w:val="18"/>
                <w:color w:val="auto"/>
              </w:rPr>
            </w:pPr>
          </w:p>
        </w:tc>
        <w:tc>
          <w:tcPr>
            <w:tcW w:w="10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126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640" w:type="dxa"/>
            <w:vAlign w:val="bottom"/>
          </w:tcPr>
          <w:p>
            <w:pPr>
              <w:spacing w:after="0"/>
              <w:rPr>
                <w:sz w:val="21"/>
                <w:szCs w:val="21"/>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40" w:type="dxa"/>
            <w:vAlign w:val="bottom"/>
          </w:tcPr>
          <w:p>
            <w:pPr>
              <w:spacing w:after="0"/>
              <w:rPr>
                <w:sz w:val="21"/>
                <w:szCs w:val="21"/>
                <w:color w:val="auto"/>
              </w:rPr>
            </w:pPr>
          </w:p>
        </w:tc>
        <w:tc>
          <w:tcPr>
            <w:tcW w:w="8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4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6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21"/>
                <w:szCs w:val="21"/>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49,619,782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875,367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43,482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919,553</w:t>
            </w:r>
          </w:p>
        </w:tc>
        <w:tc>
          <w:tcPr>
            <w:tcW w:w="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 restricted stock</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333,833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22,999</w:t>
            </w:r>
          </w:p>
        </w:tc>
        <w:tc>
          <w:tcPr>
            <w:tcW w:w="2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22,999</w:t>
            </w:r>
          </w:p>
        </w:tc>
        <w:tc>
          <w:tcPr>
            <w:tcW w:w="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(17,995)</w:t>
            </w:r>
          </w:p>
        </w:tc>
      </w:tr>
      <w:tr>
        <w:trPr>
          <w:trHeight w:val="24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(79,065)</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(79,065)</w:t>
            </w:r>
          </w:p>
        </w:tc>
      </w:tr>
      <w:tr>
        <w:trPr>
          <w:trHeight w:val="203"/>
        </w:trPr>
        <w:tc>
          <w:tcPr>
            <w:tcW w:w="3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49,953,615</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921,695</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(17,424)</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(35,583)</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868,822</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16"/>
        </w:trPr>
        <w:tc>
          <w:tcPr>
            <w:tcW w:w="3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 restricted stock</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418,069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22,589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22,589</w:t>
            </w:r>
          </w:p>
        </w:tc>
        <w:tc>
          <w:tcPr>
            <w:tcW w:w="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13,842</w:t>
            </w:r>
          </w:p>
        </w:tc>
        <w:tc>
          <w:tcPr>
            <w:tcW w:w="2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13,842</w:t>
            </w:r>
          </w:p>
        </w:tc>
        <w:tc>
          <w:tcPr>
            <w:tcW w:w="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(2,652,051)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10,214</w:t>
            </w:r>
          </w:p>
        </w:tc>
        <w:tc>
          <w:tcPr>
            <w:tcW w:w="40" w:type="dxa"/>
            <w:vAlign w:val="bottom"/>
          </w:tcPr>
          <w:p>
            <w:pPr>
              <w:spacing w:after="0"/>
              <w:rPr>
                <w:sz w:val="18"/>
                <w:szCs w:val="18"/>
                <w:color w:val="auto"/>
              </w:rPr>
            </w:pPr>
          </w:p>
        </w:tc>
      </w:tr>
      <w:tr>
        <w:trPr>
          <w:trHeight w:val="25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(64,351)</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(64,351)</w:t>
            </w:r>
          </w:p>
        </w:tc>
      </w:tr>
      <w:tr>
        <w:trPr>
          <w:trHeight w:val="203"/>
        </w:trPr>
        <w:tc>
          <w:tcPr>
            <w:tcW w:w="3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47,719,633</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(55,770)</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958,447</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(99,934)</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795,667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16"/>
        </w:trPr>
        <w:tc>
          <w:tcPr>
            <w:tcW w:w="3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 restricted stock</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664,654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21,756</w:t>
            </w:r>
          </w:p>
        </w:tc>
        <w:tc>
          <w:tcPr>
            <w:tcW w:w="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3,273</w:t>
            </w:r>
          </w:p>
        </w:tc>
        <w:tc>
          <w:tcPr>
            <w:tcW w:w="2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3,273</w:t>
            </w:r>
          </w:p>
        </w:tc>
        <w:tc>
          <w:tcPr>
            <w:tcW w:w="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(2,332,826)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6,342</w:t>
            </w:r>
          </w:p>
        </w:tc>
        <w:tc>
          <w:tcPr>
            <w:tcW w:w="40" w:type="dxa"/>
            <w:vAlign w:val="bottom"/>
          </w:tcPr>
          <w:p>
            <w:pPr>
              <w:spacing w:after="0"/>
              <w:rPr>
                <w:sz w:val="18"/>
                <w:szCs w:val="18"/>
                <w:color w:val="auto"/>
              </w:rPr>
            </w:pPr>
          </w:p>
        </w:tc>
      </w:tr>
      <w:tr>
        <w:trPr>
          <w:trHeight w:val="24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r>
      <w:tr>
        <w:trPr>
          <w:trHeight w:val="210"/>
        </w:trPr>
        <w:tc>
          <w:tcPr>
            <w:tcW w:w="3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46,051,461</w:t>
            </w: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(121,691</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966,058</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(116,734</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726,899</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(64,351)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(79,065)</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14,700</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13,565</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19,080</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deducted from revenues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13,842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21,756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22,589</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22,649</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Realized loss (gain) on sale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4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28,173</w:t>
            </w: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(19,220)</w:t>
            </w: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11,028</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(29,004)</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(2,282)</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(6,492)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operating leases right-of-use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5,173</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Decrease in operating lease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(4,782)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(5,352)</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(6,491)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(26,948)</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2,456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(4,990)</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(9,020)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(10,547)</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 pay,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sale and disposal of property, plant and equipment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48,725</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(34,682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(99,347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(15,140)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(7,006)</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(18,042)</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of intangible assets and capitalization of software development costs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connection with acquisition, net of cash acquired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(investment in) short-term bank deposits, net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29,666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39,433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(265,865)</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22,994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56,641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20,522</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27,898</w:t>
            </w: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(62,673)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(33,977)</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(137,500)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31,488</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26,212</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(407,275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 of withholding taxes related to exercise of share-based awards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(84,055)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(55,770)</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(84,815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(4,602)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(64,992)</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(506,954)</w:t>
            </w:r>
          </w:p>
        </w:tc>
        <w:tc>
          <w:tcPr>
            <w:tcW w:w="0" w:type="dxa"/>
            <w:vAlign w:val="bottom"/>
          </w:tcPr>
          <w:p>
            <w:pPr>
              <w:spacing w:after="0"/>
              <w:rPr>
                <w:sz w:val="1"/>
                <w:szCs w:val="1"/>
                <w:color w:val="auto"/>
              </w:rPr>
            </w:pPr>
          </w:p>
        </w:tc>
      </w:tr>
      <w:tr>
        <w:trPr>
          <w:trHeight w:val="24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39,605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104,597</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611,551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35,003</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39,605</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104,597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600" w:type="dxa"/>
            <w:vAlign w:val="bottom"/>
            <w:tcBorders>
              <w:top w:val="single" w:sz="8" w:color="auto"/>
            </w:tcBorders>
          </w:tcPr>
          <w:p>
            <w:pPr>
              <w:spacing w:after="0"/>
              <w:rPr>
                <w:sz w:val="22"/>
                <w:szCs w:val="22"/>
                <w:color w:val="auto"/>
              </w:rPr>
            </w:pP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13,171</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transferred to be used as property, plant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Property, plant and equipment transferred to be used as inventory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 recognized with corresponding lease liability</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ind w:left="1300" w:hanging="320"/>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w:t>
      </w:r>
    </w:p>
    <w:p>
      <w:pPr>
        <w:spacing w:after="0" w:line="162" w:lineRule="exact"/>
        <w:rPr>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w:t>
      </w:r>
    </w:p>
    <w:p>
      <w:pPr>
        <w:spacing w:after="0" w:line="17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believes that the estimates, judgments and assumptions used are reasonable based upon information available at the time they are made. Actual results could differ from those estimates.</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ongoing basis, the Company’s management evaluates estimates, including those related to intangible assets and goodwill, tax assets and liabilities, fair values of share-based awards, inventory write-offs, warranty provision, allowance for credit losses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United States dollars:</w:t>
      </w:r>
    </w:p>
    <w:p>
      <w:pPr>
        <w:spacing w:after="0" w:line="225" w:lineRule="exact"/>
        <w:rPr>
          <w:rFonts w:ascii="Times New Roman" w:cs="Times New Roman" w:eastAsia="Times New Roman" w:hAnsi="Times New Roman"/>
          <w:sz w:val="18"/>
          <w:szCs w:val="18"/>
          <w:color w:val="auto"/>
        </w:rPr>
      </w:pPr>
    </w:p>
    <w:p>
      <w:pPr>
        <w:jc w:val="both"/>
        <w:ind w:left="13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Most of the revenues of the Company and its subsidiaries are denominated in U.S. dollars. The U.S. dollar is the primary currency of the economic environment in which the Company and its subsidiaries operate. Thus, the functional and reporting currency of the Company and its subsidiaries is the U.S. dollar. Accordingly, monetary accounts maintained in currencies other than the U.S.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statements of operations as financial income, net in the period in which the currency exchange rates change.</w:t>
      </w:r>
    </w:p>
    <w:p>
      <w:pPr>
        <w:spacing w:after="0" w:line="17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acquisition. Short-term bank deposits are presented at their cost.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an original maturity of more than three months but less than one year from the date of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investments in marketable securities in accordance with ASC 320, “Investments - Debt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179"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spacing w:after="0" w:line="179"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intend to sell the investments, nor is it more likely than not that the Company will be required to sell the investments before recovery of their amortized cost bases.</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marketable securities is adjusted for amortization of premium and accretion of discount to maturity, both of which, together with interest, are included in financial income, net.</w:t>
      </w:r>
    </w:p>
    <w:p>
      <w:pPr>
        <w:spacing w:after="0" w:line="161"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reporting period, the Company evaluates whether declines in fair value below amortized cost are due to expected credit losses, as well as the Company’s ability and intent to hold the investment until a forecasted recovery occurs in accordance with ASC 326, Financial Instrument- Credit losses. Allowance for credit losses on available-for-sale marketable securities are recognized in the Company’s consolidated statements of operations, and any remaining unrealized losses, net of taxes, are included in accumulated other comprehensive income (loss) in shareholders’ equity.</w:t>
      </w:r>
    </w:p>
    <w:p>
      <w:pPr>
        <w:spacing w:after="0" w:line="183"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recognize an allowance for credit losses on marketable securities for the years ended December 31, 2024 and 2022. During 2023 the Company recorded an allowance for credit losses on available-for-sale marketable securities of $93 , which was recognized in the Company’s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are measured at the lower of cost or net realizable value. The cost of inventories comprises cost of purchases and costs incurred in bringing the inventories to their present location and condition. Inventory write-off is measured as the difference between the cost of the inventory and net realizable value and is charged to cost of sales.</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inventories is determined as follows: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 on a first-in, first-out cost basis. Finished goods - materials, on a first-in, first-out cost basis and other direct manufacturing costs.</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provisions have been provided to cover risks arising from slow-moving items, technological obsolescence and excess inventories according to revenue forecasts.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2023 and 2022, the Company recorded inventory provisions and write-offs in a total amount of $4,607, $22,001 and $11,445, respectively.</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a part of inventory write-offs and provisions of $789 and $11,009, respectively was recorded as a result of the Company’s restructuring (see Note 2(ad)).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7 - 20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peripheral equipment</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7 - 33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Equipment on lease (*)</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60" w:hanging="452"/>
        <w:spacing w:after="0" w:line="28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on lease is stated at cost, net of accumulated depreciation. Depreciation is calculated using the straight-line method over the estimated useful life of the equipment on lease, which was determined to be 7 years.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records a write-off provision for any excess, lost or damaged equipment when warranted based on an assessment of the equipment. Write-offs for equipment are included in cost of revenues.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 (Cont.)</w:t>
      </w:r>
    </w:p>
    <w:p>
      <w:pPr>
        <w:spacing w:after="0" w:line="22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62" w:lineRule="exact"/>
        <w:rPr>
          <w:sz w:val="20"/>
          <w:szCs w:val="20"/>
          <w:color w:val="auto"/>
        </w:rPr>
      </w:pPr>
    </w:p>
    <w:p>
      <w:pPr>
        <w:ind w:left="460" w:hanging="452"/>
        <w:spacing w:after="0" w:line="282"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land consist of land and an ink manufacturing plant. In September 2018, the Company purchased the land which includes long-term leasehold rights, with a lease term of 49 years, which may be renewed for an additional 49 years. The manufacturing plant useful life is 25 years.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Lessee accounting:</w:t>
      </w:r>
    </w:p>
    <w:p>
      <w:pPr>
        <w:spacing w:after="0" w:line="225" w:lineRule="exact"/>
        <w:rPr>
          <w:sz w:val="20"/>
          <w:szCs w:val="20"/>
          <w:color w:val="auto"/>
        </w:rPr>
      </w:pPr>
    </w:p>
    <w:p>
      <w:pPr>
        <w:jc w:val="both"/>
        <w:ind w:left="196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Contracts containing a lease are further evaluated for classification as an operating or finance lease. In determining the lease’s classification, the Company assesses among other criteria: (i) if 75% or more of the remaining economic life of the underlying asset is a major part of the remaining economic life of that underlying asset; and (ii) if 90% or more of the fair value of the underlying asset comprises substantially all of the fair value of the underlying asset. Operating leases are included in operating lease right-of-use (“ROU”) assets, current operating lease liabilities and non-current operating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the commencement date based on the present value of lease payments according to their term. The Company also elected the practical expedient to not separate lease and non-lease components for its leases.</w:t>
      </w:r>
    </w:p>
    <w:p>
      <w:pPr>
        <w:spacing w:after="0" w:line="194"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The Company uses incremental borrowing rates based on the estimated rate of interest for collateralized borrowing over a similar term of the lease payments at commencement date. Lease terms may include options to extend or terminate the lease when it is reasonably certain that the Company will exercise that option. Lease expenses are recognized on a straight-line basis over the lease term or the useful life of the leased asset.</w:t>
      </w:r>
    </w:p>
    <w:p>
      <w:pPr>
        <w:spacing w:after="0" w:line="180"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In addition, the carrying amount of the ROU and lease liabilities are remeasured if there is a modification, a change in the lease term, a change in the in-substance fixed lease payments or a change in the assessment to purchase the underlying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in the statement of operations in the period incurred.</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reflects the excess of the purchase price of a business acquired over the fair value of net assets acquired. Under ASC No. 350, “Intangibles – Goodwill and other” (“ASC No. 350”), goodwill is not amortized but is tested for impairment at least annually or more frequently if events or changes in circumstances indicate that the carrying value may be impaired. The Company has elected to perform an annual impairment test of goodwill as of December 31 of each year, or more frequently if impairment indicators are present.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(Cont.)</w:t>
      </w:r>
    </w:p>
    <w:p>
      <w:pPr>
        <w:spacing w:after="0" w:line="225"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one operating segment and this segment comprises the Company’s sole reporting unit. ASC 350 allows an entity to first assess qualitative factors to determine whether it is necessary to perform the quantitative goodwill impairment test. If the qualitative assessment does not result in a more likely than not indication of impairment, no further impairment testing is required. If an entity elects not to use this option, or if an entity determines that it is more likely than not that the fair value of a reporting unit is less than its carrying value, then the entity prepares a quantitative analysis to determine whether the carrying value of a reporting unit exceeds its estimated fair value. If the carrying value of a reporting unit exceeds its estimated fair value, the entity recognizes an impairment of goodwill for the amount of this excess.</w:t>
      </w:r>
    </w:p>
    <w:p>
      <w:pPr>
        <w:spacing w:after="0" w:line="18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2023 and 2022, no impairment of goodwill was recorded.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long-lived assets are reviewed for impairment in accordance with ASC 360-10, “Property, Plant and Equipment,”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83"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and 2022, no impairment of long-lived assets and finite-lived intangible assets was recorded. For the year ended December 31, 2023, an impairment loss of $1,118, related to operating lease right-of-use assets was recorded as a result of the Company’s restructuring (see Note 2ad).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sales of systems, consumables and services, including software subscriptions and transaction-based revenues. The Company sells its products directly to end-users and indirectly through independent distributors, all of whom are considered end-users.</w:t>
      </w:r>
    </w:p>
    <w:p>
      <w:pPr>
        <w:spacing w:after="0" w:line="17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3"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products, which consist of systems and consumables, are recognized at the point in time when control has transferred, in accordance with the agreed-upon delivery terms. Revenues from services are derived mainly from the sale of print heads, spare parts, upgrade kits, service contracts and software subscriptions. The Company’s revenues from print heads, spare parts and upgrade kits revenues are recognized at the point in time when control has transferred. Service contracts and software subscriptions are recognized over time, on a straight-line basis, over the period of the service as the services have a consistent continuous pattern of transfer to a customer during the contract period.</w:t>
      </w:r>
    </w:p>
    <w:p>
      <w:pPr>
        <w:spacing w:after="0" w:line="187"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or service has been rendered. In most cases, the Company can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188"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training and installation as a separate performance obligation due to its immateriality in the context of its contracts. Accordingly, revenues from training and installation are recognized upon the delivery of its systems.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(Cont.)</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provides customer incentive programs in the form of product discounts, volume-based rebates and warrants (see also note 10f), which are accounted for as a variable consideration that are deducted from revenue in the period in which the revenue is recognized. These reductions to revenue are made based upon estimates that are determined according to historical experience and the specific terms and conditions of the incentive.</w:t>
      </w:r>
    </w:p>
    <w:p>
      <w:pPr>
        <w:spacing w:after="0" w:line="179"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provision for returns which is estimated, primarily based on historical experience as well as management judgment, and is recorded as a reduction of revenue. Such provision amounted to $1,243 and $1,166 as of December 31, 2024 and 2023, respectively, and is included under accrued expenses and other current liabilities in the consolidated balance sheets.</w:t>
      </w:r>
    </w:p>
    <w:p>
      <w:pPr>
        <w:spacing w:after="0" w:line="17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 include amounts received from customers for which revenue has not yet been recognized. Contract liabilities amounted to $2,357 and $2,218 as of December 31, 2024 and 2023, respectively, and are presented under deferred revenues and customers advances and other non-current liabilities. During the year ended December 31, 2024, the Company recognized revenues in amount of $2,158, which had been included in the contract liabilities balance on January 1, 2024.</w:t>
      </w:r>
    </w:p>
    <w:p>
      <w:pPr>
        <w:spacing w:after="0" w:line="179"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the Company’s customers trade-in old systems as part of a sale of new systems, the fair value of the old systems is recorded as inventory, provided that such value can be recovered.</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the Company’s independent distributors accounted for approximately 9%, 13% and 19% of 2024, 2023 and 2022 revenues,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(Cont.)</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represent contracted revenues that have not yet been recognized, and which includes deferred revenues and non-cancelable contracts that will be invoiced and recognized as revenue in future periods. The Company elected to apply the optional exemption under paragraph ASC 606-10-50-14(a) not to disclose the remaining performance obligations that relate to contracts with an original expected duration of one year or less for which deferred revenues have not been recorded yet.</w:t>
      </w:r>
    </w:p>
    <w:p>
      <w:pPr>
        <w:spacing w:after="0" w:line="179"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transaction price allocated to the remaining performance obligations was $4,422 as of December 31, 2024, which are expected to be satisfied and recognized in future periods as represented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2027 and</w:t>
            </w: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16"/>
        </w:trPr>
        <w:tc>
          <w:tcPr>
            <w:tcW w:w="7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 and software subscriptions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practical expedient for the financing component for transactions in which the difference between the payment date and the revenue recognition timing is up to 12 months. Payment terms between the Company and its payors are typically up to twelve months, and vary by the type of payer, country of sale and the products or services offered.</w:t>
      </w:r>
    </w:p>
    <w:p>
      <w:pPr>
        <w:spacing w:after="0" w:line="176" w:lineRule="exact"/>
        <w:rPr>
          <w:sz w:val="20"/>
          <w:szCs w:val="20"/>
          <w:color w:val="auto"/>
        </w:rPr>
      </w:pPr>
    </w:p>
    <w:p>
      <w:pPr>
        <w:ind w:left="1300" w:hanging="320"/>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fees charged to the Company’s customers are recognized as revenue in the period shipped and the related costs for providing these services are recorded as a cost of revenue.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is comprised mainly of cost of systems and parts, ink production, employees’ salaries and related costs, allocated overhead expenses, import taxes, inventory write-offs, royalties and shipping and handling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w:t>
      </w:r>
    </w:p>
    <w:p>
      <w:pPr>
        <w:spacing w:after="0" w:line="225" w:lineRule="exact"/>
        <w:rPr>
          <w:sz w:val="20"/>
          <w:szCs w:val="20"/>
          <w:color w:val="auto"/>
        </w:rPr>
      </w:pPr>
    </w:p>
    <w:p>
      <w:pPr>
        <w:jc w:val="both"/>
        <w:ind w:left="1300"/>
        <w:spacing w:after="0" w:line="281" w:lineRule="auto"/>
        <w:rPr>
          <w:sz w:val="20"/>
          <w:szCs w:val="20"/>
          <w:color w:val="auto"/>
        </w:rPr>
      </w:pPr>
      <w:r>
        <w:rPr>
          <w:rFonts w:ascii="Times New Roman" w:cs="Times New Roman" w:eastAsia="Times New Roman" w:hAnsi="Times New Roman"/>
          <w:sz w:val="17"/>
          <w:szCs w:val="17"/>
          <w:color w:val="auto"/>
        </w:rPr>
        <w:t>The Company typically provides assurance type standard warranty for six months on its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following are the changes in the liability for product warranty from January 1, 2023 to December 31, 2024:</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and adjustments to cost of revenues</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(3,087)</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and adjustments to cost of revenues</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320"/>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 of government grants, are charged to the statement of operations, as incurred, except for development expenses which are capitalized as described in note 2s.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use software:</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 use. These costs are capitalized based on the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costs incurred in a cloud computing arrangements that is a service contract:</w:t>
      </w:r>
    </w:p>
    <w:p>
      <w:pPr>
        <w:spacing w:after="0" w:line="225"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cloud computing arrangements (“CCA”) that are service contracts consist of an arrangement with third party vendors for internal use of their software applications that they host. The Company defers implementation costs incurred in relation to those arrangements, including costs for software application coding, configuration, integration and customization, while associated process reengineering, training, maintenance and data conversion costs are expensed. The short-term portion of deferred costs are included in prepaid expenses and other current assets in the consolidated balance sheets, while the long-term portion of deferred costs are included in other non-current assets. Amortized implementation costs incurred in CCA that are service contracts will be recognized using the straight-line method over the term of the hosting arrangement, up to eight years, which represents the noncancellable terms of the CCA, plus any optional renewal periods that the Company is reasonably certain to exercise. Deferred implementation costs are subject to assessment for potential impairment whenever events or changes in circumstances indicate that the carrying values may not be recoverable.</w:t>
      </w:r>
    </w:p>
    <w:p>
      <w:pPr>
        <w:spacing w:after="0" w:line="194"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implementation costs incurred in CCA amounted to $10,073, and $7,424 as of December 31, 2024 and 2023, respectively. Amortization of the implementation costs commenced on January 1, 2023.</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of the implementation costs for the years ended December 31, 2024, and 2023 were $1,366, and $848,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share-based compensation:</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share-based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79"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selected the binomial option pricing model as the most appropriate fair value method for its stock options awards with the following assumptions for the years ended December 31, 2024,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tcBorders>
              <w:bottom w:val="single" w:sz="8" w:color="auto"/>
            </w:tcBorders>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7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Suboptimal exercise multiple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4.01%-3.82%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4.26%-4.30%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3.02%-4.09%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58.29%-62.88%</w:t>
            </w:r>
          </w:p>
        </w:tc>
        <w:tc>
          <w:tcPr>
            <w:tcW w:w="1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57.75%-60.75%  58.67%-69.13%</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7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expected volatility is derived from the volatility of the Company’s share price based upon actual historical stock price movements. The computation of the suboptimal exercise multiple is derived from empirical studies, based on those studies, the early exercise factor of public companies is approximately 150% for managers and 100% for other employees. The interest rate for the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fair value of each restricted stock unit (“RSU”) including performance based RSUs (“PSU”) is the market value of a single ordinary share of the Company, as determined based on the closing price of the Company’s ordinary shares on the date immediately prior to the day of grant.</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w:t>
      </w:r>
    </w:p>
    <w:p>
      <w:pPr>
        <w:spacing w:after="0" w:line="225"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ASC No. 815, “Derivatives and Hedging” which requires companies to recognize all of their derivative instruments as either assets or liabilities in the balance sheets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spacing w:after="0" w:line="188"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derivative financial instruments, specifically foreign currency forward and option contracts, to manage exposure to foreign currency risks, by hedging a portion of the Company’s forecasted payroll and related expenses denominated in New Israeli Shekels that it expects to incur within a year. The effect of exchange rate changes on foreign currency hedging contracts is expected to partially offset the effect of exchange rate changes on the underlying hedged item.</w:t>
      </w:r>
    </w:p>
    <w:p>
      <w:pPr>
        <w:spacing w:after="0" w:line="179"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79"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61"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notional amounts:</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notional amounts for hedged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8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8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6220" w:type="dxa"/>
            <w:vAlign w:val="bottom"/>
            <w:gridSpan w:val="3"/>
            <w:shd w:val="clear" w:color="auto" w:fill="CCEEFF"/>
          </w:tcPr>
          <w:p>
            <w:pPr>
              <w:ind w:left="5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38,465</w:t>
            </w:r>
          </w:p>
        </w:tc>
      </w:tr>
      <w:tr>
        <w:trPr>
          <w:trHeight w:val="237"/>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Non-designated hedges</w:t>
            </w:r>
          </w:p>
        </w:tc>
        <w:tc>
          <w:tcPr>
            <w:tcW w:w="6220" w:type="dxa"/>
            <w:vAlign w:val="bottom"/>
            <w:gridSpan w:val="3"/>
          </w:tcPr>
          <w:p>
            <w:pPr>
              <w:ind w:left="5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48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color w:val="auto"/>
              </w:rPr>
              <w:t>F-25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 (Cont.)</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outstanding:</w:t>
      </w:r>
    </w:p>
    <w:p>
      <w:pPr>
        <w:spacing w:after="0" w:line="225"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fair value of the Company’s outstanding forward and option contracts amounted to $595 which are included within “Prepaid expenses and other current assets” and “accrued expenses and other current liabilities”, respectively, on the balance sheets. As of December 31, 2024 there was no outstanding forward and option contracts.</w:t>
      </w:r>
    </w:p>
    <w:p>
      <w:pPr>
        <w:spacing w:after="0" w:line="17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gains and losses</w:t>
      </w:r>
    </w:p>
    <w:p>
      <w:pPr>
        <w:spacing w:after="0" w:line="225"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expense (income) from derivatives instruments included in the consolidated statements of operations and reclassified from other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bl>
    <w:p>
      <w:pPr>
        <w:spacing w:after="0" w:line="179"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62"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The maximum length of time over which the Company hedges its exposure to the variability in future cash flows for forecasted transactions is less than 12 months.</w:t>
      </w:r>
    </w:p>
    <w:p>
      <w:pPr>
        <w:spacing w:after="0" w:line="162" w:lineRule="exact"/>
        <w:rPr>
          <w:sz w:val="20"/>
          <w:szCs w:val="20"/>
          <w:color w:val="auto"/>
        </w:rPr>
      </w:pPr>
    </w:p>
    <w:p>
      <w:pPr>
        <w:ind w:left="1300" w:hanging="320"/>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as non-current assets and liabilities, respectively.</w:t>
      </w:r>
    </w:p>
    <w:p>
      <w:pPr>
        <w:spacing w:after="0" w:line="187"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they bear a lower risk.</w:t>
      </w:r>
    </w:p>
    <w:p>
      <w:pPr>
        <w:spacing w:after="0" w:line="17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attempts to limit its exposure to interest rate risk by investing in securities with maturities of less than four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83"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receivables of the Company and its subsidiaries are mainly derived from sales to customers located in the United States, Europe, Asia Pacific and Latin America. The Company performs ongoing credit evaluations of its customers. In certain circumstances, the Company may require letters of credit from its customers, other collaterals or additional guarantees. The allowance for credit loss is based on the Company’s assessment of historical collection experience, customer creditworthiness, and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Doubtful debt expense is included in Sales and Marketing in the Consolidated Statements of Income (Loss). The allowance for credit loss as of December 31, 2024 and 2023, amounted to $9,243 and $5,227, respectively.</w:t>
      </w:r>
    </w:p>
    <w:p>
      <w:pPr>
        <w:spacing w:after="0" w:line="188"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2024 and 2023, current period provision allowance for credit loss amounted to $4,299 and $5,152, respectively, which was partially offset by a write-off amount of $283 and $663,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financial assets: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860 “Transfers and Servicing”, (“ASC 860”), establishes a standard for determining when a transfer of financial assets should be accounted for as a sale. The Company’s arrangements are such that the underlying conditions are met for the transfer of financial assets to qualify for accounting as a sale. The transfers of financial assets are typically performed by the factoring of receivables to two financial institutions.</w:t>
      </w:r>
    </w:p>
    <w:p>
      <w:pPr>
        <w:spacing w:after="0" w:line="179"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2023 and 2022, the Company sold trade receivables to financial institutions in a total net amount of $2,739, $2,262 and $616, respectively. Control and risk of those trade receivables were fully transferred in accordance with ASC 860. During the year ended December 31, 2024, 2023 and 2022, the Company recorded an aggregate amount of $340, $356 and $41, respectively, as financial expenses related to its factoring arrangements.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spacing w:after="0" w:line="183"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183"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Severance expenses for the years ended December 31, 2024, 2023 and 2022 were $3,066, $3,144 and $3,554, respectively.</w:t>
      </w:r>
    </w:p>
    <w:p>
      <w:pPr>
        <w:spacing w:after="0" w:line="225" w:lineRule="exact"/>
        <w:rPr>
          <w:sz w:val="20"/>
          <w:szCs w:val="20"/>
          <w:color w:val="auto"/>
        </w:rPr>
      </w:pPr>
    </w:p>
    <w:p>
      <w:pPr>
        <w:ind w:left="1300" w:hanging="320"/>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 (Cont.)</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fair value, the Company uses various valuation approaches. ASC No. 820 establishes a hierarchy for inputs used in measuring fair value that maximize the use of observable inputs and minimize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8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hierarchy is broken down into three levels based on the inputs as follows:</w:t>
      </w:r>
    </w:p>
    <w:p>
      <w:pPr>
        <w:spacing w:after="0" w:line="225" w:lineRule="exact"/>
        <w:rPr>
          <w:rFonts w:ascii="Times New Roman" w:cs="Times New Roman" w:eastAsia="Times New Roman" w:hAnsi="Times New Roman"/>
          <w:sz w:val="18"/>
          <w:szCs w:val="18"/>
          <w:color w:val="auto"/>
        </w:rPr>
      </w:pPr>
    </w:p>
    <w:p>
      <w:pPr>
        <w:ind w:left="2140" w:hanging="83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(unadjusted) in active markets for identical assets or liabilities that the Company can access at the measurement date.</w:t>
      </w:r>
    </w:p>
    <w:p>
      <w:pPr>
        <w:spacing w:after="0" w:line="161" w:lineRule="exact"/>
        <w:rPr>
          <w:rFonts w:ascii="Times New Roman" w:cs="Times New Roman" w:eastAsia="Times New Roman" w:hAnsi="Times New Roman"/>
          <w:sz w:val="18"/>
          <w:szCs w:val="18"/>
          <w:color w:val="auto"/>
        </w:rPr>
      </w:pPr>
    </w:p>
    <w:p>
      <w:pPr>
        <w:ind w:left="2140" w:right="20" w:hanging="83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one or more quoted prices in markets that are not active or for which all significant inputs are observable, either directly or indirectly.</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cash, cash equivalents, short term bank deposits, trade receivables, prepaid expenses and other current assets, trade payables and accrued expenses and other current liabilities approximates their fair value due to the short-term maturities of such instruments.</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ab. Basic and diluted earnings (losses) per share:</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Basic earnings No. 260,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the relevant ASC.</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all outstanding options and RSU’s of 2,752,644, 2,306,577 and 1,718,661, respectively, have been excluded from the calculation of the diluted earnings per share since their effect was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 Segment reporting:</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 Company identifies operating segments in accordance with ASC Topic 280, “Segment Reporting” as components of an entity for which discrete financial information is available and is regularly reviewed by the chief operating decision maker (“CODM”), or decision-making group, in making decisions regarding resource allocation and evaluating financial performance. Consolidated net income in the consolidated statements of income (loss) is the measure of financial profit and loss most closely aligned with generally accepted accounting principles that is used by the CODM to assess performance and resource allocation. Our Chief Executive Officer is our chief operating decision maker who evaluates performance and makes operating decisions about allocating resources and based on consolidated financial data and assessing performance. Further, the CODM reviews and utilizes functional expenses (cost of revenues, sales and marketing, research and development, and general and administrative) at the consolidated level to manage the Company’s operations, evaluate return on total assets in deciding whether to invest in the development and expansion of our consolidated operations or into strategic transactions, such as acquisitions and capital repurchases.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 Restructuring:</w:t>
      </w:r>
    </w:p>
    <w:p>
      <w:pPr>
        <w:spacing w:after="0" w:line="225"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During 2023, the Company decided upon a cost savings initiative which resulted in restructuring charge. Included in this restructuring is a workforce reduction, a consolidation of facilities and a phasing out of legacy platforms.</w:t>
      </w:r>
    </w:p>
    <w:p>
      <w:pPr>
        <w:spacing w:after="0" w:line="162"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As a result, the Company recognized a workforce reduction of approximately 10% in 2023, and an additional 4% in 2024, recorded as severance and other related expenses for the impacted employees, in addition to other related expenses.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substantially completed these actions by March 27,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summary of the restructuring charges for the year ended December 31, 2024 and 2023 by major activity type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Write-off</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product revenues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0"/>
        </w:trPr>
        <w:tc>
          <w:tcPr>
            <w:tcW w:w="37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2,054</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w:t>
            </w: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top w:val="single" w:sz="8" w:color="CCEEFF"/>
            </w:tcBorders>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F-30</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ad. Restructuring (Cont.)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Write-off</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2,930</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19,375</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2023, the Company recorded $11,009 of inventory write-off in cost of revenues as a result.</w:t>
      </w:r>
    </w:p>
    <w:p>
      <w:pPr>
        <w:spacing w:after="0" w:line="225"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 liabilities related to the restructuring plan as of December 31, 2024 and 2023 amounted to $1,172 and $4,558 respectively. The liabilities related to the restructuring plan as of December 31, 2023 were paid in full in 2024.</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annual basis. Public entities with a single reportable segment are required to apply the disclosure requirements in ASU 2023-07, as well as all existing segment disclosures and reconciliation requirements in ASC 280 on an annual basis. ASU 2023-07 is effective for fiscal years beginning after December 15, 2023, with early adoption permitted. The Company adopted ASU 2023-07 during the year ended December 31, 2024, refer to note 16.</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  Recently issued accounting pronouncements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requires an entity to disclose the amounts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the Company is currently evaluating the impact of adopting ASU 2024-03</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summary of marketable securities held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Matures within one year:</w:t>
            </w:r>
          </w:p>
        </w:tc>
        <w:tc>
          <w:tcPr>
            <w:tcW w:w="1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215,040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213,401</w:t>
            </w: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9,536</w:t>
            </w:r>
          </w:p>
        </w:tc>
      </w:tr>
      <w:tr>
        <w:trPr>
          <w:trHeight w:val="216"/>
        </w:trPr>
        <w:tc>
          <w:tcPr>
            <w:tcW w:w="4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224,617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222,937</w:t>
            </w: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Matures after one through four years:</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48,074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48,086</w:t>
            </w:r>
          </w:p>
        </w:tc>
      </w:tr>
      <w:tr>
        <w:trPr>
          <w:trHeight w:val="237"/>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48,086</w:t>
            </w:r>
          </w:p>
        </w:tc>
      </w:tr>
      <w:tr>
        <w:trPr>
          <w:trHeight w:val="216"/>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271,023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4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Matures within one year:</w:t>
            </w:r>
          </w:p>
        </w:tc>
        <w:tc>
          <w:tcPr>
            <w:tcW w:w="1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57,292</w:t>
            </w:r>
          </w:p>
        </w:tc>
      </w:tr>
      <w:tr>
        <w:trPr>
          <w:trHeight w:val="237"/>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58,319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57,292</w:t>
            </w: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Matures after one through four years:</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debentures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222,766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215,380</w:t>
            </w:r>
          </w:p>
        </w:tc>
      </w:tr>
      <w:tr>
        <w:trPr>
          <w:trHeight w:val="23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debentures</w:t>
            </w: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7,823</w:t>
            </w:r>
          </w:p>
        </w:tc>
      </w:tr>
      <w:tr>
        <w:trPr>
          <w:trHeight w:val="216"/>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230,875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223,203</w:t>
            </w:r>
          </w:p>
        </w:tc>
      </w:tr>
      <w:tr>
        <w:trPr>
          <w:trHeight w:val="216"/>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289,194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280,495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F-32</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 (Cont.)</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Investments with continuous unrealized losses for less than 12 months and 12 months or greater and their related fair values, were as follows as of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(1,929)</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240,381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234,748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248,204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(8,882)</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Company’s assets and liabilities that were measured at fair value as of December 31, 2024 and 2023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2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205,934</w:t>
            </w:r>
          </w:p>
        </w:tc>
        <w:tc>
          <w:tcPr>
            <w:tcW w:w="0" w:type="dxa"/>
            <w:vAlign w:val="bottom"/>
          </w:tcPr>
          <w:p>
            <w:pPr>
              <w:spacing w:after="0"/>
              <w:rPr>
                <w:sz w:val="1"/>
                <w:szCs w:val="1"/>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271,023</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271,023</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240,937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271,023</w:t>
            </w:r>
          </w:p>
        </w:tc>
        <w:tc>
          <w:tcPr>
            <w:tcW w:w="9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511,960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8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2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235,600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280,495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280,495</w:t>
            </w:r>
          </w:p>
        </w:tc>
        <w:tc>
          <w:tcPr>
            <w:tcW w:w="0" w:type="dxa"/>
            <w:vAlign w:val="bottom"/>
          </w:tcPr>
          <w:p>
            <w:pPr>
              <w:spacing w:after="0"/>
              <w:rPr>
                <w:sz w:val="1"/>
                <w:szCs w:val="1"/>
                <w:color w:val="auto"/>
              </w:rPr>
            </w:pPr>
          </w:p>
        </w:tc>
      </w:tr>
      <w:tr>
        <w:trPr>
          <w:trHeight w:val="23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275,205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281,090</w:t>
            </w:r>
          </w:p>
        </w:tc>
        <w:tc>
          <w:tcPr>
            <w:tcW w:w="940" w:type="dxa"/>
            <w:vAlign w:val="bottom"/>
          </w:tcPr>
          <w:p>
            <w:pPr>
              <w:spacing w:after="0"/>
              <w:rPr>
                <w:sz w:val="22"/>
                <w:szCs w:val="22"/>
                <w:color w:val="auto"/>
              </w:rPr>
            </w:pP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556,295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F-33</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4" w:name="page145"/>
    <w:bookmarkEnd w:id="144"/>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27,867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67,712</w:t>
            </w:r>
          </w:p>
        </w:tc>
        <w:tc>
          <w:tcPr>
            <w:tcW w:w="10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of $1,100 and $367 as of December 31, 2024 and 2023, respectively, with respect to inventory delivered to customers for which revenue was not yet recognized.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peripheral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lease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37,651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37,614</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117,776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99,557</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(58,554)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(48,652)</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50,905</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depreciation expenses for the years ended December 31, 2024, 2023 and 2022 were $11,121, $14,852, and $10,583, respectively.</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depreciation expenses of $2,395 were recorded as a result of the Company’s restructuring (see Note 2(ad)).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229" w:lineRule="exact"/>
        <w:rPr>
          <w:sz w:val="20"/>
          <w:szCs w:val="20"/>
          <w:color w:val="auto"/>
        </w:rPr>
      </w:pPr>
    </w:p>
    <w:p>
      <w:pPr>
        <w:ind w:left="1300" w:hanging="320"/>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Original amount: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19,233</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7,647</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2024, 2023 and 2021 were $1,926, $2, 243and $2,982 respectively.</w:t>
      </w:r>
    </w:p>
    <w:p>
      <w:pPr>
        <w:spacing w:after="0" w:line="225" w:lineRule="exact"/>
        <w:rPr>
          <w:sz w:val="20"/>
          <w:szCs w:val="20"/>
          <w:color w:val="auto"/>
        </w:rPr>
      </w:pPr>
    </w:p>
    <w:p>
      <w:pPr>
        <w:ind w:left="1300" w:hanging="320"/>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for future periods are as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780" w:type="dxa"/>
            <w:vAlign w:val="bottom"/>
            <w:tcBorders>
              <w:top w:val="single" w:sz="8" w:color="auto"/>
            </w:tcBorders>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3780" w:type="dxa"/>
            <w:vAlign w:val="bottom"/>
          </w:tcPr>
          <w:p>
            <w:pPr>
              <w:spacing w:after="0"/>
              <w:rPr>
                <w:sz w:val="22"/>
                <w:szCs w:val="22"/>
                <w:color w:val="auto"/>
              </w:rPr>
            </w:pPr>
          </w:p>
        </w:tc>
        <w:tc>
          <w:tcPr>
            <w:tcW w:w="624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2"/>
                <w:szCs w:val="22"/>
                <w:color w:val="auto"/>
              </w:rPr>
            </w:pPr>
          </w:p>
        </w:tc>
      </w:tr>
      <w:tr>
        <w:trPr>
          <w:trHeight w:val="21"/>
        </w:trPr>
        <w:tc>
          <w:tcPr>
            <w:tcW w:w="37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jc w:val="right"/>
              <w:ind w:right="4290"/>
              <w:spacing w:after="0"/>
              <w:rPr>
                <w:sz w:val="20"/>
                <w:szCs w:val="20"/>
                <w:color w:val="auto"/>
              </w:rPr>
            </w:pPr>
            <w:r>
              <w:rPr>
                <w:rFonts w:ascii="Times New Roman" w:cs="Times New Roman" w:eastAsia="Times New Roman" w:hAnsi="Times New Roman"/>
                <w:sz w:val="18"/>
                <w:szCs w:val="18"/>
                <w:color w:val="auto"/>
              </w:rPr>
              <w:t>F-35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returns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CONTINGENT LIABILITIES</w:t>
      </w:r>
    </w:p>
    <w:p>
      <w:pPr>
        <w:spacing w:after="0" w:line="229" w:lineRule="exact"/>
        <w:rPr>
          <w:sz w:val="20"/>
          <w:szCs w:val="20"/>
          <w:color w:val="auto"/>
        </w:rPr>
      </w:pPr>
    </w:p>
    <w:p>
      <w:pPr>
        <w:ind w:left="1300" w:hanging="320"/>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$47,072 of purchase commitments for goods and services from vendors. These commitments are due primarily within one year.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February 2023, two securities class action complaints were filed by certain shareholders of the Company in U.S. federal court in New Jersey against the Company, certain of the Company’s current and former officers and directors, the underwriters of the November 19, 2021 follow-on public offering and Amazon (which sold shares in that public offering), as defendants. The complaints assert claims under certain sections of the Exchange Act and seeks unspecified damages.</w:t>
      </w:r>
    </w:p>
    <w:p>
      <w:pPr>
        <w:spacing w:after="0" w:line="179"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the U.S. federal court in New Jersey granted an unopposed motion to consolidate the two actions, to appoint certain plaintiffs as lead plaintiffs, and to appoint a lead counsel.</w:t>
      </w:r>
    </w:p>
    <w:p>
      <w:pPr>
        <w:spacing w:after="0" w:line="161"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the lead plaintiffs filed a consolidated complaint, alleging that, between February 2021 and July 2023, the Company made misrepresentations and omissions in its public statements and disclosures in violation of the Exchange Act and Rule 10b-5 promulgated thereunder. On December 21, 2023, the defendants moved to dismiss the consolidated complaint. The lead plaintiffs filed an opposition to Defendants’ motion to dismiss on February 16, 2024.</w:t>
      </w:r>
    </w:p>
    <w:p>
      <w:pPr>
        <w:spacing w:after="0" w:line="179"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15, 2024, the Court held an oral hearing on defendants’ motion to dismiss, following which it granted the defendants’ motion, dismissing the complaint in its entirety, without prejudice. Plaintiffs filed an amended complaint on November 8, 2024. On January 24, 2025, defendants moved to dismiss the amended complaint. Plaintiffs filed an opposition to defendants’ motion to dismiss on March 10, 2025, and defendants intend to file replies in support of the motion to dismiss in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CONTINGENT LIABILITIES (Cont.)</w:t>
      </w:r>
    </w:p>
    <w:p>
      <w:pPr>
        <w:spacing w:after="0" w:line="229" w:lineRule="exact"/>
        <w:rPr>
          <w:sz w:val="20"/>
          <w:szCs w:val="20"/>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(Cont.)</w:t>
      </w:r>
    </w:p>
    <w:p>
      <w:pPr>
        <w:spacing w:after="0" w:line="225" w:lineRule="exact"/>
        <w:rPr>
          <w:sz w:val="20"/>
          <w:szCs w:val="20"/>
          <w:color w:val="auto"/>
        </w:rPr>
      </w:pPr>
    </w:p>
    <w:p>
      <w:pPr>
        <w:jc w:val="both"/>
        <w:ind w:left="1620"/>
        <w:spacing w:after="0" w:line="266" w:lineRule="auto"/>
        <w:rPr>
          <w:sz w:val="20"/>
          <w:szCs w:val="20"/>
          <w:color w:val="auto"/>
        </w:rPr>
      </w:pPr>
      <w:r>
        <w:rPr>
          <w:rFonts w:ascii="Times New Roman" w:cs="Times New Roman" w:eastAsia="Times New Roman" w:hAnsi="Times New Roman"/>
          <w:sz w:val="18"/>
          <w:szCs w:val="18"/>
          <w:color w:val="auto"/>
        </w:rPr>
        <w:t>The Company believes these lawsuits are without merit and has been defending against these cases vigorously. As of the date hereof, the Company is unable to estimate a range of loss, if any, that could result were there to be adverse final decisions in these cases, and estimated liabilities have not been recorded in the consolidated financial statements.</w:t>
      </w:r>
    </w:p>
    <w:p>
      <w:pPr>
        <w:spacing w:after="0" w:line="176" w:lineRule="exact"/>
        <w:rPr>
          <w:sz w:val="20"/>
          <w:szCs w:val="20"/>
          <w:color w:val="auto"/>
        </w:rPr>
      </w:pPr>
    </w:p>
    <w:p>
      <w:pPr>
        <w:jc w:val="both"/>
        <w:ind w:left="1620" w:hanging="316"/>
        <w:spacing w:after="0" w:line="266" w:lineRule="auto"/>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provided nine bank guarantees in a total amount of $871 primarily for its rented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9" w:lineRule="exact"/>
        <w:rPr>
          <w:sz w:val="20"/>
          <w:szCs w:val="20"/>
          <w:color w:val="auto"/>
        </w:rPr>
      </w:pPr>
    </w:p>
    <w:p>
      <w:pPr>
        <w:ind w:left="1300" w:right="8580" w:hanging="320"/>
        <w:spacing w:after="0" w:line="530" w:lineRule="auto"/>
        <w:tabs>
          <w:tab w:leader="none" w:pos="13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shares: Ordinary shares:</w:t>
      </w:r>
    </w:p>
    <w:p>
      <w:pPr>
        <w:jc w:val="both"/>
        <w:ind w:left="13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the general meetings of the shareholders of the Company, with one vote on any matter presented to the shareholders.</w:t>
      </w:r>
    </w:p>
    <w:p>
      <w:pPr>
        <w:spacing w:after="0" w:line="179"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Treasury shares:</w:t>
      </w:r>
    </w:p>
    <w:p>
      <w:pPr>
        <w:spacing w:after="0" w:line="225" w:lineRule="exact"/>
        <w:rPr>
          <w:rFonts w:ascii="Times New Roman" w:cs="Times New Roman" w:eastAsia="Times New Roman" w:hAnsi="Times New Roman"/>
          <w:sz w:val="17"/>
          <w:szCs w:val="17"/>
          <w:color w:val="auto"/>
        </w:rPr>
      </w:pPr>
    </w:p>
    <w:p>
      <w:pPr>
        <w:jc w:val="both"/>
        <w:ind w:left="13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August 10, 2022, the Company’s Board of Directors approved a share repurchase program to repurchase up to $75,000 of its ordinary shares, subject to Israeli court approval and in accordance with required regulation. On September 9, 2024, the Board of Directors authorized an additional share repurchase program (“September 2024 Share Repurchase Program”) under which an additional amount of up to $100,000 of the Company’s ordinary shares could be repurchased, subject to the Company’s providing the required notification to creditors in accordance with Israeli regulations (collectively, the August 2022 and September 2024 approved repurchase programs, the “Share Repurchase Program”).</w:t>
      </w:r>
    </w:p>
    <w:p>
      <w:pPr>
        <w:spacing w:after="0" w:line="187" w:lineRule="exact"/>
        <w:rPr>
          <w:rFonts w:ascii="Times New Roman" w:cs="Times New Roman" w:eastAsia="Times New Roman" w:hAnsi="Times New Roman"/>
          <w:sz w:val="17"/>
          <w:szCs w:val="17"/>
          <w:color w:val="auto"/>
        </w:rPr>
      </w:pPr>
    </w:p>
    <w:p>
      <w:pPr>
        <w:jc w:val="both"/>
        <w:ind w:left="13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part of the September 2024 portion of the Share Repurchase Program, on November 10, 2024, the Company entered into an accelerated share repurchase agreement (the “ASR Agreement”) with Goldman Sachs International (“GSI”) to repurchase $75,000 of the Company’s ordinary shares. Pursuant to the ASR Agreement, the Company made a payment of $75,000 to GSI in November 2024 and received in 2024 initial aggregate deliveries of 1,825,901 ordinary shares (the “Initial Shares”) from GSI pursuant to the agreement. The repurchases under the ASR Agreement were accounted for as an equity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shares (Cont.)</w:t>
      </w:r>
    </w:p>
    <w:p>
      <w:pPr>
        <w:spacing w:after="0" w:line="225" w:lineRule="exact"/>
        <w:rPr>
          <w:rFonts w:ascii="Times New Roman" w:cs="Times New Roman" w:eastAsia="Times New Roman" w:hAnsi="Times New Roman"/>
          <w:sz w:val="18"/>
          <w:szCs w:val="18"/>
          <w:color w:val="auto"/>
        </w:rPr>
      </w:pPr>
    </w:p>
    <w:p>
      <w:pPr>
        <w:jc w:val="both"/>
        <w:ind w:left="13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February 2025, the Company completed the remaining repurchase transactions contemplated by the ASR Agreement, pursuant to which an additional 641,305 ordinary shares (the “Final Shares”) were delivered by GSI to the Company and repurchased by the Company. The total number of shares repurchased under the ASR Agreement was 2,467,206 at an average cost per share of $30.40, based on the volume-weighted average share price of the Company’s ordinary share during the calculation period under the ASR Agreement.</w:t>
      </w:r>
    </w:p>
    <w:p>
      <w:pPr>
        <w:spacing w:after="0" w:line="164"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times at which the Initial Shares and the Final Shares were received and repurchased, the repurchases resulted in an immediate reduction of the outstanding number of shares of the Company used to calculate the weighted average number of ordinary shares for basic and diluted earnings per share.</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and 2023, pursuant to the Share Repurchase Program, the Company repurchased, an aggregate of 2,332,826 and 2,652,051 ordinary shares, respectively, which included both open market repurchases and, in the case of 2024, repurchases under the ASR Agreement, at total costs of $65,921 and $55,770, respectively.</w:t>
      </w:r>
    </w:p>
    <w:p>
      <w:pPr>
        <w:spacing w:after="0" w:line="17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$25,000 remained available under the September 2024 Share Repurchase Program for potential open market repurchases.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and RSU’s plans:</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 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spacing w:after="0" w:line="187" w:lineRule="exact"/>
        <w:rPr>
          <w:rFonts w:ascii="Times New Roman" w:cs="Times New Roman" w:eastAsia="Times New Roman" w:hAnsi="Times New Roman"/>
          <w:sz w:val="18"/>
          <w:szCs w:val="18"/>
          <w:color w:val="auto"/>
        </w:rPr>
      </w:pPr>
    </w:p>
    <w:p>
      <w:pPr>
        <w:jc w:val="both"/>
        <w:ind w:left="13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 equity incentive plans, beginning in 2017, the Company grants RSUs, including PSUs. The RSUs generally vest over a period of four years of employment and PSUs vest also based on the Company’s share performance. RSUs that are cancelled or forfeited become available for future grants.</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December 2024, the Company’s board of directors approved an increase of 672,132 shares to the number of ordinary shares reserved for issuance under the Company’s equity incentive plans. As of December 31, 2024, an aggregate of 2,122,421 ordinary shares were available for future grants under those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 upon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631,675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65,036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(61,441)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(41,349)</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593,921</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13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4,516</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421,971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$3,595 of unrecognized compensation expense related to non-vested share options expected to be recognized over a weighted average period of 1.71 years.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2024, 2023 and 2022 was $9.61, $12.88 and $47.06 per share, respectively. The total intrinsic value of options exercised during the years ended December 31, 2024, 2023 and 2022 was $1,069, $163 and $1,086, respectively.</w:t>
      </w:r>
    </w:p>
    <w:p>
      <w:pPr>
        <w:spacing w:after="0" w:line="176" w:lineRule="exact"/>
        <w:rPr>
          <w:sz w:val="20"/>
          <w:szCs w:val="20"/>
          <w:color w:val="auto"/>
        </w:rPr>
      </w:pPr>
    </w:p>
    <w:p>
      <w:pPr>
        <w:ind w:left="1300" w:hanging="320"/>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RSU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1,674,902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1,412,810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(603,213)</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(325,776)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Unvested at the end of the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2,158,723</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at grant date of RSU’s granted for the years ended December 31, 2024, 2023 and 2022 was $20.27, $20.11 and $43.65, respectively. The total fair value of RSUs vested during the year ended December 31, 2024, was $12,232.</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RSUs vested during the years ended December 31, 2024, 2023 and 2022 was $31.10, $52.27 and $57.98, respectively.</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RSUs forfeited during the years ended December 31, 2024, 2023 and 2022 was $24.35, $33.19 and $68.19, respectively.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December 31, 2024 and 2023, the weighted average fair value of the unvested RSUs was $20.25 and $28.51,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RSU activity is as follows (Cont.)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$36,947 of unrecognized compensation expenses related to RSUs, expected to be recognized over a weighted average period of 2.48 years.</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 aggregate of 326,001 PSUs were included in the unvested RSUs amount.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total share-based compensation expense included in the consolidated statements of operations for the years ended December 31, 2024,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6,027</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2017, the Company signed a master purchase agreement with Amazon Inc. (the “Agreement”) under which warrants to purchase ordinary shares of the Company were issued to Amazon as a customer incentive, subject to vesting as a function of payments for purchased products and services. As of December 31, 2024, all of the warrants under that original Agreement had been exercised.</w:t>
      </w:r>
    </w:p>
    <w:p>
      <w:pPr>
        <w:spacing w:after="0" w:line="17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14, 2020, the Company signed an amendment to the master purchase agreement (the “Amended Agreement”) with Amazon Inc. under which an additional 3,401,028 warrants to purchase ordinary shares of the Company at an exercise price of $59.26 were issued to Amazon. The warrants are subject to vesting as a function of payments for purchased products and services of up to $400, including $250 million in respect of specific existing products and services (“Old Business”) and $150 million in respect of new products (“New Business”). The warrants are exercisable over a five-year period beginning in January 2021, with the shares vesting incrementally each time Amazon makes a payment totaling $5 million to the Company. As of December 31, 2024, 1,943,445 warrants are exercisable under the Purchase Agreement, all related to the Old Business. As of December 31,2024, warrants in respect of the Old Business were fully vested.</w:t>
      </w:r>
    </w:p>
    <w:p>
      <w:pPr>
        <w:spacing w:after="0" w:line="19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warrants was measured on the grant date using the Monte Carlo simulation with assumptions of a risk-free rate of 0.4%, volatility rate of 52%, dividend yield of 0% and an expected term of 5.32 years.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reduction to revenues of $3,273, $13,842 and $22,500 during the years ended December 31, 2024, 2023 and 2022, respectively, in respect of the warrants granted to Amazon.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(LOSSES) PER SHARE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(losses)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(losses)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(64,351)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(79,065)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losses per share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47,482,820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49,160,266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49,791,659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 options, RSUs, PSUs and Warrants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losses per share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47,482,820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49,160,266</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49,791,659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losses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losses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(loss), net of taxes, for the year ended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Gains (losses)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Gains (losses)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on marketable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cash flow</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7,011</w:t>
            </w: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5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6,342</w:t>
            </w:r>
          </w:p>
        </w:tc>
      </w:tr>
      <w:tr>
        <w:trPr>
          <w:trHeight w:val="216"/>
        </w:trPr>
        <w:tc>
          <w:tcPr>
            <w:tcW w:w="5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F-41</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2" w:name="page153"/>
    <w:bookmarkEnd w:id="152"/>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leases include offices and warehouses for its facilities worldwide, as well as car leases, which are all classified as operating leases. Certain leases include renewal options that are subject to the Company’s sole discretion. The renewal options were included in the right of use (“ROU”) and liability calculation if it was reasonably certain that the Company will exercise the option.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of lease expenses for the years ended December 31, 2024, 2023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lease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$4,476, $5,742 and $6,282 during the years ended December 31, 2024, 2023 and 2022,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operating lease agreements have remaining lease terms ranging from one to four years. Some of these agreements include allowances, such as the Company’s option to extend the leases for additional terms of up to five years.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weighted average remaining lease term is approximately 7.29 and 7.8 years, respectively, and the weighted average discount rate is 5.4 and 3.4 percent, respectively. The discount rate was determined based on the estimated collateralized borrowing rate of the Company, adjusted to the specific lease term and location of each 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 imputed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(3,863)</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year ended December 2023, an impairment loss of $1,118 was recorded as a result of the Company’s restructuring. (see Note 2ad).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w:t>
      </w:r>
    </w:p>
    <w:p>
      <w:pPr>
        <w:spacing w:after="0" w:line="229" w:lineRule="exact"/>
        <w:rPr>
          <w:sz w:val="20"/>
          <w:szCs w:val="20"/>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of the Company and its Israeli subsidiary is subject to Israeli corporate tax at the rate of 23%. The Company and its Israeli subsidiary are also eligible for tax benefits as further described in note 14b.</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production facilities in Israel have been granted “Beneficiary Enterprise” status under the Law. The Company and its Israeli subsidiary have been granted benefits under the “Alternative Benefit Track” under which the main benefits are a tax exemption for undistributed income and a reduced tax rate.</w:t>
      </w:r>
    </w:p>
    <w:p>
      <w:pPr>
        <w:spacing w:after="0" w:line="17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began to utilize such tax benefits in 2010. The entitlement to the above benefits was limited to the end of 2019, and was conditional upon the Company and its Israeli subsidiary fulfilling the conditions stipulated by the Law and related regulations. In the event of failure to comply with these conditions, the benefits may be partially or fully canceled and the Company or its Israeli subsidiary may be required to refund the amount of the benefits, in whole or in part, plus a consumer price index linkage adjustment and interest.</w:t>
      </w:r>
    </w:p>
    <w:p>
      <w:pPr>
        <w:spacing w:after="0" w:line="183"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distribution of any dividends, the amount distributed which is allocated to the above-mentioned tax-exempt income, on a prorate basis, will be subject to the same reduced corporate tax rate that would have been applied to the Beneficiary Enterprise’s income.</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tax-exempt income attributed to the Beneficiary Enterprise will subject the Company to taxes upon distribution in any manner including complete liquidation.</w:t>
      </w:r>
    </w:p>
    <w:p>
      <w:pPr>
        <w:spacing w:after="0" w:line="16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2021, a new amendment of the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relief of 30%-60% on the amount of tax which should have been paid on distributable earnings in order to encourage companies to pay the reduced taxes during the next 12 months (the “Temporary Order”). The Temporary Order provides partial relief from Israeli corporate income tax for companies which opt to enjoy the privilege, on a linear basis: greater release of “trapped” earnings will result in a higher relief from corporate income tax. According to the new linear statutory formula, the corporate income tax to be paid, would vary from 6% to 17.5% effective tax rate (depends on the company’s corporate tax rate in the year in which the income was derived and the amount of “trapped” retained earnings elected to be relieved), without taking into account the 20% dividend withholding tax (which should be levied only upon actual distribution, if any). The reduced corporate tax is payable within 30 days of making the election. The new Temporary Order does not require the actual distribution of the retained earnings, nor does it provide any relief from the 20% dividend withholding tax.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 (Cont.)</w:t>
      </w:r>
    </w:p>
    <w:p>
      <w:pPr>
        <w:spacing w:after="0" w:line="225" w:lineRule="exact"/>
        <w:rPr>
          <w:rFonts w:ascii="Times New Roman" w:cs="Times New Roman" w:eastAsia="Times New Roman" w:hAnsi="Times New Roman"/>
          <w:sz w:val="18"/>
          <w:szCs w:val="18"/>
          <w:color w:val="auto"/>
        </w:rPr>
      </w:pPr>
    </w:p>
    <w:p>
      <w:pPr>
        <w:jc w:val="both"/>
        <w:ind w:left="1300" w:hanging="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partial corporate income tax relief was available to companies that elected to implement the temporary reduced tax relief by November 15, 2023 in respect of its exempt retained earnings, provided that up to 30% (the exact rate is calculated by a new statutory formula) of the “released” earnings are re-invested in Israel in at least one of the following: Industrial activities, Research and development activities, Assets used by the company, salaries of newly recruited employees, for a period of up to 5 years.</w:t>
      </w:r>
    </w:p>
    <w:p>
      <w:pPr>
        <w:spacing w:after="0" w:line="179"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November 2022, the Company applied the Temporary Order to its exempt profits accrued prior to 2022 by the Company and its Israeli subsidiary. Consequently, the Company paid $11,485 corporate tax on exempt income of $133,751.</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Israeli subsidiary elected to apply the Preferred Enterprise regime under the January 2011 amendment to the Law as of the 2013 tax year. The election is irrevocable. Under the Preferred Enterprise regime, a preferred income of an Enterprise located in the center of Israel is subject to the tax rate of 16%.</w:t>
      </w:r>
    </w:p>
    <w:p>
      <w:pPr>
        <w:spacing w:after="0" w:line="175"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88"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 (Cont.)</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believe they meet the conditions for “Preferred Technological Enterprises”, and are subject to a tax rate of 12% on income that qualifies as “Preferred Technology Income”, as defined in the Law. The tax rate for a Preferred Technological Enterprises located in development zone A is 7.5%.</w:t>
      </w:r>
    </w:p>
    <w:p>
      <w:pPr>
        <w:spacing w:after="0" w:line="17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Israeli Government discusses reducing the benefits available to companies under the Law. The termination or substantial reduction of any of the benefits available under the Law could materially increase the Company’s tax liabilities.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Israeli Law for the Encouragement of Industry (Taxation), 1969:</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Israeli subsidiary is an “Industrial Company” as defined by the Israeli Law for the Encouragement of Industry Taxation), 1969, and, as such, is entitled to certain tax benefits including accelerated depreciation, deduction of public offering expenses in three equal annual installments and amortization of other intangible property rights for tax purposes. In addition, these Israeli companies are eligible to submit consolidated tax returns, allowing the offsetting of losses between the entities.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of non-Israeli subsidiaries: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non-Israeli subsidiaries are taxed according to the tax laws in their respective countries of residence.</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a dividend. The Company intends to reinvest these earnings indefinitely in the foreign subsidiaries. Accordingly, no deferred income taxes have been provided. If these earnings were distributed into Israel in the form of dividends or otherwise, the Company would be subject to additional Israeli income taxes (subject to an adjustment for foreign tax credits) and foreign withholding taxes.</w:t>
      </w:r>
    </w:p>
    <w:p>
      <w:pPr>
        <w:spacing w:after="0" w:line="183"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undistributed earnings of foreign subsidiaries that are considered to be reinvested as of December 31, 2024 was $14,476. If these undistributed earnings are distributed, they would be taxed at the corporate tax rate applicable to such income, and $2,529 of additional taxes would be incurred as of December 31, 2024.</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received final tax assessments through 2021. The U.S subsidiary, Tesoma GmbH and German subsidiary received final tax assessments through 2018, 2019 and 2020, respectively, and the Hong Kong, Japan and U.K subsidiaries have not received a final tax assessment since inception.</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for tax purposes: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and its Israeli subsidiary have carryforward tax losses of approximately $201,526, which can be carried forward indefinitely.</w:t>
      </w:r>
    </w:p>
    <w:p>
      <w:pPr>
        <w:spacing w:after="0" w:line="161" w:lineRule="exact"/>
        <w:rPr>
          <w:rFonts w:ascii="Times New Roman" w:cs="Times New Roman" w:eastAsia="Times New Roman" w:hAnsi="Times New Roman"/>
          <w:sz w:val="18"/>
          <w:szCs w:val="18"/>
          <w:color w:val="auto"/>
        </w:rPr>
      </w:pPr>
    </w:p>
    <w:p>
      <w:pPr>
        <w:ind w:left="1300" w:right="25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Custom Gateway Ltd has carryforward tax losses of approximately $9,286. As of December 31, 2024, Tesoma GmbH has carryforward tax losses of approximately $7,114.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225" w:lineRule="exact"/>
        <w:rPr>
          <w:rFonts w:ascii="Times New Roman" w:cs="Times New Roman" w:eastAsia="Times New Roman" w:hAnsi="Times New Roman"/>
          <w:sz w:val="18"/>
          <w:szCs w:val="18"/>
          <w:color w:val="auto"/>
        </w:rPr>
      </w:pPr>
    </w:p>
    <w:p>
      <w:pPr>
        <w:jc w:val="both"/>
        <w:ind w:left="13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Carryforward tax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carryforward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and other reserves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34,054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(30,106)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(26,326)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assessing the ability to realize deferred tax assets, the Company considers whether it is more likely than not that some portion or all of the deferred tax assets will not be realized. Based on the available evidence, management believes that it is more likely than not that its deferred tax assets will not be realized and , accordingly, a valuation allowance has been provided.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Loss before income taxes is comprised as follows:</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(58,085)</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(63,381)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(56,500)</w:t>
            </w:r>
          </w:p>
        </w:tc>
      </w:tr>
      <w:tr>
        <w:trPr>
          <w:trHeight w:val="21"/>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F-46</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(tax benefits)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9,946</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73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22,565</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20,400</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Domestic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9,281</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300" w:hanging="320"/>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tax positions taken during current year</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unrecognized tax benefits in an amount of $256 in both years, were presented as a reduction from deferred taxes.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-TAXES ON INCOME (Cont.)</w:t>
      </w:r>
    </w:p>
    <w:p>
      <w:pPr>
        <w:spacing w:after="0" w:line="229" w:lineRule="exact"/>
        <w:rPr>
          <w:sz w:val="20"/>
          <w:szCs w:val="20"/>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(Cont.)</w:t>
      </w:r>
    </w:p>
    <w:p>
      <w:pPr>
        <w:spacing w:after="0" w:line="225" w:lineRule="exact"/>
        <w:rPr>
          <w:rFonts w:ascii="Times New Roman" w:cs="Times New Roman" w:eastAsia="Times New Roman" w:hAnsi="Times New Roman"/>
          <w:sz w:val="18"/>
          <w:szCs w:val="18"/>
          <w:color w:val="auto"/>
        </w:rPr>
      </w:pPr>
    </w:p>
    <w:p>
      <w:pPr>
        <w:ind w:left="1300" w:right="116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amount of the unrecognized tax benefits could affect the Company’s income tax provision and the effective tax rate. Exchange rate differences are recorded within financial income, net, while interest is recorded within income tax expense.</w:t>
      </w:r>
    </w:p>
    <w:p>
      <w:pPr>
        <w:jc w:val="both"/>
        <w:ind w:left="13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tax outcome of the Company’s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as reported in the consolidated statements of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(14,965</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(63,381</w:t>
            </w:r>
            <w:r>
              <w:rPr>
                <w:rFonts w:ascii="Times New Roman" w:cs="Times New Roman" w:eastAsia="Times New Roman" w:hAnsi="Times New Roman"/>
                <w:sz w:val="29"/>
                <w:szCs w:val="29"/>
                <w:color w:val="auto"/>
                <w:vertAlign w:val="superscript"/>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(56,500</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Theoretical tax benefit at the Israeli statutory tax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Beneficiary enterprise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adjustment in respect of different tax rate of foreign subsidiaries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 permanent differences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uncertain tax positions,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related to prior years (see also note 14b)</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Losses and timing differences for which valuation allowance was provided, net  </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F-48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9" w:name="page160"/>
    <w:bookmarkEnd w:id="159"/>
    <w:p>
      <w:pPr>
        <w:ind w:left="7500"/>
        <w:spacing w:after="0"/>
        <w:rPr>
          <w:sz w:val="20"/>
          <w:szCs w:val="20"/>
          <w:color w:val="auto"/>
        </w:rPr>
      </w:pPr>
      <w:r>
        <w:rPr>
          <w:rFonts w:ascii="Times New Roman" w:cs="Times New Roman" w:eastAsia="Times New Roman" w:hAnsi="Times New Roman"/>
          <w:sz w:val="17"/>
          <w:szCs w:val="17"/>
          <w:b w:val="1"/>
          <w:bCs w:val="1"/>
          <w:color w:val="auto"/>
        </w:rPr>
        <w:t>KORNIT DIGITAL LTD.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AND GEOGRAPHIC INFORMATION</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Company’s chief executive officer, in deciding how to allocate resources and in assessing performance. The Company’s chief operating decision maker evaluates the Company’s financial information and resources and assesses the performance of these resources on a consolidated basis.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 disaggregated by revenue source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4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119,073</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Ink and consumables</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114,896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112,047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103,429</w:t>
            </w:r>
          </w:p>
        </w:tc>
      </w:tr>
      <w:tr>
        <w:trPr>
          <w:trHeight w:val="23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55,739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58,741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49,016</w:t>
            </w:r>
          </w:p>
        </w:tc>
      </w:tr>
      <w:tr>
        <w:trPr>
          <w:trHeight w:val="216"/>
        </w:trPr>
        <w:tc>
          <w:tcPr>
            <w:tcW w:w="350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203,825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219,786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271,518</w:t>
            </w:r>
          </w:p>
        </w:tc>
      </w:tr>
      <w:tr>
        <w:trPr>
          <w:trHeight w:val="21"/>
        </w:trPr>
        <w:tc>
          <w:tcPr>
            <w:tcW w:w="73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870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customer location: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123,550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138,515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60,706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93,243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24,396</w:t>
            </w: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17,193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15,364</w:t>
            </w: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219,786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271,518</w:t>
            </w:r>
          </w:p>
        </w:tc>
      </w:tr>
      <w:tr>
        <w:trPr>
          <w:trHeight w:val="20"/>
        </w:trPr>
        <w:tc>
          <w:tcPr>
            <w:tcW w:w="3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F-49</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AND GEOGRAPHIC INFORMATION (Cont.)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long-lived assets including right of use assets by geographic region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4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9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58,489</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13,279</w:t>
            </w: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94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40" w:type="dxa"/>
            <w:vAlign w:val="bottom"/>
          </w:tcPr>
          <w:p>
            <w:pPr>
              <w:spacing w:after="0"/>
              <w:rPr>
                <w:sz w:val="20"/>
                <w:szCs w:val="20"/>
                <w:color w:val="auto"/>
              </w:rPr>
            </w:pPr>
          </w:p>
        </w:tc>
        <w:tc>
          <w:tcPr>
            <w:tcW w:w="7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74,687</w:t>
            </w:r>
          </w:p>
        </w:tc>
      </w:tr>
      <w:tr>
        <w:trPr>
          <w:trHeight w:val="20"/>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40" w:type="dxa"/>
            <w:vAlign w:val="bottom"/>
          </w:tcPr>
          <w:p>
            <w:pPr>
              <w:spacing w:after="0"/>
              <w:rPr>
                <w:sz w:val="24"/>
                <w:szCs w:val="24"/>
                <w:color w:val="auto"/>
              </w:rPr>
            </w:pPr>
          </w:p>
        </w:tc>
        <w:tc>
          <w:tcPr>
            <w:tcW w:w="7980" w:type="dxa"/>
            <w:vAlign w:val="bottom"/>
            <w:gridSpan w:val="2"/>
          </w:tcPr>
          <w:p>
            <w:pPr>
              <w:jc w:val="right"/>
              <w:ind w:right="3900"/>
              <w:spacing w:after="0"/>
              <w:rPr>
                <w:sz w:val="20"/>
                <w:szCs w:val="20"/>
                <w:color w:val="auto"/>
              </w:rPr>
            </w:pPr>
            <w:r>
              <w:rPr>
                <w:rFonts w:ascii="Times New Roman" w:cs="Times New Roman" w:eastAsia="Times New Roman" w:hAnsi="Times New Roman"/>
                <w:sz w:val="18"/>
                <w:szCs w:val="18"/>
                <w:color w:val="auto"/>
              </w:rPr>
              <w:t>Major customers’ data as a percentage of total 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customers that accounted for 10% or more of the Company’s total revenues in each of the years set forth below:</w:t>
      </w:r>
    </w:p>
    <w:p>
      <w:pPr>
        <w:spacing w:after="0" w:line="17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19685</wp:posOffset>
            </wp:positionV>
            <wp:extent cx="245173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30" w:lineRule="exact"/>
        <w:rPr>
          <w:sz w:val="20"/>
          <w:szCs w:val="20"/>
          <w:color w:val="auto"/>
        </w:rPr>
      </w:pPr>
    </w:p>
    <w:p>
      <w:pPr>
        <w:ind w:left="7600"/>
        <w:spacing w:after="0"/>
        <w:tabs>
          <w:tab w:leader="none" w:pos="894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19685</wp:posOffset>
            </wp:positionV>
            <wp:extent cx="245173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4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Major customers’ data as a percentage of Trade receivables:</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customers that accounted for 10% or more of the Company’s Trade receivables in each of the years set forth below:</w:t>
      </w:r>
    </w:p>
    <w:p>
      <w:pPr>
        <w:spacing w:after="0" w:line="17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Customer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C</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94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F-50</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FINANCIAL INCOME,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bank deposits and other 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sale of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24,014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15,477</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Financial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sale of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income,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BALANCES AND TRANSACTIONS WITH RELATED PARTIES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met this policy at the time they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Kornit Digital Ltd. 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share capital of Kornit Digital Ltd. (hereinafter, “we”, “us”, “our” or similar expressions) consists of NIS 2,000,000 divided into 200,000,000 ordinary shares, par value NIS 0.01 per share, or ordinary shares. As of February 28, 2025, 45,327,503 ordinary shares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registration number with the Israeli Registrar of Companies is 51-3195420. Our purpose as set forth in our articles of association, or articles, is to engage in any lawful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for Israeli public companies whose shares are traded in the United States and that lack a controlling shareholder that we have elected to be governed by under the Companies Law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3" w:name="page164"/>
    <w:bookmarkEnd w:id="1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An equity repurchase is generally treated as a deemed dividend for purposes of these limitations on dividend distributions. However, for a company such as ours listed on an exchange outside of Israel, even if we lack the requisite retained earnings or earnings, we still do not need to seek court approval for an equity repurchase, provided that we notify our creditors of the proposed equity repurchase and allow such creditors an opportunity to initiate a court proceeding to review the repurchase. If within 30 days of such notification, creditors do not file an objection, we may proceed with the repurchase without obtaining court approval. In each case, we are only permitted to distribute a dividend (or effect equity repurchases) if our board of directors and the court, if applicable, determines that there is no reasonable concern that payment of the dividend (or the repurchases) will prevent us from satisfying our existing and foreseeable obligations as they become due.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Distributions may be determined by our board of directors.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since our company’s ordinary shares are listed on an exchange in the U.S., one or more shareholders holding, in the aggregate, either (a) 10% or more of our outstanding issued shares and 1% of our outstanding voting power or (b) 10% or more of our outstanding voting power.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sixty days prior to the date of the meeting. Furthermore, the Companies Law requires that resolutions regarding the following matters must be passed at a general meeting of our shareholders:</w:t>
      </w:r>
    </w:p>
    <w:p>
      <w:pPr>
        <w:spacing w:after="0" w:line="180" w:lineRule="exact"/>
        <w:rPr>
          <w:sz w:val="20"/>
          <w:szCs w:val="20"/>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approval of certain related party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Law generally allows one or more shareholders holding at least 1% of the voting power of a company to request the inclusion of an additional agenda item for an upcoming shareholders meeting, assuming that it is appropriate for debate and action at a shareholders meeting. For a company such as ours listed on an exchange outside of Israel, recently-adopted Companies Law regulations provide that a matter relating to the appointment or removal of a director may only be requested by one or more shareholders holding at least 5% of the voting rights. Our articles currently allow a shareholder holding 1% or more of our voting power to request inclusion of an agenda item, so currently we are unable to utilize the 5% threshold for a director appointment or removal request set by the Companies Law regulations. Under applicable regulations, a shareholder request regarding a shareholder meeting agenda item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following the pre-notice in which to submit proposed agenda items, after which we would have seven days to publish notice of the meeting that includes any accepted shareholder proposals.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and under our articles, shareholders are not permitted to take action by way of written consent in lieu of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spacing w:after="0" w:line="183" w:lineRule="exact"/>
        <w:rPr>
          <w:sz w:val="20"/>
          <w:szCs w:val="20"/>
          <w:color w:val="auto"/>
        </w:rPr>
      </w:pPr>
    </w:p>
    <w:p>
      <w:pPr>
        <w:ind w:left="980" w:hanging="324"/>
        <w:spacing w:after="0" w:line="282"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w:t>
      </w:r>
    </w:p>
    <w:p>
      <w:pPr>
        <w:spacing w:after="0" w:line="225" w:lineRule="exact"/>
        <w:rPr>
          <w:sz w:val="20"/>
          <w:szCs w:val="20"/>
          <w:color w:val="auto"/>
        </w:rPr>
      </w:pPr>
    </w:p>
    <w:p>
      <w:pPr>
        <w:jc w:val="both"/>
        <w:ind w:firstLine="656"/>
        <w:spacing w:after="0" w:line="256" w:lineRule="auto"/>
        <w:tabs>
          <w:tab w:leader="none" w:pos="8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7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 transaction agreement to which we are party with Amazon Corporate LLC, a subsidiary of Amazon.com, Inc., which we collectively refer to as Amazon, Amazon is entitled to certain registration rights. Under that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Tender Offer.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i w:val="1"/>
          <w:iCs w:val="1"/>
          <w:color w:val="auto"/>
        </w:rPr>
        <w:t>Special Tender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87"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 (other than an equity repurchase, for which we may proceed with the repurchase without obtaining court approval, provided that we follow the procedures described under “Dividend and Liquidation Rights”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1343025</wp:posOffset>
            </wp:positionV>
            <wp:extent cx="32061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168275</wp:posOffset>
            </wp:positionV>
            <wp:extent cx="1663065" cy="10204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166306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ornit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igital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061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defined, terms used herein shall have the meaning ascribed to them in Section 2 hereof.</w:t>
      </w:r>
    </w:p>
    <w:p>
      <w:pPr>
        <w:spacing w:after="0" w:line="227"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TYPES OF AWARDS;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2025 Share Incentive Plan (as amended,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afford an incentive to Service Providers of Kornit Digital Ltd., an Israeli company (together with any successor corporation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of the Company, Options,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share appreciation rights and other Share-based Awards pursuant to Sections 11 through 13 of this Plan.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This Plan is intended to enable the Company to issue Awards under various tax regimes, including:</w:t>
      </w:r>
    </w:p>
    <w:p>
      <w:pPr>
        <w:spacing w:after="0" w:line="225" w:lineRule="exact"/>
        <w:rPr>
          <w:sz w:val="20"/>
          <w:szCs w:val="20"/>
          <w:color w:val="auto"/>
        </w:rPr>
      </w:pPr>
    </w:p>
    <w:p>
      <w:pPr>
        <w:jc w:val="both"/>
        <w:ind w:left="660" w:firstLine="644"/>
        <w:spacing w:after="0" w:line="258" w:lineRule="auto"/>
        <w:tabs>
          <w:tab w:leader="none" w:pos="15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including the Income Tax Rules (Tax Benefits in Stock Issuance to Employees) 5763-2003 or such other rules so adopted from time to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(such Awards that are intended to be (as set forth in the Award Agreement) and which qualify as such under Section 102 of the Ordinance and the Rules, “</w:t>
      </w:r>
      <w:r>
        <w:rPr>
          <w:rFonts w:ascii="Times New Roman" w:cs="Times New Roman" w:eastAsia="Times New Roman" w:hAnsi="Times New Roman"/>
          <w:sz w:val="18"/>
          <w:szCs w:val="18"/>
          <w:u w:val="single" w:color="auto"/>
          <w:color w:val="auto"/>
        </w:rPr>
        <w:t>102 Awards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3(i) of the Ordinance or the corresponding provision of any subsequently enacted statute, as amended from time to time (such Awards, “</w:t>
      </w:r>
      <w:r>
        <w:rPr>
          <w:rFonts w:ascii="Times New Roman" w:cs="Times New Roman" w:eastAsia="Times New Roman" w:hAnsi="Times New Roman"/>
          <w:sz w:val="18"/>
          <w:szCs w:val="18"/>
          <w:u w:val="single" w:color="auto"/>
          <w:color w:val="auto"/>
        </w:rPr>
        <w:t>3(i) Awards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not intended to be (as set forth in the Award Agreement) or which do not qualify as Incentive Stock Options (“</w:t>
      </w:r>
      <w:r>
        <w:rPr>
          <w:rFonts w:ascii="Times New Roman" w:cs="Times New Roman" w:eastAsia="Times New Roman" w:hAnsi="Times New Roman"/>
          <w:sz w:val="18"/>
          <w:szCs w:val="18"/>
          <w:u w:val="single" w:color="auto"/>
          <w:color w:val="auto"/>
        </w:rPr>
        <w:t>Nonqualified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appreciation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0" w:name="page171"/>
    <w:bookmarkEnd w:id="170"/>
    <w:p>
      <w:pPr>
        <w:ind w:left="1300"/>
        <w:spacing w:after="0"/>
        <w:rPr>
          <w:sz w:val="20"/>
          <w:szCs w:val="20"/>
          <w:color w:val="auto"/>
        </w:rPr>
      </w:pPr>
      <w:r>
        <w:rPr>
          <w:rFonts w:ascii="Times New Roman" w:cs="Times New Roman" w:eastAsia="Times New Roman" w:hAnsi="Times New Roman"/>
          <w:sz w:val="18"/>
          <w:szCs w:val="18"/>
          <w:color w:val="auto"/>
        </w:rPr>
        <w:t>(vi) Restricted Shares, RSUs and other forms of Share-based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issuance of Awards under the relevant tax regimes in the United States of America and the State of Israel, and without derogating from the generality of Section 24, this Plan contemplates issuances to Grantees in other jurisdictions or under other tax regimes with respect to which the Committee is empowered, but is not required, to make the requisite adjustments in this Plan, to adopt sub-plans under this Plan and/or to set forth the relevant conditions in an appendix to this Plan or in the Company’s agreement with the Grantee in order to comply with Applicable Law of such other jurisdictions or the requirements of such other tax regimes.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 With respect to 102 Awards, if and to the extent any action or the exercise or application of any provision hereof or authority granted hereby is conditioned or subject to obtaining a ruling or tax determination from the ITA, to the extent required by Applicable Law, then the taking of any such action or 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 such ruling or tax determination (which shall be in the sole discretion of the Committee) and no assurance is made that if applied any such ruling or tax determination will be obtained (or the conditions thereof).</w:t>
      </w:r>
    </w:p>
    <w:p>
      <w:pPr>
        <w:spacing w:after="0" w:line="192"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Except when otherwise indicated by the context, (i) the singular shall include the plural and the plural shall 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terms shall have the meanings ascribed to them in this Section 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(i)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 or (ii) Employer.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any issuance of Shares or Restricted Shares, Options, RSUs, share appreciation rights and other Share-based Awards granted under this Plan or any award granted under a previous plan of the Company or its subsidiaries (including any company acquired by the Company) similar to this plan (including, but not limited to, the Prior Plans.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Change in Board Event</w:t>
      </w:r>
      <w:r>
        <w:rPr>
          <w:rFonts w:ascii="Times New Roman" w:cs="Times New Roman" w:eastAsia="Times New Roman" w:hAnsi="Times New Roman"/>
          <w:sz w:val="18"/>
          <w:szCs w:val="18"/>
          <w:color w:val="auto"/>
        </w:rPr>
        <w:t>” shall mean any time at which individuals who, as of the Effective Date, constitute the Board (the “</w:t>
      </w:r>
      <w:r>
        <w:rPr>
          <w:rFonts w:ascii="Times New Roman" w:cs="Times New Roman" w:eastAsia="Times New Roman" w:hAnsi="Times New Roman"/>
          <w:sz w:val="18"/>
          <w:szCs w:val="18"/>
          <w:u w:val="single" w:color="auto"/>
          <w:color w:val="auto"/>
        </w:rPr>
        <w:t>Incumbent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United States Internal Revenue Code of 1986, and any applicable regulations promulgated thereunder, all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a committee established or appointed by the Board to administer this Plan, subject to Section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Companies Law</w:t>
      </w:r>
      <w:r>
        <w:rPr>
          <w:rFonts w:ascii="Times New Roman" w:cs="Times New Roman" w:eastAsia="Times New Roman" w:hAnsi="Times New Roman"/>
          <w:sz w:val="18"/>
          <w:szCs w:val="18"/>
          <w:color w:val="auto"/>
        </w:rPr>
        <w:t>” shall mean the Israel Companies Law, 5759-1999, and the regulations promulgated thereunder, all as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shall have the meaning set forth in Section 32(9) of the Ordinance.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(i)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(ii) if applicable, a “permanent and total disability” as defined in Section 22(e)(3) of the Code or Section 409A(a)(2)(c)</w:t>
      </w:r>
    </w:p>
    <w:p>
      <w:pPr>
        <w:spacing w:after="0" w:line="3" w:lineRule="exact"/>
        <w:rPr>
          <w:sz w:val="20"/>
          <w:szCs w:val="20"/>
          <w:color w:val="auto"/>
        </w:rPr>
      </w:pPr>
    </w:p>
    <w:p>
      <w:pPr>
        <w:ind w:firstLine="8"/>
        <w:spacing w:after="0" w:line="260" w:lineRule="auto"/>
        <w:tabs>
          <w:tab w:leader="none" w:pos="2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as amended from time to time, or (iii) as defined in a policy of the Company that the Committee deems applicable to this Plan, or that makes reference to this Plan, for purposes of this definition.</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shall mean any person treated as an employee (including an officer or a director who is also treated as an employee) in the records of the Company or any of its Affiliates (and in the case of 102 Awards, subject to Section 9.3 or in the case of Incentive Stock Options, who is an employee for purposes of Section 422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for purpose of a 102 Trustee Award, the Company or an Affiliate, Subsidiary or Parent thereof, which is an “employing company” within the meaning and subject to the conditions of Section 102(a) of the Ordinance.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employed</w:t>
      </w:r>
      <w:r>
        <w:rPr>
          <w:rFonts w:ascii="Times New Roman" w:cs="Times New Roman" w:eastAsia="Times New Roman" w:hAnsi="Times New Roman"/>
          <w:sz w:val="18"/>
          <w:szCs w:val="18"/>
          <w:color w:val="auto"/>
        </w:rPr>
        <w:t>” and words of similar import shall be deemed to refer to the employment of Employees or to the services of any other Service Provider, as the case may be.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all regulations, guidance and other interpretative authority issued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exercised</w:t>
      </w:r>
      <w:r>
        <w:rPr>
          <w:rFonts w:ascii="Times New Roman" w:cs="Times New Roman" w:eastAsia="Times New Roman" w:hAnsi="Times New Roman"/>
          <w:sz w:val="18"/>
          <w:szCs w:val="18"/>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shall mean the exercise price for each Share covered by an Option or the purchase price for each Share covered by any other Award.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as of any date, the value of a Share or other securities, property or rights as determined by the Board, in its discretion, subject to the following: (i) if, on such date, the Shares are listed on any securities exchange, the closing sales price per Share on the securities exchange on which the Shares are principally traded on such date, or if no sale occurred on such date, the last day preceding such date on which a sale occurred, as reported in The Wall Street Journal or such other source as the Company deems reliable; (ii) if, on such date, the Shares are then quoted in an over-the-counter market, the average of the closing bid and asked prices for the Shares in that market on such date, or if there are no bid and asked prices on such date, the last day preceding such date on which there are bid and asked prices, as reported in The Wall Street Journal or such other source as the Company deems reliable; or (iii) if, on such date, the Shares 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shall mean a person who has been granted an Award(s) under this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grant of options to purchase Shares, including, for the avoidance of doubt, Incentive Stock Options and Nonqualified Stock Options.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shall mean the Israeli Income Tax Ordinance (New Version) 5271-1961, and the regulations and rules (including the Rules) promulgated thereunder, all as amended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that is a “parent corporation” of the Company, as defined in Section 424(e) of the Code.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U.S. Securities Act of 1933, and the rules and regulations promulgated thereunder, all as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xml:space="preserve">” shall mean an Employee, director, officer, consultant, advisor and any other person, who provides services to the Company or any Parent, Subsidiary or other Affiliate thereof. Service Providers shall include prospective Service Providers to whom Awards are granted in connection with written offers of an employment or other service relationship with the Company or any Parent, Subsidiary or any other Affiliates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employment or service shall have actually commenced. Notwithstanding the foregoing, unless otherwise determined by the Committee, each Service Provider shall be an “employee” as defined in the General Instructions to Form S-8 Registration Statement under the Securities Act (or any successor form thereto) at the time the Award is granted to the Service Provider.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ordinary share(s), par value NIS 0.01 per share, of the Company (including ordinary shares resulting or issued as a result of share split, reverse share split, bonus shares, combination or other recapitalization events), or shares of such other class of shares of the Company as shall be designated by the Board in respect of the relevant Award(s).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include any securities or property issued or distributed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company (other than the Company), which now exists or is hereafter organized or 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that is a “subsidiary corporation” of the Company, as defined in Section 424(f) of the Code.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 all federal, state, local or foreign taxes, charges, fees, imposts, levies or other assessments, including all income, capital gains, alternative or add-on minimum, transfer, value added tax, real and personal property, withholding, payroll, employment, escheat, social security, disability, national security, health tax, wealth surtax, stamp, registration and estimated taxes, customs duties, fees, assessments and charges of any similar kind whatsoever (including under Section 280G of the Code) or other tax of any kind whatsoever,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or other group for any taxable period, including under U.S. Treasury Regulations Section 1.1502-6(a) (or any predecessor or successor thereof of any analogous or similar provision under Applicable Law) or otherwise.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422(b)(6)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the trustee appointed by the Committee to hold the Awards (and, in relation with 102 Trustee Awards, approved by the ITA), if so appointed.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The following terms shall have the meanings ascribed to them in the Sections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w:t>
            </w:r>
          </w:p>
        </w:tc>
        <w:tc>
          <w:tcPr>
            <w:tcW w:w="37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Section</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Awards</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1.2(i)</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102 Capital Gains Track Awards</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7"/>
              </w:rPr>
              <w:t>9.1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Non-Trustee Awards</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9.2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102 Ordinary Income Track Awards</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7"/>
              </w:rPr>
              <w:t>9.1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Trustee Awards</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9.1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3(i) Awards</w:t>
            </w: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1.2(ii)</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Cause</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rPr>
              <w:t>6.6.4.4</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7140" w:type="dxa"/>
            <w:vAlign w:val="bottom"/>
            <w:gridSpan w:val="3"/>
          </w:tcPr>
          <w:p>
            <w:pPr>
              <w:jc w:val="center"/>
              <w:ind w:left="393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9.2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Eligible 102 Grantees</w:t>
            </w:r>
          </w:p>
        </w:tc>
        <w:tc>
          <w:tcPr>
            <w:tcW w:w="7140" w:type="dxa"/>
            <w:vAlign w:val="bottom"/>
            <w:gridSpan w:val="3"/>
          </w:tcPr>
          <w:p>
            <w:pPr>
              <w:jc w:val="center"/>
              <w:ind w:left="3930"/>
              <w:spacing w:after="0"/>
              <w:rPr>
                <w:sz w:val="20"/>
                <w:szCs w:val="20"/>
                <w:color w:val="auto"/>
              </w:rPr>
            </w:pPr>
            <w:r>
              <w:rPr>
                <w:rFonts w:ascii="Times New Roman" w:cs="Times New Roman" w:eastAsia="Times New Roman" w:hAnsi="Times New Roman"/>
                <w:sz w:val="18"/>
                <w:szCs w:val="18"/>
                <w:color w:val="auto"/>
                <w:w w:val="99"/>
              </w:rPr>
              <w:t>9.3.1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Stock Options</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1.2(iii)</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7140" w:type="dxa"/>
            <w:vAlign w:val="bottom"/>
            <w:gridSpan w:val="3"/>
          </w:tcPr>
          <w:p>
            <w:pPr>
              <w:jc w:val="center"/>
              <w:ind w:left="393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1.1(i)</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Merger/Sale</w:t>
            </w:r>
          </w:p>
        </w:tc>
        <w:tc>
          <w:tcPr>
            <w:tcW w:w="7140" w:type="dxa"/>
            <w:vAlign w:val="bottom"/>
            <w:gridSpan w:val="3"/>
          </w:tcPr>
          <w:p>
            <w:pPr>
              <w:jc w:val="center"/>
              <w:ind w:left="393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1.2(iv)</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Plan(s)</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5.2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Pool</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7"/>
              </w:rPr>
              <w:t>5.1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w:t>
            </w:r>
          </w:p>
        </w:tc>
        <w:tc>
          <w:tcPr>
            <w:tcW w:w="7140" w:type="dxa"/>
            <w:vAlign w:val="bottom"/>
            <w:gridSpan w:val="3"/>
            <w:shd w:val="clear" w:color="auto" w:fill="CCEEFF"/>
          </w:tcPr>
          <w:p>
            <w:pPr>
              <w:jc w:val="center"/>
              <w:ind w:left="393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Required Holding Period</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7"/>
              </w:rPr>
              <w:t>9.5</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5"/>
              </w:rPr>
              <w:t>11.2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Agreement</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 Agreement</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w:t>
            </w:r>
          </w:p>
        </w:tc>
        <w:tc>
          <w:tcPr>
            <w:tcW w:w="7140" w:type="dxa"/>
            <w:vAlign w:val="bottom"/>
            <w:gridSpan w:val="3"/>
          </w:tcPr>
          <w:p>
            <w:pPr>
              <w:jc w:val="center"/>
              <w:ind w:left="39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Rules</w:t>
            </w: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1.2(i)</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Successor Corporation</w:t>
            </w:r>
          </w:p>
        </w:tc>
        <w:tc>
          <w:tcPr>
            <w:tcW w:w="7140" w:type="dxa"/>
            <w:vAlign w:val="bottom"/>
            <w:gridSpan w:val="3"/>
            <w:shd w:val="clear" w:color="auto" w:fill="CCEEFF"/>
          </w:tcPr>
          <w:p>
            <w:pPr>
              <w:jc w:val="center"/>
              <w:ind w:left="3910"/>
              <w:spacing w:after="0"/>
              <w:rPr>
                <w:sz w:val="20"/>
                <w:szCs w:val="20"/>
                <w:color w:val="auto"/>
              </w:rPr>
            </w:pPr>
            <w:r>
              <w:rPr>
                <w:rFonts w:ascii="Times New Roman" w:cs="Times New Roman" w:eastAsia="Times New Roman" w:hAnsi="Times New Roman"/>
                <w:sz w:val="18"/>
                <w:szCs w:val="18"/>
                <w:color w:val="auto"/>
              </w:rPr>
              <w:t>14.2.1</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7140" w:type="dxa"/>
            <w:vAlign w:val="bottom"/>
            <w:gridSpan w:val="3"/>
          </w:tcPr>
          <w:p>
            <w:pPr>
              <w:jc w:val="center"/>
              <w:ind w:left="3930"/>
              <w:spacing w:after="0"/>
              <w:rPr>
                <w:sz w:val="20"/>
                <w:szCs w:val="20"/>
                <w:color w:val="auto"/>
              </w:rPr>
            </w:pPr>
            <w:r>
              <w:rPr>
                <w:rFonts w:ascii="Times New Roman" w:cs="Times New Roman" w:eastAsia="Times New Roman" w:hAnsi="Times New Roman"/>
                <w:sz w:val="18"/>
                <w:szCs w:val="18"/>
                <w:color w:val="auto"/>
              </w:rPr>
              <w:t>17.5</w:t>
            </w:r>
          </w:p>
        </w:tc>
      </w:tr>
      <w:tr>
        <w:trPr>
          <w:trHeight w:val="637"/>
        </w:trPr>
        <w:tc>
          <w:tcPr>
            <w:tcW w:w="4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1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5" w:name="page176"/>
    <w:bookmarkEnd w:id="175"/>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3.1. To the extent permitted under Applicable Law, the Company’s Amended and Restated Articles of Association (as may be amended and supplemented from time to time, the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and any other governing document of the Company, this Plan shall be administered by the Committee. In the event that the Board does not appoint or establish a committee to administer 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actions that are stated to be vested in the Committee, and shall not be restricted or limited from exercising all rights, powers and authorities under this Plan or Applicable Law.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80" w:lineRule="exact"/>
        <w:rPr>
          <w:sz w:val="20"/>
          <w:szCs w:val="20"/>
          <w:color w:val="auto"/>
        </w:rPr>
      </w:pPr>
    </w:p>
    <w:p>
      <w:pPr>
        <w:ind w:left="1520" w:hanging="216"/>
        <w:spacing w:after="0"/>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Grantees,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at which Awards shall be granted,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conditions and restrictions applicable to each Award (which need not be identical) and any Shares acquired upon the exercise or (if applicable) vesting thereof, including,(1)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5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of any Award or the vesting thereof, including with respect to the period following a Grantee’s termination of employment or other service,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firstLine="644"/>
        <w:spacing w:after="0" w:line="282" w:lineRule="auto"/>
        <w:tabs>
          <w:tab w:leader="none" w:pos="163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this Plan and any Award Agreement and the meaning, interpretation and applicability of terms referred to in Applicable Law,</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guidelines, rules and regulations relating to and for carrying out this Plan, and any amendment, supplement or rescission thereof, as it may deem appropriate,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82" w:lineRule="auto"/>
        <w:tabs>
          <w:tab w:leader="none" w:pos="17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or other securities, property or rights,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track (capital gains, ordinary income track or any other track available under the Section 102 of the Ordinance) for the purpose of 102 Awards,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and approval of conversion, substitution, cancellation or suspension under and in accordance with this Plan of any or all Awards or Shares,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under the terms of this Plan, the amendment, modification, waiver or supplement of the terms of any outstanding Award (including reducing the Exercise Price of an Award), provided, however, that if such amendments increase the Exercise Price of an Award or reduce the number of Shares underlying an Award, then such amendments shall require the consent of the applicable Grantee, unless such amendment is made pursuant to the exercise of rights or authorities in accordance with Sections 14 or 24,</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 in each case, without the consent of the Company’s shareholders,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which is necessary or desirable for, or incidental to, the administration of this Plan and any Award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3.4. The authority granted hereunder includes the authority to modify Awards to eligible individuals who are foreign nationals or are individuals who are employed outside the State of Israel or the United States of America, to recognize differences in local law, tax policy or custom, in order to effectuate the purposes of this Plan but without amending this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3.5.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3.6.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3.7. Any officer or authorized signatory of the Company shall have the authority to act on behalf of the Company with respect to any matter, right, obligation, determination or election which is the responsibility of or which is allocated to the Company herein, provided such 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pacing w:after="0" w:line="180"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Awards may be granted to Service Providers of the Company or any Affiliate thereof, taking into account, at the Committee’s discretion and without an obligation to do so, the qualification under each tax regime pursuant to which such Awards are granted, subject to the limitation on the granting of Incentive Stock Options set forth in Section 8.1.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76"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 The maximum aggregate number of Shares that may be issued pursuant to Awards under this Plan (which includes Shares that were available under the Prior Plans and were not subject to outstanding awards as of the Effective Date of this Plan, and were therefore transferred over to this Plan) (the “</w:t>
      </w:r>
      <w:r>
        <w:rPr>
          <w:rFonts w:ascii="Times New Roman" w:cs="Times New Roman" w:eastAsia="Times New Roman" w:hAnsi="Times New Roman"/>
          <w:sz w:val="18"/>
          <w:szCs w:val="18"/>
          <w:u w:val="single" w:color="auto"/>
          <w:color w:val="auto"/>
        </w:rPr>
        <w:t>Pool</w:t>
      </w:r>
      <w:r>
        <w:rPr>
          <w:rFonts w:ascii="Times New Roman" w:cs="Times New Roman" w:eastAsia="Times New Roman" w:hAnsi="Times New Roman"/>
          <w:sz w:val="18"/>
          <w:szCs w:val="18"/>
          <w:color w:val="auto"/>
        </w:rPr>
        <w:t>”) shall be the sum of (a) 2,053,090 Shares, plus (b) any Shares underlying awards under the Prior Plan(s) as of the Effective Date which, following the Effective Date, become available for issuance under the Plan pursuant to Section 5.2 below, in all events subject to adjustment as provided in Section 14.1. The Board may, at its discretion, reduce the number of Shares that may be issued pursuant to Awards under this Plan, at any time (provided that such reduction does not derogate from any issuance of Shares in respect of Awards then outstanding).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5.2. Any Shares (a) underlying an Award granted hereunder or an award that had been granted and was outstanding as of the Effective Date under the Company’s 2015 Incentive Compensation Plan or 2012 Share Incentive Plan (the “</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that expires, or is cancelled, terminated, forfeited, or settled in cash in lieu of issuance of Shares, for any reason, without having been exercised; (b) if permitted by the Company, tendered to pay the Exercise Price of an Award (or the exercise price or other purchase price of any option or other award under the Prior Plan(s)), or withholding tax obligations with respect to an Award (or any awards under the Prior Plan(s)); or (c) if permitted by the Company, subject to an Award (or any award under the Prior Plan(s)) that are not delivered to a Grantee because such Shares are withheld to pay the Exercise Price of such Award (or any award under the Prior Plan(s)), or withholding tax obligations with respect to such Award (or such other award); shall automatically, and without any further action on the part of the Company or any Grantee, again be available for grant of Awards and for issuance upon exercise or (if applicable) vesting thereof for the purposes of this Plan (unless this Plan shall have been terminated), and, in the case of Shares underlying awards under the Prior Plans, the Pool under this Plan shall automatically be deemed to be increased by the amount of any such Shares being made available from the Prior Plans, unless the Board determines otherwise. Such Shares may be, in whole or in part, authorized but unissued Shares, (and, subject to obtaining a ruling as it applies to 102 Awards) treasury shares (dormant shares) or otherwise Shares that shall have been or may be repurchased by the Company (to the extent permitted pursuant to the Companies Law).</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5.3. Unless determined otherwise by the Board or Committee, any Shares under the Pool that are not subject to outstanding or exercised Awards at the termination of this Plan shall cease to be reserved for the purpose of this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firstLine="648"/>
        <w:spacing w:after="0" w:line="282" w:lineRule="auto"/>
        <w:rPr>
          <w:sz w:val="20"/>
          <w:szCs w:val="20"/>
          <w:color w:val="auto"/>
        </w:rPr>
      </w:pPr>
      <w:r>
        <w:rPr>
          <w:rFonts w:ascii="Times New Roman" w:cs="Times New Roman" w:eastAsia="Times New Roman" w:hAnsi="Times New Roman"/>
          <w:sz w:val="18"/>
          <w:szCs w:val="18"/>
          <w:color w:val="auto"/>
        </w:rPr>
        <w:t>5.4. From and after the Effective Date, no further grants or awards shall be made under the Prior Plan(s); however, Awards made under the Prior Plan(s) before the Effective Date shall continue in effect in accordance with their terms.</w:t>
      </w:r>
    </w:p>
    <w:p>
      <w:pPr>
        <w:spacing w:after="0" w:line="16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Award granted pursuant to this Plan shall be evidenced by a written or electronic agreement between the Company and the Grantee or a written or electronic notice delivered by the Company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Award Agreement shall state the number of Shares covered by the Award.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Type of Award</w:t>
      </w:r>
      <w:r>
        <w:rPr>
          <w:rFonts w:ascii="Times New Roman" w:cs="Times New Roman" w:eastAsia="Times New Roman" w:hAnsi="Times New Roman"/>
          <w:sz w:val="18"/>
          <w:szCs w:val="18"/>
          <w:color w:val="auto"/>
        </w:rPr>
        <w:t>. Each Award Agreement may state the type of Award granted thereunder, provided that the tax treatment of any Award, whether or not stated in the Award Agreement, shall be as determined in accordance with Applicable Law.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Award Agreement shall state the Exercise Price, if applicable. Unless otherwise set forth in this Plan, an Exercise Price of an Award of less than the par value of the Shares (if shares bear a par value) shall comply with Section 304 of the Companies Law. The Committee may , reduce the Exercise Price of any outstanding Award on terms and subject to such conditions as it deems advisable. The Exercise Price shall also be subject to adjustment as provided in Section 14 hereof. The Exercise Price of any Award granted to a Grantee who is subject to U.S. federal income tax shall be determined in accordance with Section 409A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6.4.1 An Award may be exercised, as to any or all Shares as to which the Award has become exercisable, (a) by written notice delivered in person or by mail (or such other methods of delivery prescribed by the Company) to the Stock Administrator/Manager of the Company or, if no such role is then incumbent, to the Chief Financial Officer of the Company or to such other person as determined by the Committee, (b) by way of an exercise order submitted via the online service operated and maintained by the Company or any of its service providers, or (c)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and as a condition therefor, either (i) in cash, (ii)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(iv) by applying the Cashless Exercise Mechanism set forth in Section 6.4.3 below, or (v) in such other manner as the Committee shall determine, which may include procedures for cashless exercise.</w:t>
      </w:r>
    </w:p>
    <w:p>
      <w:pPr>
        <w:spacing w:after="0" w:line="19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6.4.2 The application of Cashless Exercise Mechanism with respect to any 102 Awards shall be subject to obtaining a ruling from the ITA, to the extent required by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6.4.3 Unless otherwise determined by the Committee, any and all Options (other than Incentive Stock Options) may be exercised using a cashless exercise mechanism, in which case the number of the Shares to be issued by the Company upon such exercise shall be calculated pursuant to the following formula (the “</w:t>
      </w:r>
      <w:r>
        <w:rPr>
          <w:rFonts w:ascii="Times New Roman" w:cs="Times New Roman" w:eastAsia="Times New Roman" w:hAnsi="Times New Roman"/>
          <w:sz w:val="18"/>
          <w:szCs w:val="18"/>
          <w:u w:val="single" w:color="auto"/>
          <w:color w:val="auto"/>
        </w:rPr>
        <w:t>Cashless Exercise Mechanism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 (A – B)</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ind w:left="1040"/>
        <w:spacing w:after="0"/>
        <w:tabs>
          <w:tab w:leader="none" w:pos="1920" w:val="left"/>
          <w:tab w:leader="none" w:pos="2240" w:val="left"/>
          <w:tab w:leader="none" w:pos="256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w:t>
        <w:tab/>
        <w:t>=</w:t>
        <w:tab/>
        <w:t>the number of Shares to be issued to the Grantee.</w:t>
      </w:r>
    </w:p>
    <w:p>
      <w:pPr>
        <w:spacing w:after="0" w:line="225" w:lineRule="exact"/>
        <w:rPr>
          <w:sz w:val="20"/>
          <w:szCs w:val="20"/>
          <w:color w:val="auto"/>
        </w:rPr>
      </w:pPr>
    </w:p>
    <w:p>
      <w:pPr>
        <w:ind w:left="2580" w:hanging="640"/>
        <w:spacing w:after="0" w:line="282" w:lineRule="auto"/>
        <w:tabs>
          <w:tab w:leader="none" w:pos="22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as adjusted to the date of such calculation, underlying the number of Options being exercised.</w:t>
      </w:r>
    </w:p>
    <w:p>
      <w:pPr>
        <w:spacing w:after="0" w:line="162" w:lineRule="exact"/>
        <w:rPr>
          <w:sz w:val="20"/>
          <w:szCs w:val="20"/>
          <w:color w:val="auto"/>
        </w:rPr>
      </w:pPr>
    </w:p>
    <w:p>
      <w:pPr>
        <w:ind w:left="2580" w:right="20" w:hanging="640"/>
        <w:spacing w:after="0" w:line="282" w:lineRule="auto"/>
        <w:tabs>
          <w:tab w:leader="none" w:pos="22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fair market value, as determined in the tax ruling mentioned in Section 6.4.2 above, of one Share at the exercise date.</w:t>
      </w:r>
    </w:p>
    <w:p>
      <w:pPr>
        <w:spacing w:after="0" w:line="162" w:lineRule="exact"/>
        <w:rPr>
          <w:sz w:val="20"/>
          <w:szCs w:val="20"/>
          <w:color w:val="auto"/>
        </w:rPr>
      </w:pPr>
    </w:p>
    <w:p>
      <w:pPr>
        <w:ind w:left="2260" w:hanging="320"/>
        <w:spacing w:after="0"/>
        <w:tabs>
          <w:tab w:leader="none" w:pos="2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the Options being exercised.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Upon the completion of the calculation, if X is a negative number, then X shall be deemed to equal 0 (zero).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Term and Vesting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6.5.1 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determined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6.5.2 The Award Agreement may contain performance goals and measurements (which, in case of 102 Trustee Awards, may, if then required, be subject to obtaining a specific tax ruling or determination from the ITA), and the provisions with respect to any Award need not be the same as the provisions with respect to any other Award. Such performance goals may include, but are not limited to, revenues, sales, operating income, earnings before interest and taxes, return on investment, earnings per share, share trading price and performance hurdles,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6.5.3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6.6.1 Unless otherwise determined by the Committee, and subject to this Section 6.6 and Section 6.7 hereof, an Award may not be exercised unless the Grantee was, since the date of grant of the Award throughout the vesting dates, and is then (at the time of exercise), a Service Provider.</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6.6.2 In the event that the employment or service of a Grantee shall terminate (other than by reason of death, Disability or Retirement), such that Grantee is no longer a Service Provider,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in general or on a case-by-case basis), but in any event no later than the date of expiration of the Award’s term as set forth in the Award Agreement or pursuant to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(or its Subsidiary or other Affiliate thereof, as applicable) shall have terminated the Grantee’s employment or service for Cause (as defined below) (whether the facts or circumstances that constitute such Cause occur prior to or after termination of employment or service), or if facts or circumstances arise or are discovered with respect to the Grantee that would have constituted Cause, then all Awards theretofore granted to such Grantee (whether vested or not) shall terminate and be subject to recoupment by the Company on the date of such termination (or on such subsequent date on which such facts or circumstances arise or are discovered, as the case may be) unless otherwise determined by the Committee, and any Shares issued upon exercise or (if applicable) vesting of Awards (including other Shares or securities issued or distributed with respect thereto, and including the gross amount of any proceeds, gains or other economic benefit the Grantee actually or constructively receives upon receipt or exercise of any Award or the receipt or resale of any Shares underlying the Award), whether held by the Grantee or by the Trustee for the Grantee’s benefit, shall be deemed to be irrevocably offered for sale to the Company, any of its Affiliates or any person designated by the Company to purchase, at the Company’s election and subject to Applicable Law, either for no consideration, for the par value of such Shares (if such Shares bear a par value) or against payment of the Exercise Price previously received by the Company for such Shares upon their issuance, as the Committee deems fit, upon written notice to the Grantee at any time prior to, at or after the Grantee’s termination of employment or service. Such Shares or other securities shall be sold and transferred within 30 days from the date of the Company’s notice of its election to exercise its right. If the Grantee fails to transfer such Shares or other securities to the Company, the Company, at the decision of the Committee, shall be entitled to forfeit or repurchase such Shares and to authorize any person to execute on behalf of the Grantee any document necessary to effect such transfer, whether or not the share certificates (if any) are surrendered. The Company shall have the right and authority to effect the above either by: (i) repurchasing all of such Shares or other securities held by the Grantee or by the Trustee for the benefit of the Grantee, or designate the purchaser of all or any part of such Shares or other securities, for the Exercise Price paid for such Shares, the par value of such Shares (if such Shares bear a par value) or for no payment or consideration whatsoever, as the Committee deems fit; (ii) forfeiting all or any part of such Shares or other securities; (iii) redeeming all or any part of such Shares or other securities, for the Exercise Price paid for such Shares, the par value of such Shares (if such Shares bear a par value) or for no payment or consideration whatsoever, as the Committee deems fit; (iv) taking action in order to have all or any part of such Shares or other securities converted into deferred shares entitling their holder only to their par value (if such Shares bear a par value) upon liquidation of the Company; or (v) taking any other action which may be required in order to achieve similar results; all as shall be determined by the Committee, at its sole and absolute discretion, and the Grantee is deemed to irrevocably empower the Company or any person which may be designated by it to take any action by, in the name of or on behalf of the Grantee to comply with and give effect to such actions (including, voting such shares, filling in, signing and delivering share transfer deeds, etc.).</w:t>
      </w: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1" w:name="page182"/>
    <w:bookmarkEnd w:id="181"/>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6.6.3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(including, without limitation, qualification of an Award as an Incentive Stock Option) as a result of the modification of such Awards and/or in the event that the Award is exercised beyond the later of: (i) 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6.6.4 For purposes of this Plan:</w:t>
      </w:r>
    </w:p>
    <w:p>
      <w:pPr>
        <w:spacing w:after="0" w:line="225"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6.6.4.1. A termination of employment or service relationship of a Grantee shall not be deemed to occur (except to the extent required by the Code with respect to the Incentive Stock Option status of an Option) in case of (i) a transition or 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case of the foregoing clauses (i) and (ii) above, that the Grantee has remained continuously employed by and/or in the service of the Company and its Affiliates since the date of grant of the Award and throughout the vesting period; or (iii) if the Grantee takes any unpaid leave as set forth in Section 6.8 below.</w:t>
      </w:r>
    </w:p>
    <w:p>
      <w:pPr>
        <w:spacing w:after="0" w:line="189"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6.6.4.2. An entity or an Affiliate thereof assuming an Award or issuing in substitution thereof in a transaction to which Section 424(a) of the Code applies or in a Merger/Sale in accordance with Section 14 shall be deemed as an Affiliate of the Company for purposes of this Section 6.6, unless the Committee determines otherwise.</w:t>
      </w:r>
    </w:p>
    <w:p>
      <w:pPr>
        <w:spacing w:after="0" w:line="176"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6.6.4.3. In the case of a Grantee whose principal employer or service recipient is a Subsidiary or other Affiliate thereof, the Grantee’s employment or service relationship shall also be deemed terminated for purposes of this Section 6.6 as of the date on which such principal employer or service recipient ceases to be a Subsidiary or other Affiliate thereof.</w:t>
      </w:r>
    </w:p>
    <w:p>
      <w:pPr>
        <w:spacing w:after="0" w:line="176" w:lineRule="exact"/>
        <w:rPr>
          <w:sz w:val="20"/>
          <w:szCs w:val="20"/>
          <w:color w:val="auto"/>
        </w:rPr>
      </w:pPr>
    </w:p>
    <w:p>
      <w:pPr>
        <w:jc w:val="both"/>
        <w:ind w:left="4" w:firstLine="1296"/>
        <w:spacing w:after="0" w:line="252" w:lineRule="auto"/>
        <w:rPr>
          <w:sz w:val="20"/>
          <w:szCs w:val="20"/>
          <w:color w:val="auto"/>
        </w:rPr>
      </w:pPr>
      <w:r>
        <w:rPr>
          <w:rFonts w:ascii="Times New Roman" w:cs="Times New Roman" w:eastAsia="Times New Roman" w:hAnsi="Times New Roman"/>
          <w:sz w:val="18"/>
          <w:szCs w:val="18"/>
          <w:color w:val="auto"/>
        </w:rPr>
        <w:t>6.6.4.4.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(irrespective of, and in addition to, any definition included in any other 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other Affiliate thereof, when applicable); (iii) any breach by the Grantee of any material agreement with or of any material duty of the Grantee to the Company or any Subsidiary or other Affiliate thereof (including breach of confidentiality, non-disclosure, non-use non- competition or non-solicitation covenants towards the Company or any of its Affiliates) or failure to abide by code of conduct or other policies (including, without limitation, policies relating to confidentiality and reasonable workplace conduct);</w:t>
      </w:r>
    </w:p>
    <w:p>
      <w:pPr>
        <w:spacing w:after="0" w:line="6" w:lineRule="exact"/>
        <w:rPr>
          <w:sz w:val="20"/>
          <w:szCs w:val="20"/>
          <w:color w:val="auto"/>
        </w:rPr>
      </w:pPr>
    </w:p>
    <w:p>
      <w:pPr>
        <w:jc w:val="both"/>
        <w:ind w:left="4" w:hanging="4"/>
        <w:spacing w:after="0" w:line="251" w:lineRule="auto"/>
        <w:tabs>
          <w:tab w:leader="none" w:pos="3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which constitutes a breach of a Grantee’s fiduciary duty towards the Company or a Subsidiary or other Affiliate thereof, including disclosure of confidential or proprietary information thereof or acceptance or solicitation to receive unauthorized or undisclosed benefits, irrespective of their nature, or funds, or promises to receive either, from individuals, consultants or corporate entities with whom the Company or a Subsidiary or other Affiliate thereof conducts business; (v) the Grantee’s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Death, Disability or Retirement of Grantee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6.7.1 If a Grantee shall die while employed by, or performing service for, the Company or any of its Affiliates, or within the three (3) 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with the Company or any of its Affiliates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6.7.2 In the event that the employment or service of a Grantee shall terminate on account of such Grantee’s Retirement, all 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Suspension of Vesting</w:t>
      </w:r>
      <w:r>
        <w:rPr>
          <w:rFonts w:ascii="Times New Roman" w:cs="Times New Roman" w:eastAsia="Times New Roman" w:hAnsi="Times New Roman"/>
          <w:sz w:val="18"/>
          <w:szCs w:val="18"/>
          <w:color w:val="auto"/>
        </w:rPr>
        <w:t>. Unless the Committee provides otherwise, vesting of Awards granted hereunder shall be suspended 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 leave or sick leave are not deemed unpaid leave of absence, unless otherwise determined by the Committee.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Securities Law Restrictions</w:t>
      </w:r>
      <w:r>
        <w:rPr>
          <w:rFonts w:ascii="Times New Roman" w:cs="Times New Roman" w:eastAsia="Times New Roman" w:hAnsi="Times New Roman"/>
          <w:sz w:val="18"/>
          <w:szCs w:val="18"/>
          <w:color w:val="auto"/>
        </w:rPr>
        <w:t>. Except as otherwise provided in the applicable Award Agreement or other agreement between the 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(i) the expiration of a period of three (3) months (or such longer period of time as determined by the Committee,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 evidencing Awards under this Plan shall contain such other terms and conditions not 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80"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Certain Limitations on Eligibility for Nonqualified Stock Options</w:t>
      </w:r>
      <w:r>
        <w:rPr>
          <w:rFonts w:ascii="Times New Roman" w:cs="Times New Roman" w:eastAsia="Times New Roman" w:hAnsi="Times New Roman"/>
          <w:sz w:val="18"/>
          <w:szCs w:val="18"/>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1.409A-1(b)(5)(v)(D) of the U.S. Treasury Regulations or any successor guidance.</w:t>
      </w:r>
    </w:p>
    <w:p>
      <w:pPr>
        <w:spacing w:after="0" w:line="183"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 However, if for any reason any Award granted pursuant to this Section 8 (or portion thereof) does not qualify as an Incentive Stock Option, then, to the extent of such non-qualification, such Option (or portion thereof) shall be regarded as a Nonqualified Stock Option granted under this Plan. In no event will the Board, the Company or any Parent or Subsidiary or any of their respective employees or directors have any liability to Grantee (or any other person) due to the failure of the Option to qualify for any reason as an Incentive Stock Option.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Eligibility for Incentive Stock Options</w:t>
      </w:r>
      <w:r>
        <w:rPr>
          <w:rFonts w:ascii="Times New Roman" w:cs="Times New Roman" w:eastAsia="Times New Roman" w:hAnsi="Times New Roman"/>
          <w:sz w:val="18"/>
          <w:szCs w:val="18"/>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Stock Option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Notwithstanding any other provision of this Plan to the contrary, no Incentive Stock Option may be granted under this Plan after 10 years from the date this Plan is adopted, or the date this Plan is approved by the shareholders, whichever is earlier.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$100,000 Per Year Limitation</w:t>
      </w:r>
      <w:r>
        <w:rPr>
          <w:rFonts w:ascii="Times New Roman" w:cs="Times New Roman" w:eastAsia="Times New Roman" w:hAnsi="Times New Roman"/>
          <w:sz w:val="18"/>
          <w:szCs w:val="18"/>
          <w:color w:val="auto"/>
        </w:rPr>
        <w:t>. The aggregate Fair Market Value (determined as of the date the Incentive Stock Option is granted) of the Shares with respect to which all Incentive Stock Options granted under this Plan and all other “incentive stock option” plans of the Company, or of any Parent or Subsidiary, become exercisable for the first time by each Grantee during any calendar year shall not exceed one hundred thousand United States dollars ($100,000) with respect to such Grantee. To the extent that the aggregate Fair Market Value of Shares with respect to which such Incentive Stock Options and any other such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Option is treated as an Incentive Stock Option in part and as a Nonqualified Stock Option in part by reason of the limitation set forth in this Section 8.5, the Grantee may designate which portion of such Option the Grantee is exercising. In the absence of such designation, the Grantee shall be deemed to have exercised the Incentive Stock Option portion of the Option first. Separate certificates representing each such portion may be issued upon the exercise of the Option.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In the case of an Incentive Stock Option granted to a Ten Percent Shareholder, notwithstanding the foregoing provisions of this Section 8, (i) the Exercise Price shall not be less than one hundred and ten percent (110%) of the Fair Market Value of a Share on the date of grant of such Incentive Stock Option, and (ii) the Exercise Period shall not exceed five (5) years from the effective date of grant of such Incentive Stock Option.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Each Award Agreement evidencing an Incentive Stock Option shall state each alternative method by which the Exercise Price thereof may be paid.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Notwithstanding Section 6.8, a Grantee’s employment shall not be deemed to have terminated if the Grantee takes any leave as set forth in Section 6.8(i) or as otherwise permitted by the Administrator.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Exercise Following Termination</w:t>
      </w:r>
      <w:r>
        <w:rPr>
          <w:rFonts w:ascii="Times New Roman" w:cs="Times New Roman" w:eastAsia="Times New Roman" w:hAnsi="Times New Roman"/>
          <w:sz w:val="18"/>
          <w:szCs w:val="18"/>
          <w:color w:val="auto"/>
        </w:rPr>
        <w:t xml:space="preserve">. Notwithstanding anything else in this Plan to the contrary, Incentive Stock Options that are not exercised within three (3) months following termination of the Grantee’s employment with the Company or its Parent or Subsidiary or with a corporation (or a parent or subsidiary of such corporation) issuing or assuming an Option of such Grantee in a transaction to which Section 424(a) of the Code applies, or within one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year in case of termination of the Grantee’s employment with the Company or its Parent or Subsidiary due to a Disability (within the meaning of Section 22(e)(3) of the Code), shall be deemed to be Nonqualified Stock Options.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Notice to Company of Disqualifying Disposition</w:t>
      </w:r>
      <w:r>
        <w:rPr>
          <w:rFonts w:ascii="Times New Roman" w:cs="Times New Roman" w:eastAsia="Times New Roman" w:hAnsi="Times New Roman"/>
          <w:sz w:val="18"/>
          <w:szCs w:val="18"/>
          <w:color w:val="auto"/>
        </w:rPr>
        <w:t>. Each Grantee who receives an Incentive Stock Option must agree to notify the Company in writing immediately after the Grantee makes a Disqualifying Disposition of any Shares received pursuant to the exercise of Incentive Stock Options. A “</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102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Tracks</w:t>
      </w:r>
      <w:r>
        <w:rPr>
          <w:rFonts w:ascii="Times New Roman" w:cs="Times New Roman" w:eastAsia="Times New Roman" w:hAnsi="Times New Roman"/>
          <w:sz w:val="18"/>
          <w:szCs w:val="18"/>
          <w:color w:val="auto"/>
        </w:rPr>
        <w:t>. Awards granted pursuant to this Section 9 are intended to be granted pursuant to Section 102 of the Ordinance pursuant to either (i) Section 102(b)(2) or (3) thereof (as applicable), under the capital gain track (“</w:t>
      </w:r>
      <w:r>
        <w:rPr>
          <w:rFonts w:ascii="Times New Roman" w:cs="Times New Roman" w:eastAsia="Times New Roman" w:hAnsi="Times New Roman"/>
          <w:sz w:val="18"/>
          <w:szCs w:val="18"/>
          <w:u w:val="single" w:color="auto"/>
          <w:color w:val="auto"/>
        </w:rPr>
        <w:t>102 Capital Gain Track Awards</w:t>
      </w:r>
      <w:r>
        <w:rPr>
          <w:rFonts w:ascii="Times New Roman" w:cs="Times New Roman" w:eastAsia="Times New Roman" w:hAnsi="Times New Roman"/>
          <w:sz w:val="18"/>
          <w:szCs w:val="18"/>
          <w:color w:val="auto"/>
        </w:rPr>
        <w:t>”), or (ii) Section 102(b)(1) thereof under the ordinary income track (“</w:t>
      </w:r>
      <w:r>
        <w:rPr>
          <w:rFonts w:ascii="Times New Roman" w:cs="Times New Roman" w:eastAsia="Times New Roman" w:hAnsi="Times New Roman"/>
          <w:sz w:val="18"/>
          <w:szCs w:val="18"/>
          <w:u w:val="single" w:color="auto"/>
          <w:color w:val="auto"/>
        </w:rPr>
        <w:t>102 Ordinary Income Track Awards</w:t>
      </w:r>
      <w:r>
        <w:rPr>
          <w:rFonts w:ascii="Times New Roman" w:cs="Times New Roman" w:eastAsia="Times New Roman" w:hAnsi="Times New Roman"/>
          <w:sz w:val="18"/>
          <w:szCs w:val="18"/>
          <w:color w:val="auto"/>
        </w:rPr>
        <w:t>”, and together with 102 Capital Gain Track Awards, “</w:t>
      </w:r>
      <w:r>
        <w:rPr>
          <w:rFonts w:ascii="Times New Roman" w:cs="Times New Roman" w:eastAsia="Times New Roman" w:hAnsi="Times New Roman"/>
          <w:sz w:val="18"/>
          <w:szCs w:val="18"/>
          <w:u w:val="single" w:color="auto"/>
          <w:color w:val="auto"/>
        </w:rPr>
        <w:t>102 Trustee Awards</w:t>
      </w:r>
      <w:r>
        <w:rPr>
          <w:rFonts w:ascii="Times New Roman" w:cs="Times New Roman" w:eastAsia="Times New Roman" w:hAnsi="Times New Roman"/>
          <w:sz w:val="18"/>
          <w:szCs w:val="18"/>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Election of Track</w:t>
      </w:r>
      <w:r>
        <w:rPr>
          <w:rFonts w:ascii="Times New Roman" w:cs="Times New Roman" w:eastAsia="Times New Roman" w:hAnsi="Times New Roman"/>
          <w:sz w:val="18"/>
          <w:szCs w:val="18"/>
          <w:color w:val="auto"/>
        </w:rPr>
        <w:t>. Subject to Applicable Law, the Company may grant only one type of 102 Trustee Awards at any given time to all Grantees who are to be granted 102 Trustee Awards pursuant to this Plan, and shall file an election with the ITA regarding the type of 102 Trustee Awards it elects to grant before the date of grant of any 102 Trustee Awards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w:t>
      </w:r>
      <w:r>
        <w:rPr>
          <w:rFonts w:ascii="Times New Roman" w:cs="Times New Roman" w:eastAsia="Times New Roman" w:hAnsi="Times New Roman"/>
          <w:sz w:val="18"/>
          <w:szCs w:val="18"/>
          <w:u w:val="single" w:color="auto"/>
          <w:color w:val="auto"/>
        </w:rPr>
        <w:t>102 Non- Trustee Awards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Eligibility for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9.3.1 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 and not through an entity) as “office holders” by such an Israeli company), but may not be granted to a Controlling Shareholder (“</w:t>
      </w:r>
      <w:r>
        <w:rPr>
          <w:rFonts w:ascii="Times New Roman" w:cs="Times New Roman" w:eastAsia="Times New Roman" w:hAnsi="Times New Roman"/>
          <w:sz w:val="18"/>
          <w:szCs w:val="18"/>
          <w:u w:val="single" w:color="auto"/>
          <w:color w:val="auto"/>
        </w:rPr>
        <w:t>Eligible 102 Grantees</w:t>
      </w:r>
      <w:r>
        <w:rPr>
          <w:rFonts w:ascii="Times New Roman" w:cs="Times New Roman" w:eastAsia="Times New Roman" w:hAnsi="Times New Roman"/>
          <w:sz w:val="18"/>
          <w:szCs w:val="18"/>
          <w:color w:val="auto"/>
        </w:rPr>
        <w:t>”). Eligible 102 Grantees may receive only 102 Awards, which may either be granted to a Trustee or granted under Section 102 of the Ordinance without a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102 Award Grant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9.4.1 Each 102 Award will be deemed granted on the date determined by the Committee, subject to Section 9.4.2,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Grantee has signed all documents required by the Company or pursuant to Applicable Law, and (ii) with respect to 102 Trustee Award, the Company has provided all applicable documents to the Trustee in accordance with the guidelines published by the ITA, and if an agreement is not signed and delivered by the Grantee within 90 days from the date determined by the Committee (subject to Section 9.4.2), then such 102 Trustee Award shall be deemed granted on such later date as such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any corporate resolution or Award Agreement.</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9.4.2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102 Trustee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9.5.1 Each 102 Trustee Award, each Share issued pursuant to the exercise of any 102 Trustee Award, and any rights granted thereunder, including bonus shares, shall be issued to and registered in the name of the Trustee and shall be held in trust for the benefit of the Grantee for the requisite period prescribed by the Ordinance (the “</w:t>
      </w:r>
      <w:r>
        <w:rPr>
          <w:rFonts w:ascii="Times New Roman" w:cs="Times New Roman" w:eastAsia="Times New Roman" w:hAnsi="Times New Roman"/>
          <w:sz w:val="18"/>
          <w:szCs w:val="18"/>
          <w:u w:val="single" w:color="auto"/>
          <w:color w:val="auto"/>
        </w:rPr>
        <w:t>Required Holding Period</w:t>
      </w:r>
      <w:r>
        <w:rPr>
          <w:rFonts w:ascii="Times New Roman" w:cs="Times New Roman" w:eastAsia="Times New Roman" w:hAnsi="Times New Roman"/>
          <w:sz w:val="18"/>
          <w:szCs w:val="18"/>
          <w:color w:val="auto"/>
        </w:rPr>
        <w:t xml:space="preserve">”). In the event that the requirements under Section 102 of the Ordinance to qualify an Award as a 102 Trustee Award are not met, then the Award may be treated as a 102 Non-Trustee Award or 3(9) Award, all in accordance with the provisions of the Ordinance. After expiration of the Required Holding Period, the Trustee may release such 102 Trustee Awards and any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Trustee has received an acknowledgment from the ITA that the Grantee has paid any applicable taxes due pursuant to the Ordinance, or (ii) the Trustee and/or the Company and/or the Employer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19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9.5.2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Any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9.5.4 If a 102 Trustee Award is exercised or (if applicable) vested, the Shares issued upon such exercise or (if applicable) vesting shall be issued in the name of the Trustee for the benefit of the Grantee.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7" w:name="page188"/>
    <w:bookmarkEnd w:id="18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102 Non-Trustee Awards</w:t>
      </w:r>
      <w:r>
        <w:rPr>
          <w:rFonts w:ascii="Times New Roman" w:cs="Times New Roman" w:eastAsia="Times New Roman" w:hAnsi="Times New Roman"/>
          <w:sz w:val="18"/>
          <w:szCs w:val="18"/>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Written Grantee Undertaking</w:t>
      </w:r>
      <w:r>
        <w:rPr>
          <w:rFonts w:ascii="Times New Roman" w:cs="Times New Roman" w:eastAsia="Times New Roman" w:hAnsi="Times New Roman"/>
          <w:sz w:val="18"/>
          <w:szCs w:val="18"/>
          <w:color w:val="auto"/>
        </w:rPr>
        <w:t>. To the extent and with respect to any 102 Trustee Award, and as required by Section 102 of the Ordinance and the Rules, by virtue of the receipt of such Award, the Grantee is deemed to have provided, undertaken and confirmed the following written undertaking (and such undertaking is deemed incorporated into any documents signed by the Grantee in connection with the employment or service of the Grantee and/or the grant of such Award), which undertaking shall be deemed to apply and relate to all 102 Trustee Awards granted to the Grantee, whether under this Plan or other plans maintained by the Company, and whether prior to or after the date hereof.</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9.7.1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9.7.2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the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19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9.7.3 The Grantee agrees to the trust agreement signed between the Company, the Employer and the Trustee appointed pursuant to Section 102 of the Ordinance.</w:t>
      </w:r>
    </w:p>
    <w:p>
      <w:pPr>
        <w:spacing w:after="0" w:line="162"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3(I)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granted pursuant to this Section 10 are intended to constitute 3(i)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 To the extent required by the Ordinance or the ITA or otherwise deemed by the Committee to be advisable, the 3(i) Awards and/or any shares or other securities issued or distributed with respect thereto granted pursuant to this Plan shall be issued to the Grantee and shall be supervised by a Trustee nominated by the Committee in accordance with the provisions of the Ordinance or the terms of a trust agreement, as applicable. In such event, the Trustee shall hold such Awards and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10.2. Shares pursuant to a 3(I)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76"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Committee may award Restricted Shares to any eligible Grantee, including under Section 102 of the Ordinance. Each Award of Restricted Shares under this Plan shall be evidenced by a written agreement between the Company and the Grantee (the “</w:t>
      </w:r>
      <w:r>
        <w:rPr>
          <w:rFonts w:ascii="Times New Roman" w:cs="Times New Roman" w:eastAsia="Times New Roman" w:hAnsi="Times New Roman"/>
          <w:sz w:val="18"/>
          <w:szCs w:val="18"/>
          <w:u w:val="single" w:color="auto"/>
          <w:color w:val="auto"/>
        </w:rPr>
        <w:t>Restricted Share Agreement</w:t>
      </w:r>
      <w:r>
        <w:rPr>
          <w:rFonts w:ascii="Times New Roman" w:cs="Times New Roman" w:eastAsia="Times New Roman" w:hAnsi="Times New Roman"/>
          <w:sz w:val="18"/>
          <w:szCs w:val="18"/>
          <w:color w:val="auto"/>
        </w:rPr>
        <w: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with respect to any two Awards or Grantees. The Restricted Share Agreement shall comply with and be subject to Section 6 and the following terms and conditions, unless otherwise specifically provided in such Agreement and not inconsistent with this Plan or Applicable Law: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Section 6.4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hypothecated or otherwise disposed of, except 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Shares thereunder being referred to herein as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Committee may also impose such additional or alternative restrictions and conditions on the Restricted Shares, as it deems appropriate, including the satisfaction of performance criteria (which, in case of 102 Trustee Awards, may be subject to obtaining a specific tax ruling or determination from the ITA). Such performance criteria may include, but are not limited to, sales, earnings before interest and taxes, return on investment, earnings per share, share trading price and performance hurdles,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if issued,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at least the Required Holding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Forfeiture; Repurchase</w:t>
      </w:r>
      <w:r>
        <w:rPr>
          <w:rFonts w:ascii="Times New Roman" w:cs="Times New Roman" w:eastAsia="Times New Roman" w:hAnsi="Times New Roman"/>
          <w:sz w:val="18"/>
          <w:szCs w:val="18"/>
          <w:color w:val="auto"/>
        </w:rPr>
        <w:t>. Subject to such exceptions as may be determined by the Committee, if the Grantee’s continuous employment with or service to the Company or any Affiliate thereof shall terminate (such that Grantee is no longer a Service Provider of either the Company or any Affiliate thereof) for any reason prior to the expiration of the Restricted Period of an Award or prior to the timely payment in full of the Exercise Price of any Restricted Shares, any Restricted Shares remaining subject to vesting or with respect to which the purchase price has not been paid in full, shall thereupon be forfeited, transferred to, and redeemed, repurchased or cancelled by, as the case may be, in any manner as set forth in Section 6.6.2(i) through (v), subject to Applicable Law and the Grantee shall have no further rights with respect to such Restricted Shares.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During the Restricted Period the Grantee shall possess all incidents of ownership of such Restricted Shares, subject to Section 6.10 and Section 11.2,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 Notwithstanding anything to the contrary herein, dividends which are paid to the Company’s shareholders prior to the vesting date of any Restricted Shares shall only be paid to the Grantee of such Restricted Shares to the extent the vesting conditions applicable to such Restricted Shares are subsequently satisfied (and any such dividends will be paid no later than March 15 of the calendar year following the calendar year in which the right to the dividend payment becomes nonforfeitable)).</w:t>
      </w:r>
    </w:p>
    <w:p>
      <w:pPr>
        <w:spacing w:after="0" w:line="189"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RSU is an Award covering a number of Shares that is settled, if vested and (if applicable) exercised, by issuance of those Shares or, in the discretion of the Committee, an amount of cash equal to the aggregate Fair Market Value of the Shares underlying the Award (other than with respect to 102 Trustee Awards). An RSU may be awarded to any eligible Grantee, including under Section 102 of the Ordinance. The Award Agreement relating to the grant of RSUs under this Plan (the “</w:t>
      </w:r>
      <w:r>
        <w:rPr>
          <w:rFonts w:ascii="Times New Roman" w:cs="Times New Roman" w:eastAsia="Times New Roman" w:hAnsi="Times New Roman"/>
          <w:sz w:val="18"/>
          <w:szCs w:val="18"/>
          <w:u w:val="single" w:color="auto"/>
          <w:color w:val="auto"/>
        </w:rPr>
        <w:t>Restricted Share Unit Agreement</w:t>
      </w:r>
      <w:r>
        <w:rPr>
          <w:rFonts w:ascii="Times New Roman" w:cs="Times New Roman" w:eastAsia="Times New Roman" w:hAnsi="Times New Roman"/>
          <w:sz w:val="18"/>
          <w:szCs w:val="18"/>
          <w:color w:val="auto"/>
        </w:rPr>
        <w: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No payment of Exercise Price shall be required as consideration for RSUs, unless included in the Award Agreement or as required by Applicable Law (including, Section 304 of the Companies Law), and Section 6.4 shall apply, if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Shareholders’ Rights</w:t>
      </w:r>
      <w:r>
        <w:rPr>
          <w:rFonts w:ascii="Times New Roman" w:cs="Times New Roman" w:eastAsia="Times New Roman" w:hAnsi="Times New Roman"/>
          <w:sz w:val="18"/>
          <w:szCs w:val="18"/>
          <w:color w:val="auto"/>
        </w:rPr>
        <w:t>. The Grantee shall not possess or own any ownership rights in the Shares underlying the RSUs and no rights as a shareholder shall exist prior to the actual issuance of Shares in the name of the Grantee.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Settlements of Awards</w:t>
      </w:r>
      <w:r>
        <w:rPr>
          <w:rFonts w:ascii="Times New Roman" w:cs="Times New Roman" w:eastAsia="Times New Roman" w:hAnsi="Times New Roman"/>
          <w:sz w:val="18"/>
          <w:szCs w:val="18"/>
          <w:color w:val="auto"/>
        </w:rPr>
        <w:t>. Settlement of vested RSUs shall be made in the form of Shares or, in the discretion of the Committee, cash (other than with respect 102 Trustee Awards). Distribution to a Grantee of an amount (or amounts) from settlement of vested RSUs can be deferred to a date after vesting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Section 409A Restrictions</w:t>
      </w:r>
      <w:r>
        <w:rPr>
          <w:rFonts w:ascii="Times New Roman" w:cs="Times New Roman" w:eastAsia="Times New Roman" w:hAnsi="Times New Roman"/>
          <w:sz w:val="18"/>
          <w:szCs w:val="18"/>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Grantee.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SHARE OR SHARE-BASED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13.1. The Committee may grant other Awards under this Plan pursuant to which Shares (which may, but need not, be Restricted Shares pursuant to Section 11 hereof), cash (in settlement of Share-based Awards) or a combination thereof, are or may in the future be acquired or received, or Awards denominated in stock units, including units valued on the basis of measures other than market value.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13.2. The Committee may also grant stock appreciation rights without the grant of an accompanying option, which rights shall permit the Grantees to receive, at the time of any exercise of such rights, cash equal to the amount by which the Fair Market Value of the Shares in respect to which the right was granted is so exercised exceeds the exercise price thereof. The exercise price of any such stock appreciation right granted to a Grantee who is subject to U.S. federal income tax shall be determined in compliance with Section 7.2.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13.3. Such other Share-based Awards as set forth above may be granted alone, in addition to, or in tandem with any Award of any type granted under this Plan (without any obligation or assurance that that such Share-based Awards will be entitled to tax benefits under Applicable Law or to the same tax treatment as other Awards under this Plan).</w:t>
      </w:r>
    </w:p>
    <w:p>
      <w:pPr>
        <w:spacing w:after="0" w:line="176"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In the event of a division or subdivision of the outstanding share capital of the Company, any distribution of bonus shares (stock split), consolidation or combination of share capital of the Company (reverse stock split), reclassification with respect to the Shares or any similar recapitalization events (each, a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a merger (including, a reverse merger and a reverse triangular merger), consolidation, amalgamation or like transaction of the Company with or into another corporation, a reorganization (which may include a combination or exchange of shares, spin-off or other corporate divestiture or division, or other similar occurrences, the Committee shall make, without the need for a consent of any holder of an Award, such adjustments as determined by the Committee to be appropriate, in its discretion, in order to adjust (i) the number and class of shares reserved and available for grants of Awards, (ii) the number and class of shares covered by outstanding Awards, (iii) the Exercise Price per share covered by any Award,</w:t>
      </w:r>
    </w:p>
    <w:p>
      <w:pPr>
        <w:spacing w:after="0" w:line="3" w:lineRule="exact"/>
        <w:rPr>
          <w:sz w:val="20"/>
          <w:szCs w:val="20"/>
          <w:color w:val="auto"/>
        </w:rPr>
      </w:pPr>
    </w:p>
    <w:p>
      <w:pPr>
        <w:jc w:val="both"/>
        <w:ind w:firstLine="8"/>
        <w:spacing w:after="0" w:line="251" w:lineRule="auto"/>
        <w:tabs>
          <w:tab w:leader="none" w:pos="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Committee should be adjusted. Subject to Applicable Law,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14.1 (including a determination that no adjustment is to be made) shall be final, binding and conclusive.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included herein, and subject to Applicable Law and the applicable accounting standards,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the par value of a Share (if such Shares bear a par value). The application of this Section with respect to any 102 Awards shall be subject to obtaining a ruling from the ITA, to the extent required by applicable law and subject to the terms and conditions of any such ruling.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Merger/Sale of Company</w:t>
      </w:r>
      <w:r>
        <w:rPr>
          <w:rFonts w:ascii="Times New Roman" w:cs="Times New Roman" w:eastAsia="Times New Roman" w:hAnsi="Times New Roman"/>
          <w:sz w:val="18"/>
          <w:szCs w:val="18"/>
          <w:color w:val="auto"/>
        </w:rPr>
        <w:t>. In the event of (i) a sale of all or substantially all of the assets of the Company, or a sale (including an exchange) of all 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(iv) approval by the shareholders of the Company of a complete liquidation or dissolution of the Company, (v) Change in Board Event, or (vi) such other transaction or set of circumstances that is determined by the Board, in its discretion, to be a transaction subject to the provisions of this Section 14.2 excluding any of the foregoing transactions in clauses (i) through (iv) if the Board determines that such transaction should be excluded from the definition hereof and the applicability of this Section 14.2 (each of the foregoing transactions, a “</w:t>
      </w:r>
      <w:r>
        <w:rPr>
          <w:rFonts w:ascii="Times New Roman" w:cs="Times New Roman" w:eastAsia="Times New Roman" w:hAnsi="Times New Roman"/>
          <w:sz w:val="18"/>
          <w:szCs w:val="18"/>
          <w:u w:val="single" w:color="auto"/>
          <w:color w:val="auto"/>
        </w:rPr>
        <w:t>Merger/Sale</w:t>
      </w:r>
      <w:r>
        <w:rPr>
          <w:rFonts w:ascii="Times New Roman" w:cs="Times New Roman" w:eastAsia="Times New Roman" w:hAnsi="Times New Roman"/>
          <w:sz w:val="18"/>
          <w:szCs w:val="18"/>
          <w:color w:val="auto"/>
        </w:rPr>
        <w:t>”), then, without derogating from the general authority and power of the Board or the Committee under this Plan, without the Grantee’s consent and action and without any prior notice requirement, the Committee may make, in its sole and absolute discretion, any determination as to the treatment of Awards including, without limitation, as provided herein:</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14.2.1 Unless otherwise determined by the Committee, any Award then outstanding shall be assumed or be substituted by the Company, or by the successor corporation in such Merger/Sale or by any parent or Affiliate thereof, as determined by the Committee in its discretion (the “</w:t>
      </w: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under terms as determined by the Committee or the terms of this Plan applied by the Successor Corporation to such assumed or substituted Awards.</w:t>
      </w:r>
    </w:p>
    <w:p>
      <w:pPr>
        <w:spacing w:after="0" w:line="18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14.2.1, the Award shall be considered assumed or substituted if, following a Merger/Sale, the Award confers on the holder thereof the right to purchase or receive, for each Share underlying an Award immediately prior to the Merger/Sale, either (i) the consideration (whether shares or other securities, cash or other property, or rights, or any combination thereof) distributed to or received by holders of Shares in the Merger/Sale for each Share held on the effective date of the Merger/Sale (and if holders were offered a choice or several types of consideration, the type of consideration as determined by the Committee, which need not be the same type for all Grantees), or (ii) regardless of the consideration received by the holders of Shares in the Merger/Sale, solely shares or any type of Awards (or their equivalent) of the Successor Corporation at a value to be determined by the Committee in its discretion, or a certain type of consideration (whether shares or other securities, cash or other property, or rights, or any combination thereof) as determined by the Committee. Any of the consideration referred to in the foregoing clauses (i) and (ii) shall be subject to the same vesting and expiration terms of the Awards applying immediately prior to the Merger/Sale, unless determined by the Committee in its discretion that the consideration shall be subject to different vesting and expiration terms, or other terms, and the Committee may determine that it be subject to other or additional terms. The foregoing shall not limit the Committee’s authority to determine, that in lieu of such assumption or substitution of Awards for Awards of the Successor Corporation, such Award will be substituted for shares or other securities, cash or other property, or rights, or any combination thereof, including as set forth in Section 14.2.2 hereof.</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14.2.2 Regardless of whether or not Awards are assumed or substituted, the Committee may (but shall not be obligated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14.2.3</w:t>
      </w:r>
    </w:p>
    <w:p>
      <w:pPr>
        <w:spacing w:after="0" w:line="225" w:lineRule="exact"/>
        <w:rPr>
          <w:sz w:val="20"/>
          <w:szCs w:val="20"/>
          <w:color w:val="auto"/>
        </w:rPr>
      </w:pPr>
    </w:p>
    <w:p>
      <w:pPr>
        <w:jc w:val="both"/>
        <w:ind w:left="2600" w:hanging="648"/>
        <w:spacing w:after="0" w:line="256" w:lineRule="auto"/>
        <w:tabs>
          <w:tab w:leader="none" w:pos="2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Grantee to have the right to exercise the Award in respect of Shares covered by the Award which would otherwise be exercisable or vested, under such terms and conditions as the Committee shall determine, and the cancellation of all unexercised Awards (whether vested or unvested)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14.2.3.1. provide for the cancellation of each outstanding Award at or immediately prior to the closing of such Merger/Sale, and if and to what extent payment shall be made to the Grantee of an amount in, shares or other securities of the Company, the acquirer or of a corporation or other business entity which is a party to the Merger/Sale, in cash or other property, in rights, or in any combination thereof, as determined by the Committee to be fair in the circumstances, and subject to such terms and conditions as determined by the Committee. Subject to Applicable Law, the Committee shall have full authority to select the method for determining the payment (being the intrinsic (“spread”) value of the option, Black-Scholes model or any other method).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and without limitation of the following determination being made in other circumstances, the Committee’s determination may provide that payment shall be set to zero if the value of the Shares is determined to be less than the Exercise Price or in respect of Shares covered by the Award which would not otherwise be exercisable or vested, or that payment may be made only in excess of the Exercise Price; and/or</w:t>
      </w:r>
    </w:p>
    <w:p>
      <w:pPr>
        <w:spacing w:after="0" w:line="188"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14.2.3.2. provide that the terms of any Award shall be otherwise amended, modified or terminated, as determined by the Committee to be fair in the circumstances.</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14.2.4 Subject to Applicable Law, the Committee may, determine: (i) that any payments made in respect of Awards shall be made or delayed to the same extent that payment of consideration to the holders of the Shares in connection with the Merger/Sale is made or delayed as a result of escrows, indemnification, earn outs, holdbacks or any other contingencies or conditions; (ii) the terms and conditions applying to the payment made or payable to the Grantees, including participation in escrow, indemnification, releases, earn-outs, holdbacks or any other contingencies; and (iii) that any terms and conditions applying under the applicable definitive transaction agreements shall apply to the Grantees (including, appointment and engagement of a shareholders or sellers representative, payment of fees or other costs and expenses associated with such services, indemnifying such representative, and authorization to such representative within the scope of such representative’s authority in the applicable definitive transaction agreements).</w:t>
      </w:r>
    </w:p>
    <w:p>
      <w:pPr>
        <w:spacing w:after="0" w:line="19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14.2.5 The Committee may, determine to suspend the Grantee’s rights to exercise any vested portion of an Award for a period of time prior to the signing or consummation of a Merger/Sale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14.3 Without limiting the generality of this Section 14, if the consideration in exchange for Awards in a Merger/Sale includes any securities and due receipt thereof by any Grantee (or by the Trustee for the benefit of such Grantee) may require under applicable law (i) the registration or qualification of such securities or of any person as a broker or dealer or agent with respect to such securities; or (ii) the provision to any Grantee of any information under the Securities Act or any other securities laws, then the Committee may determine that the Grantee shall be paid in lieu thereof, against surrender of the Shares or cancellation of any other Awards, an amount in cash or other property, or rights, or any combination thereof, as determined by the Committee to be fair in the circumstances, and subject to such terms and conditions as determined by the Committee. Nothing herein shall entitle any Grantee to receive any form of consideration that such Grantee would be ineligible to receive as a result of such Grantee’s failure to satisfy (in the Committee’s sole determination) any condition, requirement or limitation that is generally applicable to the Company’s shareholders, or that is otherwise applicable under the terms of the Merger/Sale, and in such case, the Committee shall determine the type of consideration and the terms applying to such Grantees.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14.4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or to its or their respective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14.5 The Committee may determine that upon a Merger/Sale any Shares held by Grantees (or for Grantee’s benefit) are sold in accordance with instructions issued by the Committee in connection with such Merger/Sale, which shall be final, conclusive and binding on all Grantees.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14.6 All of the Committee’s determinations pursuant to this Section 14 shall be at its sole and absolute discretion, and shall be final, conclusive and binding on all Grantees (including, for clarity, as it relates to Shares issued upon exercise or vesting of any Awards or that are Awards, unless otherwise determined by the Committee) and without any liability to the Company or its Affiliates, or to their respective officers, directors, employees, shareholders and representatives, and the respective successors and assigns of any of the foregoing, in connection with the method of treatment, chosen course of action or determinations made hereunder.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14.7 If determined by the Committee, the Grantees shall be subject to the definitive agreement(s) in connection with the Merger/Sale as applying to holders of Shares including, such terms, conditions, representations, undertakings, liabilities, limitations, releases, indemnities, appointing and indemnifying shareholders/sellers representative, participating in transaction expenses, shareholders/sellers representative expense fund and escrow arrangement, in each case as determined by the Committee. Each Grantee shall execute (and authorizes any person designated by the Company to so execute, as well as (if applicable) the Trustee holding any Shares for the Grantee’s behalf) such separate agreement(s) or instruments as may be requested by the Company, the Successor Corporation or the acquirer in connection with such in such Merger/Sale or otherwise under or for the purpose of implementing this Section 14, and in the form required by them. The execution of such separate agreement(s) may be a condition to the receipt of assumed or substituted Awards, payment in lieu of the Award, the exercise of any Award or otherwise to be entitled to benefit from shares or other securities, cash or other property, or rights, or any combination thereof, pursuant to this Section 14 (and the Company (and, if applicable, the Trustee) may exercise its authorization above and sign such agreement on behalf of the Grantee or subject the Grantee to the provisions of such agreements).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Except as expressly provided in this Section 14 (if so provided), the Grantee of an Award hereunder shall have no rights by reason of any transaction or event referred to in this Section 14 (including, Recapitalization of shares of any class, any increase or decrease in the number of shares of any class, or any dissolution, liquidation, reorganization, business combination, exchange of shares, spin-off or other corporate divestiture or division, or other similar occurrences, or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92"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AWARDS; SURVIVING BENEFICIARY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of Awards, Shares issued upon the vesting of Awards or Awards that are Shares,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15.1. Further, all Incentive Stock Options granted to a Grantee shall be exercisable during his or her lifetime only by such Grantee.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15.4. If and to the extent a Grantee is entitled to transfer an Award and/or Shares underlying an Award in accordance with the terms of the Plan and any other applicable agreements, such transfer shall be subject (in addition, to any other conditions or terms applying thereto) to receipt by the Company from such proposed transferee of a written instrument, on a form reasonably acceptable to the Company, pursuant to which such proposed transferee agrees to be bound by all provisions of the Plan and any other applicable agreements, including without limitation, any restrictions on transfer of the Award and/or Shares set forth herein (however, failure to so deliver such instrument to the Company as set forth above shall not derogate from all such provisions applying on any transferee).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15.5. The provisions of this Section 15 shall apply to the Grantee and to any purchaser, assignee or transferee of any Shares.</w:t>
      </w:r>
    </w:p>
    <w:p>
      <w:pPr>
        <w:spacing w:after="0" w:line="2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 GOVERNING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The grant of Awards and the issuance of Shares upon exercise or settlement of Awards shall be subject to compliance with all Applicable Law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or equivalent law in another jurisdiction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or equivalent law in another jurisdiction.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Provisions Governing Shares</w:t>
      </w:r>
      <w:r>
        <w:rPr>
          <w:rFonts w:ascii="Times New Roman" w:cs="Times New Roman" w:eastAsia="Times New Roman" w:hAnsi="Times New Roman"/>
          <w:sz w:val="18"/>
          <w:szCs w:val="18"/>
          <w:color w:val="auto"/>
        </w:rPr>
        <w:t>. Shares issued pursuant to an Award shall be subject to this Plan and shall be subject to the Articles of Association of the Company, and any other governing documents of the Company and all policies, manuals and internal regulations of the Company, as in effect from time to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Share Purchase Transactions; Forced Sale</w:t>
      </w:r>
      <w:r>
        <w:rPr>
          <w:rFonts w:ascii="Times New Roman" w:cs="Times New Roman" w:eastAsia="Times New Roman" w:hAnsi="Times New Roman"/>
          <w:sz w:val="18"/>
          <w:szCs w:val="18"/>
          <w:color w:val="auto"/>
        </w:rPr>
        <w:t>. In the event that the Board approves a Merger/Sale effected by way of a forced or compulsory sale (whether pursuant to the Company’s Articles of Association or pursuant to Section 341 of the Companies Law or otherwise) or in the event of a transaction for the sale of all shares of the Company, then, without derogating from such provisions and in addition thereto, the Grantee shall be obligated, and shall be deemed to have agreed to the offer to effect the Merger/Sale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or dissenters’ rights related to any of the foregoing. Each Grantee shall execute (and authorizes any person designated by the Company to so execute, as well as (if applicable) the Trustee holding any Shares for the Grantee’s behalf) such documents and agreements, as may be requested by the Company relating to matters set forth in or otherwise for the purpose of implementing this Section 16.3. The execution of such separate agreement(s) may be a condition by the Company to the exercise of any Award and the Company (and, if applicable, the Trustee) may exercise its authorization above and sign such agreement on behalf of the Grantee or subject the Grantee to the provisions of such agreements.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Data Privacy; Data Transfer</w:t>
      </w:r>
      <w:r>
        <w:rPr>
          <w:rFonts w:ascii="Times New Roman" w:cs="Times New Roman" w:eastAsia="Times New Roman" w:hAnsi="Times New Roman"/>
          <w:sz w:val="18"/>
          <w:szCs w:val="18"/>
          <w:color w:val="auto"/>
        </w:rPr>
        <w:t>. Information related to Grantees and Awards hereunder, as shall be received from Grantee or others, and/or held by, the Company or its Affiliates from time to time, and which information may include sensitive and personal information related to Grantees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will be used by the Company or its Affiliates (or third parties appointed by any of them, including the Trustee) to comply with any applicable legal requirement, or for administration of the Plan as they deems necessary or advisable, or for the respective business purposes of the Company or its Affiliates (including in connection with transactions related to any of them). The Company and its Affiliates shall be entitled to transfer the Information among the Company or its Affiliates, and to third parties for the purposes set forth above, which may include persons located abroad (including, any person administering the Plan or providing services in respect of the Plan or in order to comply with legal requirements, or the Trustee, their respective officers, directors, employees and representatives, and the respective successors and assigns of any of the foregoing), and any person so receiving Information shall be entitled to transfer it for the purposes set forth above. The Company shall use commercially reasonable efforts to ensure that the transfer of such Information shall be limited to the reasonable and necessary scope. By receiving an Award hereunder, Grantee acknowledges and agrees that the Information is provided at Grantee’s free will and Grantee consents to the storage and transfer of the Information as set forth above.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Prohibition on Executive Officer Loans</w:t>
      </w:r>
      <w:r>
        <w:rPr>
          <w:rFonts w:ascii="Times New Roman" w:cs="Times New Roman" w:eastAsia="Times New Roman" w:hAnsi="Times New Roman"/>
          <w:sz w:val="18"/>
          <w:szCs w:val="18"/>
          <w:color w:val="auto"/>
        </w:rPr>
        <w:t>. Notwithstanding any other provision of the Plan to the contrary, no Grantee who is a member of the Board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the gross amount of any proceeds, gains or other economic benefit the Grantee actually or constructively receives upon receipt or exercise of any Award or the receipt or resale of any Shares underlying the Award)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 including a clawback policy (as contemplated pursuant to Rule 10D-1 under the Securities and Exchange Act of 1934, as amended, which directs national securities exchanges to establish listing standards for purposes of complying with Rule 10D-1).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REGARDING TAXES;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17.1. If the Company shall so require, as a condition of exercise or (if applicable) vesting of an Award, the release of Shares by the Trustee or the vesting or settlement of an Award, a Grantee shall agree that, no later than the date of such occurrence, the Grantee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TAX LIABILITY</w:t>
      </w:r>
      <w:r>
        <w:rPr>
          <w:rFonts w:ascii="Times New Roman" w:cs="Times New Roman" w:eastAsia="Times New Roman" w:hAnsi="Times New Roman"/>
          <w:sz w:val="18"/>
          <w:szCs w:val="18"/>
          <w:color w:val="auto"/>
        </w:rPr>
        <w:t>. ALL TAX CONSEQUENCES UNDER ANY APPLICABLE LAW WHICH MAY ARISE FROM THE GRANT OF ANY AWARDS OR THE EXERCISE OR (IF APPLICABLE) VESTING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NO TAX ADVICE</w:t>
      </w:r>
      <w:r>
        <w:rPr>
          <w:rFonts w:ascii="Times New Roman" w:cs="Times New Roman" w:eastAsia="Times New Roman" w:hAnsi="Times New Roman"/>
          <w:sz w:val="18"/>
          <w:szCs w:val="18"/>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 OF ANY PARTICULAR TAX TREATMENT AND NO INDICATION IN ANY DOCUMENT TO THE EFFECT THAT ANY AWARD IS INTENDED TO QUALIFY FOR ANY TAX TREATMENT SHALL IMPLY SUCH AN UNDERTAKING. THE COMPANY AND ITS AFFILIATES (INCLUDING THE EMPLOYER) DO NOT UNDERTAKE TO REPORT FOR TAX PURPOSES ANY AWARD IN ANY PARTICULAR MANNER, INCLUDING IN ANY MANNER CONSISTENT WITH ANY PARTICULAR TAX TREATMENT. NO ASSURANCE IS MADE BY THE COMPANY OR ANY OF ITS AFFILIATES (INCLUDING THE EMPLOYER) THAT ANY PARTICULAR TAX TREATMENT ON THE DATE OF GRANT WILL CONTINUE TO EXIST OR THAT THE AWARD WOULD QUALIFY AT THE TIME OF EXERCISE, VESTING OR DISPOSITION THEREOF WITH ANY PARTICULAR TAX TREATMENT. THE COMPANY AND ITS AFFILIATES (INCLUDING THE EMPLOYER)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17.5. The Company or any Subsidiary or other Affiliate thereof (including the Employer) may take such action as it may deem necessary or appropriate, in its discretion, for the purpose of or in connection with withholding of any taxes and compulsory payments which the Trustee, the Company or any Subsidiary or other Affiliate thereof (including the Employer) (or any applicable agent thereof) is required by any Applicable Law to withhold in connection with any Awards, including, without limitations, any income tax, social benefits, social insurance, health tax, pension, payroll tax, fringe benefits, excise tax, payment on account or other tax-related items related to the Grantee’s participation in the Plan and applicable by law to the Grantee (collectively,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Such actions may include (i) requiring a Grantees to remit to the Company or the Employer in cash an amount sufficient to satisfy such Withholding Obligations and any other taxes and compulsory payments, payable by the Company or the Employer in connection with the Award or the exercise or (if applicable) the vesting thereof; (ii) subject to Applicable Law, allowing the Grantees to surrender Shares to the Company, in an amount that at such time, reflects a value that the Committee determines to be sufficient to satisfy such Withholding Obligations; (iii) withholding Shares otherwise issuable upon the exercise of an Award at a value which is determined by the Company to be sufficient to satisfy such Withholding Obligations; (iv) allowing Grantees to satisfy all or part of the Withholding Obligations by the delivery (on a form prescribed by the Company) of an irrevocable direction to a securities broker approved by the Company to sell Shares and to deliver all or part of the sales proceeds to the Company or the Trustee; or (iv) any combination of the foregoing. The Company shall not be obligated to allow the exercise or vesting of any Award by or on behalf of a Grantee until all tax consequences arising therefrom are resolved in a manner acceptable to the Company.</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17.6. Each Grantee shall notify the Company in writing promptly and in any event within ten (10) days after the date on which such Grantee first obtains knowledge of any tax authority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17.7. With respect to 102 Non-Trustee Options, if the Grantee ceases to be employed by the Company, Parent, Subsidiary or any Affiliate (including the Employer), the Grantee shall extend to the Company and/or the Employer a security or guarantee for the payment of taxes due at the time of sale of Shares, all in accordance with the provisions of Section 102 of the Ordinance and the Rules.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17.8. If a Grantee makes an election under Section 83(b) of the Code to be taxed with respect to an Award as of the date of transfer of Shares rather than as of the date or dates upon which the Grantee would otherwise be taxable under Section 83(a) of the Code, such Grantee shall deliver a copy of such election to the Company upon or prior to the filing such election with the U.S. Internal Revenue Service. Neither the Company nor any Affiliate (including the Employer) shall have any liability or responsibility relating to or arising out of the filing or not filing of any such election or any defects in its construction.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 VOTING AND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18.1. Subject to Section 11.4, a Grantee shall have no rights as a shareholder of the Company with respect to any Shares covered by an Award until the Grantee shall have exercised or (as applicable) vests in the Award, paid any Exercise Price therefor and becomes the record holder of the subject Shares. In the case of 102 Awards,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shares or other securities, cash or other property, or rights, or any combination thereof) or distribution of other rights for which the record date is prior to the date on which the Grantee or Trustee (as applicable) becomes the record holder of the Shares covered by an Award, except as provided in Section 14 hereof.</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18.2. With respect to all Awards issued in the form of Shares hereunder or upon the exercise or (if applicable) the vesting of Awards hereunder, any and all voting rights attached to such Shares shall be subject to Section 18.1, and the Grantee shall be entitled to receive dividends distributed with respect to such Shares, subject to the provisions of the Company’s Articles of Association, as amended from time to time, and subject to any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18.3. The Company may, but shall not be obligated to, register or qualify the sale of Shares under any applicable securities law or any other Applicable Law.</w:t>
      </w:r>
    </w:p>
    <w:p>
      <w:pPr>
        <w:spacing w:after="0" w:line="162"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 BY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granting the Awards, the Company is not, and shall not be deemed as, making any representation or warranties to the Grantee regarding the Company, its business affairs, its prospects or the future value of its Shares and such representations and warranties are hereby disclaimed.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183"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RETENTION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Nothing in this Plan, any Award Agreement or in any Award granted or agreement entered into pursuant hereto shall confer upon any Grantee the right to continue in the employ of, or be in the service of the Company or any Subsidiary or other Affiliate thereof as a Service Provider or to be entitled to any remuneration or benefits not set forth in this Plan or such agreement, or to interfere with or limit in any way the right of the Company or any such Subsidiary or other Affiliate thereof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other Affiliate thereof that he or she was prevented from continuing to vest Awards as of the date of termination of his or her employment with, or services to, the Company or any Subsidiary or other Affiliate thereof. No Grantee shall be entitled to any compensation in respect of the Awards which would have vested had such Grantee’s employment or engagement with the Company (or any Subsidiary or other Affiliate thereof) not been terminated.</w:t>
      </w:r>
    </w:p>
    <w:p>
      <w:pPr>
        <w:spacing w:after="0" w:line="194"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DURING WHICH AWARDS MAY BE GRANTED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may be granted pursuant to this Plan from time to time from the Effective Date and until this Plan is terminated by the Board, except that Incentive Stock Options shall not be granted following the ten (10) year anniversary of the earlier of the date this Plan was approved by (x) the Board or (y) the shareholders of the Company. From and after the date the Board terminates this Plan, no grants of Awards may be made and this Plan shall continue to be in full force and effect with respect to Awards or Shares issued thereunder that remain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PLAN AND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 The Board at any time and from time to time may suspend, terminate, modify or amend this Plan, whether retroactively or 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22.2. Subject to changes in Applicable Law that would permit otherwise, there shall be (i) no increase in the maximum aggregate number of Shares that may be issued under this Plan as Incentive Stock Options (except by operation of the provisions of Section 14.1), (ii) no change in the class of persons eligible to receive Incentive Stock Options, and (iii) without consent of the shareholders no other amendment of this Plan that would require approval of the Company’s shareholders under any Applicable Law or the rules of the applicable stock market or exchange, if any, on which the Shares are principally quoted or traded.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that is not an Incentive Stock Option.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22.3. The Board or the Committee at any time and from time to time may modify or amend any Award theretofore granted, including any Award Agreement, whether retroactively or prospectively.</w:t>
      </w:r>
    </w:p>
    <w:p>
      <w:pPr>
        <w:spacing w:after="0" w:line="162"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This Plan shall take effect upon its adoption by the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23.2. 102 Awards are conditional upon the filing with or approval by the ITA, if required, as set forth in Section 9.4. Failure to so file or obtain such approval shall not in any way derogate from the valid and binding effect of any grant of an Award, which is not a 102 Award.</w:t>
      </w:r>
    </w:p>
    <w:p>
      <w:pPr>
        <w:spacing w:after="0" w:line="16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PARTICULAR TO SPECIFIC COUNTRIES;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24.1. Notwithstanding anything herein to the contrary, the terms and conditions of this Plan may be supplemented or amended with respect to a particular country or tax regime by means of a sub-plan or an appendix to this Plan, and to the extent that the terms and conditions set forth in any sub-plan or appendix conflict with any provisions of this Plan, the provisions of such sub-plan or appendix shall govern with respect to Awards made pursuant thereto. Terms and conditions set forth in such sub-plan or appendix shall apply only to Awards granted to Grantees under the jurisdiction of the specific country or such other tax regime that is the subject of such sub-plan or appendix and shall not apply to Awards issued to a Grantee not under the jurisdiction of such country or such other tax regime. The adoption of any such sub-plan or appendix shall be subject to the approval of the Board or the Committee, and if and to the extent determined by the Committee to be required by Applicable Law in connection with the application of certain tax treatment, pursuant to applicable stock exchange rules or regulations or otherwise, then also the approval of the shareholders of the Company at the required majority.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24.2. This Section 24.2 shall only apply to Awards granted to Grantees who are subject to United States Federal income tax.</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24.2.1 It is the intention of the Company that no Award shall be deferred compensation subject to Section 409A of the Code unless and to the extent that the Committee specifically determines otherwise as provided in Section 24.2.2, and the Plan and the terms and conditions of all Awards shall be interpreted and administered accordingly.</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24.2.2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Merger/Sale, shall be set forth in the applicable Award Agreement and shall be intended to comply in all respects with Section 409A of the Code, and the Plan and the terms and conditions of such Awards shall be interpreted and administered accordingly.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24.2.3 The Company shall have complete discretion to interpret and construe the Plan and any Award Agreement in any manner that establishes an exemption from (or compliance with) the requirements of Section 409A of the Code. If for any reason, such as imprecision in drafting, any provision of the Plan and/or any Award Agreement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Section 409A of the Code and shall be interpreted by the Company in a manner consistent with such intent, as determined in the discretion of the Company. If, notwithstanding the foregoing provisions of this Section 24.2.3, any provision of the Plan or any such agreement would cause a Grantee to incur any additional tax or interest under Section 409A of the Code, the Company may reform such provision in a manner intended to avoid the incurrence by such Grantee of any such additional tax or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to the extent reasonably practicable, the original intent and economic benefit to the Grantee of the applicable provision without violating the provisions of Section 409A of the Code. For the avoidance of doubt, no provision of this Plan shall be interpreted or construed to transfer any liability for failure to comply with the requirements of Section 409A from any Grantee or any other individual to the Company or any of its affiliates, employees or agents.</w:t>
      </w:r>
    </w:p>
    <w:p>
      <w:pPr>
        <w:spacing w:after="0" w:line="19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24.2.4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1.409A- 3(i)(2)(ii) (or any successor provision).</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24.2.5 Notwithstanding any other provision of this Section 24.2 to the contrary,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183"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187"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THIS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or will lawfully put into effect, including any retirement, pension, savings and stock purchase plan, insurance, death and disability benefits and executive short-term or long-term incentive plans.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660" w:hanging="652"/>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Additional Terms</w:t>
      </w:r>
      <w:r>
        <w:rPr>
          <w:rFonts w:ascii="Times New Roman" w:cs="Times New Roman" w:eastAsia="Times New Roman" w:hAnsi="Times New Roman"/>
          <w:sz w:val="18"/>
          <w:szCs w:val="18"/>
          <w:color w:val="auto"/>
        </w:rPr>
        <w:t>. Each Award awarded under this Plan may contain such other terms and conditions not inconsistent with this Plan as may be determined by the Committee, in its sole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 shall be issuable upon exercise or vesting of any Award and the number of Shares to be issued shall be rounded down to the nearest whole Share (and the Company shall have liability to compensate for such fractional shares at any time), with in any Share remaining at the last vesting date due to such rounding to be issued upon exercise at such last vesting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u w:val="single" w:color="auto"/>
          <w:color w:val="auto"/>
        </w:rPr>
        <w:t>Captions and Titles</w:t>
      </w:r>
      <w:r>
        <w:rPr>
          <w:rFonts w:ascii="Times New Roman" w:cs="Times New Roman" w:eastAsia="Times New Roman" w:hAnsi="Times New Roman"/>
          <w:sz w:val="18"/>
          <w:szCs w:val="18"/>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158" w:lineRule="exact"/>
        <w:rPr>
          <w:sz w:val="20"/>
          <w:szCs w:val="20"/>
          <w:color w:val="auto"/>
        </w:rPr>
      </w:pPr>
    </w:p>
    <w:p>
      <w:pPr>
        <w:ind w:left="4760"/>
        <w:spacing w:after="0"/>
        <w:tabs>
          <w:tab w:leader="none" w:pos="5560" w:val="left"/>
          <w:tab w:leader="none" w:pos="63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 OF KORNIT DIGITAL LTD.</w:t>
            </w:r>
          </w:p>
        </w:tc>
      </w:tr>
      <w:tr>
        <w:trPr>
          <w:trHeight w:val="410"/>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4600" w:type="dxa"/>
            <w:vAlign w:val="bottom"/>
          </w:tcPr>
          <w:p>
            <w:pPr>
              <w:spacing w:after="0"/>
              <w:rPr>
                <w:sz w:val="24"/>
                <w:szCs w:val="24"/>
                <w:color w:val="auto"/>
              </w:rPr>
            </w:pPr>
          </w:p>
        </w:tc>
      </w:t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Organization</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 Interest</w:t>
            </w:r>
          </w:p>
        </w:tc>
      </w:tr>
      <w:tr>
        <w:trPr>
          <w:trHeight w:val="216"/>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Technologies Ltd.</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North America Inc.</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Europe GmbH</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Asia Pacific Limited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UK Ltd.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England and Wales</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Japan KK</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Tesoma GmbH</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Germany</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owned by Kornit Digital Technologies Ltd.</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Custom Gateway (Kornit Digital\Kornit X Limited)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England and Wales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Kornit Digital UK Ltd.</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(Shanghai) Digital Co., Ltd.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owned by Kornit Digital Asia Pacific Limited</w:t>
            </w:r>
          </w:p>
        </w:tc>
      </w:tr>
    </w:tbl>
    <w:p>
      <w:pPr>
        <w:sectPr>
          <w:pgSz w:w="11900" w:h="16838" w:orient="portrait"/>
          <w:cols w:equalWidth="0" w:num="1">
            <w:col w:w="11240"/>
          </w:cols>
          <w:pgMar w:left="320" w:top="10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document sets forth the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Kornit Digital Ltd. and its subsidiaries (collectively, “</w:t>
      </w:r>
      <w:r>
        <w:rPr>
          <w:rFonts w:ascii="Times New Roman" w:cs="Times New Roman" w:eastAsia="Times New Roman" w:hAnsi="Times New Roman"/>
          <w:sz w:val="18"/>
          <w:szCs w:val="18"/>
          <w:b w:val="1"/>
          <w:bCs w:val="1"/>
          <w:i w:val="1"/>
          <w:iCs w:val="1"/>
          <w:color w:val="auto"/>
        </w:rPr>
        <w:t>Kornit</w:t>
      </w:r>
      <w:r>
        <w:rPr>
          <w:rFonts w:ascii="Times New Roman" w:cs="Times New Roman" w:eastAsia="Times New Roman" w:hAnsi="Times New Roman"/>
          <w:sz w:val="18"/>
          <w:szCs w:val="18"/>
          <w:color w:val="auto"/>
        </w:rPr>
        <w:t>”). The Policy establishes the policies and procedures that govern trading by Kornit personnel in Kornit securities and securities of any other company about which such personnel learns material, nonpublic information in the course of performing his or her duties for Kornit. The Policy has been adopted by Kornit to fulfill its responsibilities as a public company under U.S. federal securities laws to prevent insider trading and to help its personnel avoid the severe consequences associated with violations of the insider trading laws. The Policy is intended to prevent even the appearance of improper conduct on the part of anyone employed by or associated with Kornit. Should you have any questions regarding this Policy, please contact the Company’s Chief Compliance Officer (the “</w:t>
      </w:r>
      <w:r>
        <w:rPr>
          <w:rFonts w:ascii="Times New Roman" w:cs="Times New Roman" w:eastAsia="Times New Roman" w:hAnsi="Times New Roman"/>
          <w:sz w:val="18"/>
          <w:szCs w:val="18"/>
          <w:b w:val="1"/>
          <w:bCs w:val="1"/>
          <w:i w:val="1"/>
          <w:iCs w:val="1"/>
          <w:color w:val="auto"/>
        </w:rPr>
        <w:t>Stock Compliance Officer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It is important that all Kornit personnel review the Policy carefully. Noncompliance with the Policy is grounds for disciplinary action, including and up to immediate termination. Failure to comply with the policies and procedures set forth below also can result in a serious violation of the U.S. federal securities laws by the person trading, leading to potential civil and criminal penalties on that person.</w:t>
      </w:r>
    </w:p>
    <w:p>
      <w:pPr>
        <w:spacing w:after="0" w:line="171" w:lineRule="exact"/>
        <w:rPr>
          <w:sz w:val="20"/>
          <w:szCs w:val="20"/>
          <w:color w:val="auto"/>
        </w:rPr>
      </w:pPr>
    </w:p>
    <w:p>
      <w:pPr>
        <w:ind w:left="460" w:hanging="452"/>
        <w:spacing w:after="0"/>
        <w:tabs>
          <w:tab w:leader="none" w:pos="4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directors, officers and other employees of Kornit, and all contractors who devote all or substantially all of their time to Kornit, and if designated by the Stock Compliance Officer (1) all directors, officers and other employees of a joint venture in which Kornit has a financial interest (such a joint venture is referred to as a “</w:t>
      </w:r>
      <w:r>
        <w:rPr>
          <w:rFonts w:ascii="Times New Roman" w:cs="Times New Roman" w:eastAsia="Times New Roman" w:hAnsi="Times New Roman"/>
          <w:sz w:val="18"/>
          <w:szCs w:val="18"/>
          <w:b w:val="1"/>
          <w:bCs w:val="1"/>
          <w:i w:val="1"/>
          <w:iCs w:val="1"/>
          <w:color w:val="auto"/>
        </w:rPr>
        <w:t>Related Company</w:t>
      </w:r>
      <w:r>
        <w:rPr>
          <w:rFonts w:ascii="Times New Roman" w:cs="Times New Roman" w:eastAsia="Times New Roman" w:hAnsi="Times New Roman"/>
          <w:sz w:val="18"/>
          <w:szCs w:val="18"/>
          <w:color w:val="auto"/>
        </w:rPr>
        <w:t>”) and (2) any consultant or contractor to Kornit or a Related Company, are subject to the prohibitions set forth in this Insider Trading Policy (each such person subject to the Policy is referred to as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restrictions imposed by the Policy apply to trading in any Kornit securities, as well as any instrument that derives its value from the price of Kornit securities, including but not limited to, puts, calls, warrants, options and convertible securities whether or not issued by Kornit (a “</w:t>
      </w:r>
      <w:r>
        <w:rPr>
          <w:rFonts w:ascii="Times New Roman" w:cs="Times New Roman" w:eastAsia="Times New Roman" w:hAnsi="Times New Roman"/>
          <w:sz w:val="18"/>
          <w:szCs w:val="18"/>
          <w:b w:val="1"/>
          <w:bCs w:val="1"/>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subject to the qualification, as provided in Part VI of this Policy, that all Covered Persons are prohibited from engaging in certain types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including short sales of (and economically equivalent transactions relating to) Kornit securities. The restrictions imposed by the Policy also apply to trades in securities of any Related Company and any other company about which any Covered Person learns material, nonpublic information in the course of performing his or her duties for Kornit, such as securities of any company with which Kornit may be entering into or negotiating major transactions, and Derivative Securities of any of the foregoing securities.</w:t>
      </w:r>
    </w:p>
    <w:p>
      <w:pPr>
        <w:spacing w:after="0" w:line="185" w:lineRule="exact"/>
        <w:rPr>
          <w:sz w:val="20"/>
          <w:szCs w:val="20"/>
          <w:color w:val="auto"/>
        </w:rPr>
      </w:pPr>
    </w:p>
    <w:p>
      <w:pPr>
        <w:ind w:left="460" w:hanging="452"/>
        <w:spacing w:after="0"/>
        <w:tabs>
          <w:tab w:leader="none" w:pos="4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Persons Subject to this Policy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policies and procedures under the Policy that is binding on a Covered Person also applies to the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of such Covered Person, which consist of: (i) any Family Member who resides in the household as a Covered Person; (ii) anyone else who lives in the household of a Covered Person; and (iii) any Family Member who does not live in the household of a Restricted Person but whose transactions in Kornit securities or Derivative Securities are directed by or subject to the influence or control of a Covered Person (such as parents or children who consult with a Covered Person before they trade in Kornit securities or Derivative Securities). For the purpose of this Policy, “Family Members” consist of the following persons: any child, stepchild, grandchild, parent, stepparent, grandparent, spouse (or comparable co-habitation relationship), sibling, mother-in-law, father-in-law, son-in-law, daughter-in-law, brother-in-law or sister-in-law, in each case including adoptive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applies to any entities that a Covered Person controls, including any controlled corporations, partnerships or trusts, and transactions by such entities should be treated for the purposes of this Policy as if they were for the account of the Covered Person, unless the entity engages in the investment of securities in the ordinary course of its business (e.g., an investment fund or partnership) and confirms to the reasonable satisfaction of the Stock Compliance Officer that it has established its own policies and procedures for compliance with insider trading restrictions under applicable securities laws.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Situations may exist where a Covered Person has a record ownership of or beneficial interest in securities, but has no responsibility for investment decisions, such as, for example, where the investment decisions have been delegated to an investment adviser. In such cases, this Policy is not intended to proscribe dealings in securities so long as the Covered Person has neither discussed the merits of the investment with, nor provided inside information to, the person or persons having the decision-making investment responsibility. Similarly, this Policy does not proscribe the purchase, sale or holding of an interest in a publicly traded mutual fund, even if the fund holds or trades in Kornit securities or Derivative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set forth in a separate Addendum to this Policy and subject to Section V hereof, all directors and officers of Kornit, and any other employees of Kornit, or employees of, or consultants or contractors to, Kornit or a Related Company who are specifically designated by the Stock Compliance Officer (each such person subject to the Addendum is referred to as an “</w:t>
      </w:r>
      <w:r>
        <w:rPr>
          <w:rFonts w:ascii="Times New Roman" w:cs="Times New Roman" w:eastAsia="Times New Roman" w:hAnsi="Times New Roman"/>
          <w:sz w:val="18"/>
          <w:szCs w:val="18"/>
          <w:b w:val="1"/>
          <w:bCs w:val="1"/>
          <w:i w:val="1"/>
          <w:iCs w:val="1"/>
          <w:color w:val="auto"/>
        </w:rPr>
        <w:t>Addendum Covered Person</w:t>
      </w:r>
      <w:r>
        <w:rPr>
          <w:rFonts w:ascii="Times New Roman" w:cs="Times New Roman" w:eastAsia="Times New Roman" w:hAnsi="Times New Roman"/>
          <w:sz w:val="18"/>
          <w:szCs w:val="18"/>
          <w:color w:val="auto"/>
        </w:rPr>
        <w:t>”) are required to obtain prior approval for all trades in Kornit securities or Derivative Securities and are prohibited from holding Kornit securities in a margin account or pledging Kornit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For the avoidance of doubt, it is hereby clarified that all prohibitions, policies and procedures detailed in this policy apply not only to each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Person, but also to his or her Associates and all persons and entities listed in this Section II, even if it is not explicitly stated so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Each Covered Person is responsible for making sure that any Associate or other persons and entity listed in this Section II that is subject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complies with it. Any reference to “Covered Person” below shall be deemed to include such additional persons.</w:t>
      </w:r>
    </w:p>
    <w:p>
      <w:pPr>
        <w:spacing w:after="0" w:line="203" w:lineRule="exact"/>
        <w:rPr>
          <w:sz w:val="20"/>
          <w:szCs w:val="20"/>
          <w:color w:val="auto"/>
        </w:rPr>
      </w:pPr>
    </w:p>
    <w:p>
      <w:pPr>
        <w:ind w:left="460" w:hanging="452"/>
        <w:spacing w:after="0"/>
        <w:tabs>
          <w:tab w:leader="none" w:pos="4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Insider Trading Prohibition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Covered Person who possesses knowledge of any “material information” concerning Kornit that has not been disclosed to the public is prohibited from (i) trading in Kornit securities or Derivative Securities, (ii) advising others to trade or to refrain from trading in Kornit securities or Derivative Securities, or (iii) disclosing the material information to any other person for the purpose of enabling such person to trade or to refrain from trading in Kornit securities or Derivative Securities. These restrictions remain in effect until the information is fully disclosed to the public or until the information, although not disclosed, ceases to be material. Generally, one should allow two full trading days following publication as a reasonable waiting period before such information is deemed to be public.</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Covered Person who obtains, in the course of his or her employment with or engagement by Kornit, knowledge of any “material information” concerning any other company that has not been disclosed to the public is prohibited from (i) trading in securities of such other company or Derivative Securities of such other company, (ii) advising others to trade in securities of such other company or Derivative Securities of such other company, or (iii) disclosing the material information to any other person for the purpose of enabling such person to trade in securities of such other company or Derivative Securities of such other company. These restrictions remain in effect until the information is fully disclosed to the public or until the information, although not disclosed, ceases to be material.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insider trading liability, it does not matter that delaying the transaction until the material, nonpublic information is disclosed or ceases to be material might cause the Covered Person or an Associate of a Covered Person to incur a financial loss, or whether there is some independent reason for the transaction (such as the need to raise money for an emergency expenditure). In addition, except in the limited circumstances discussed below (see “</w:t>
      </w:r>
      <w:r>
        <w:rPr>
          <w:rFonts w:ascii="Times New Roman" w:cs="Times New Roman" w:eastAsia="Times New Roman" w:hAnsi="Times New Roman"/>
          <w:sz w:val="18"/>
          <w:szCs w:val="18"/>
          <w:b w:val="1"/>
          <w:bCs w:val="1"/>
          <w:i w:val="1"/>
          <w:iCs w:val="1"/>
          <w:color w:val="auto"/>
        </w:rPr>
        <w:t>Approved Trading Plans</w:t>
      </w:r>
      <w:r>
        <w:rPr>
          <w:rFonts w:ascii="Times New Roman" w:cs="Times New Roman" w:eastAsia="Times New Roman" w:hAnsi="Times New Roman"/>
          <w:sz w:val="18"/>
          <w:szCs w:val="18"/>
          <w:color w:val="auto"/>
        </w:rPr>
        <w:t>”), it does not matter that a Covered Person or an Associate of a Covered Person may have decided to engage in a transaction before learning of the undisclosed material information. Further, it also is irrelevant that publicly disclosed information about Kornit, a Related Company or any other applicable company would, without consideration of the undisclosed material information, provide a substantial basis for engaging in the transaction. The federal securities laws do not recognize any such mitigating circumstances and further, even the appearance of an improper transaction must be avoided to preserve Kornit’s reputation for adhering to the highest standards of conduct.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information is considered material as it relates to any company if there is a substantial likelihood that a reasonable investor would consider the information important in making a decision to buy, hold or sell securities of such company. While this standard is not always easy to apply, any information that could be expected to affect the price of a company’s ordinary shares (or any other securities that derives its value from such securities), whether positive or negative, should be considered material. Some examples of information that is almost always regarded as material include: significant transactions such as pending or proposed mergers, tender offers, acquisitions or dispositions; financial forecasts (especially earnings estimates); corporate restructurings; regulatory rulings; unanticipated changes in the level of sales, earnings or expenses or earnings that are not consistent with the consensus expectations of the investment community; material changes to previously filed financial statements; credit rating changes; stock splits; stock dividends; equity or debt offerings; management changes; entry into or loss of a substantial contract not in the ordinary course of business; impending bankruptcy or the existence of severe liquidity problems; and similar matters.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Covered Person who has questions as to the materiality of any nonpublic information is advised to contact the Stock Compliance Officer for guidance. When in doubt as to the materiality of any nonpublic information, Covered Persons should refrain from trading.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 Disclosure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Disclosure of material information to the public generally means the disclosure of the information in a filing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(such as Kornit’s annual report on Form 20-F or current reports on Form 6-K) or otherwise released broadly to the marketplace (such as by a press release or publication of the information on Kornit’s website and/or its official, broad-based social media accounts)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More limited dissemination of the information, such as in a company communication to employees (even if it is to all employees generally) does not qualify as public disclosure. To ensure adequate disclosure, </w:t>
      </w:r>
      <w:r>
        <w:rPr>
          <w:rFonts w:ascii="Times New Roman" w:cs="Times New Roman" w:eastAsia="Times New Roman" w:hAnsi="Times New Roman"/>
          <w:sz w:val="18"/>
          <w:szCs w:val="18"/>
          <w:u w:val="single" w:color="auto"/>
          <w:color w:val="auto"/>
        </w:rPr>
        <w:t>one full trading day</w:t>
      </w:r>
      <w:r>
        <w:rPr>
          <w:rFonts w:ascii="Times New Roman" w:cs="Times New Roman" w:eastAsia="Times New Roman" w:hAnsi="Times New Roman"/>
          <w:sz w:val="18"/>
          <w:szCs w:val="18"/>
          <w:color w:val="auto"/>
        </w:rPr>
        <w:t xml:space="preserve"> should be permitted following public disclosure to allow the securities markets an opportunity to digest the news.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Tipping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Covered Persons who cannot trade in Kornit securities, securities of any other company, or Derivative Securities, by reason of the possession of material, nonpublic information also may not either (i) disclose such information to any other person or (ii) provide trading advice with respect to the above securities (even though the nonpublic information that provides the basis for the advice is not disclosed to the person). Any such disclosure or trading advice constitutes a violation of the federal securities laws (referred to as “tipping”) and can result in liability for both the tipper and the tippee, as well as for Kornit and supervisory personnel.</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Blackout Periods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Covered Persons are prohibited from trading in Kornit securities or Derivative Securities during blackout periods, regardless of whether they actually possess material nonpublic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auto"/>
        </w:rPr>
        <w:t>Regular Blackout Periods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There are four regular blackout periods with respect to trading per year (the “</w:t>
      </w:r>
      <w:r>
        <w:rPr>
          <w:rFonts w:ascii="Times New Roman" w:cs="Times New Roman" w:eastAsia="Times New Roman" w:hAnsi="Times New Roman"/>
          <w:sz w:val="18"/>
          <w:szCs w:val="18"/>
          <w:b w:val="1"/>
          <w:bCs w:val="1"/>
          <w:i w:val="1"/>
          <w:iCs w:val="1"/>
          <w:color w:val="auto"/>
        </w:rPr>
        <w:t>Quarterly Blackout Periods</w:t>
      </w:r>
      <w:r>
        <w:rPr>
          <w:rFonts w:ascii="Times New Roman" w:cs="Times New Roman" w:eastAsia="Times New Roman" w:hAnsi="Times New Roman"/>
          <w:sz w:val="18"/>
          <w:szCs w:val="18"/>
          <w:color w:val="auto"/>
        </w:rPr>
        <w:t>”). Each Quarterly Blackout Period begins at 12:01 a.m. Eastern time on the 16th day of the third month of the quarter (i.e. 12:01 a.m. Eastern time on each March 16, June 16, September 16 and December 16) and ends at 11:59 p.m. Eastern time following the close of trading on the first full trading day following the public dissemination by Kornit of its quarterly (or, in the case of the fourth quarter, annual) financial results by press release to the national wire services or by making a filing with the SEC. In the event the public disclosure of financial results for the prior fiscal quarter or year is made prior to open of trading on Nasdaq, the same day shall be considered a “Trading Day” for the purpose of this Policy.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Covered Persons are prohibited from trading in Kornit securities or Derivative Securities during Quarterly Blackout Periods. A Covered Person may not make a gift of Kornit securities or Derivative Securities, except to a Family Member, during a Blackout Period without the prior approval of the Stock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Designated Blackout Periods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Covered Person, at any time and from time to time, may be informed by the Stock Compliance Officer that he or she, and his or her Associates, are subject to a designated blackout period due to such person’s involvement in or knowledge of a particular matter (a “</w:t>
      </w:r>
      <w:r>
        <w:rPr>
          <w:rFonts w:ascii="Times New Roman" w:cs="Times New Roman" w:eastAsia="Times New Roman" w:hAnsi="Times New Roman"/>
          <w:sz w:val="18"/>
          <w:szCs w:val="18"/>
          <w:b w:val="1"/>
          <w:bCs w:val="1"/>
          <w:i w:val="1"/>
          <w:iCs w:val="1"/>
          <w:color w:val="auto"/>
        </w:rPr>
        <w:t>Designated 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and together with the Quarterly Blackout Periods, “</w:t>
      </w:r>
      <w:r>
        <w:rPr>
          <w:rFonts w:ascii="Times New Roman" w:cs="Times New Roman" w:eastAsia="Times New Roman" w:hAnsi="Times New Roman"/>
          <w:sz w:val="18"/>
          <w:szCs w:val="18"/>
          <w:b w:val="1"/>
          <w:bCs w:val="1"/>
          <w:i w:val="1"/>
          <w:iCs w:val="1"/>
          <w:color w:val="auto"/>
        </w:rPr>
        <w:t>Blackout Period(s)</w:t>
      </w:r>
      <w:r>
        <w:rPr>
          <w:rFonts w:ascii="Times New Roman" w:cs="Times New Roman" w:eastAsia="Times New Roman" w:hAnsi="Times New Roman"/>
          <w:sz w:val="18"/>
          <w:szCs w:val="18"/>
          <w:color w:val="auto"/>
        </w:rPr>
        <w:t>”). Covered Persons so advised are prohibited from trading in Kornit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or Derivative Securities until they receive further written notice from the Stock Compliance Officer. The existence of a Designated Blackout will not be announced other than to those who are subject to it. Any Covered Person or his or her Associates made aware of the existence of a Designated Blackout Period should not disclose the existence of such blackout for any reason.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It is important to keep in mind that, even if a Blackout Period is not in effect, the prohibition on trading on material, nonpublic information continues to apply at all times.</w:t>
      </w:r>
    </w:p>
    <w:p>
      <w:pPr>
        <w:spacing w:after="0" w:line="155" w:lineRule="exact"/>
        <w:rPr>
          <w:sz w:val="20"/>
          <w:szCs w:val="20"/>
          <w:color w:val="auto"/>
        </w:rPr>
      </w:pPr>
    </w:p>
    <w:p>
      <w:pPr>
        <w:ind w:left="460" w:hanging="452"/>
        <w:spacing w:after="0"/>
        <w:tabs>
          <w:tab w:leader="none" w:pos="4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Approved Trading Plans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Transactions by Covered Persons and their Associates pursuant to a written trading plan (an “</w:t>
      </w:r>
      <w:r>
        <w:rPr>
          <w:rFonts w:ascii="Times New Roman" w:cs="Times New Roman" w:eastAsia="Times New Roman" w:hAnsi="Times New Roman"/>
          <w:sz w:val="18"/>
          <w:szCs w:val="18"/>
          <w:b w:val="1"/>
          <w:bCs w:val="1"/>
          <w:i w:val="1"/>
          <w:iCs w:val="1"/>
          <w:color w:val="auto"/>
        </w:rPr>
        <w:t>Approved Plan</w:t>
      </w:r>
      <w:r>
        <w:rPr>
          <w:rFonts w:ascii="Times New Roman" w:cs="Times New Roman" w:eastAsia="Times New Roman" w:hAnsi="Times New Roman"/>
          <w:sz w:val="18"/>
          <w:szCs w:val="18"/>
          <w:color w:val="auto"/>
        </w:rPr>
        <w:t>”) will not violate this Policy and are not subject to the Blackout Period restrictions or pre-approval procedures if the following conditions are met:</w:t>
      </w:r>
    </w:p>
    <w:p>
      <w:pPr>
        <w:spacing w:after="0" w:line="159" w:lineRule="exact"/>
        <w:rPr>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Compliance Officer must approve the Approved Plan prior to it being executed;</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Approved Plan must comply with the requirements of 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including the following:</w:t>
      </w:r>
    </w:p>
    <w:p>
      <w:pPr>
        <w:spacing w:after="0" w:line="189" w:lineRule="exact"/>
        <w:rPr>
          <w:sz w:val="20"/>
          <w:szCs w:val="20"/>
          <w:color w:val="auto"/>
        </w:rPr>
      </w:pPr>
    </w:p>
    <w:p>
      <w:pPr>
        <w:ind w:left="1300" w:right="20" w:hanging="644"/>
        <w:spacing w:after="0" w:line="282"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be a written, binding contract, instruction or plan entered into outside of a Blackout Period and at such time when the Covered Person is not in possession of material, nonpublic information;</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Plan must expressly specify the amounts, prices and dates of transactions (specifically or through a written formula, or a combination thereof) or confer discretionary authority on another person (who is not a Covered Person or Associate and otherwise is not in possession of material non-public information) to effect one or more purchase or sale transactions for the account of the instructing person;</w:t>
      </w:r>
    </w:p>
    <w:p>
      <w:pPr>
        <w:spacing w:after="0" w:line="180"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instructing person may not exercise any subsequent influence over how, when or whether the transactions are effected;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left="1300" w:hanging="644"/>
        <w:spacing w:after="0" w:line="258"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Plan includes the required cooling-off period after execution prior to the start of trading under the plan (which period is: (i) for directors and executive officers who would be subject to Section 16 of the Exchange Act if Kornit were not a foreign private issuer, until the later of: (1) 90 days after the adoption of the plan; or (2) two business days following the disclosure in a periodic report of Kornit’s financial results for the fiscal quarter in which the plan was adopted (but not to exceed 120 days following plan adoption); and (ii) in the case of all other Covered Persons and their Associates), 30 days;</w:t>
      </w:r>
    </w:p>
    <w:p>
      <w:pPr>
        <w:spacing w:after="0" w:line="183" w:lineRule="exact"/>
        <w:rPr>
          <w:sz w:val="20"/>
          <w:szCs w:val="20"/>
          <w:color w:val="auto"/>
        </w:rPr>
      </w:pPr>
    </w:p>
    <w:p>
      <w:pPr>
        <w:jc w:val="both"/>
        <w:ind w:left="1300" w:hanging="644"/>
        <w:spacing w:after="0" w:line="266" w:lineRule="auto"/>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entering into the Approved Plan must attest that, at the time of creation of the Approved Plan, they are not aware of material, nonpublic information and that they are adopting the Approved Plan in good faith and not as part of the scheme to evade prohibitions of Rule 10b5-1;</w:t>
      </w:r>
    </w:p>
    <w:p>
      <w:pPr>
        <w:spacing w:after="0" w:line="176"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sale must occur pursuant to the Approved Plan; and</w:t>
      </w:r>
    </w:p>
    <w:p>
      <w:pPr>
        <w:spacing w:after="0" w:line="225" w:lineRule="exact"/>
        <w:rPr>
          <w:sz w:val="20"/>
          <w:szCs w:val="20"/>
          <w:color w:val="auto"/>
        </w:rPr>
      </w:pPr>
    </w:p>
    <w:p>
      <w:pPr>
        <w:ind w:left="660" w:right="1660" w:hanging="4"/>
        <w:spacing w:after="0" w:line="498" w:lineRule="auto"/>
        <w:tabs>
          <w:tab w:leader="none" w:pos="130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entering into the Approved Plan must act in good faith with respect to that plan for the duration thereof. The Stock Compliance Officer will approve any Approved Plan that complies with the terms of this Section V.</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Short Term Speculation; Hedging Transaction Restrictions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Kornit considers it improper and inappropriate for any Covered Person or their Associates to engage in short-term or speculative transactions in Kornit securities or in other transactions in Kornit securities that may transfer the full risks and rewards of ownership over Kornit securities. Therefore, it is Kornit’s policy that Covered Persons and their Associates may not engage, in any of the following transactions:</w:t>
      </w:r>
    </w:p>
    <w:p>
      <w:pPr>
        <w:spacing w:after="0" w:line="174" w:lineRule="exact"/>
        <w:rPr>
          <w:sz w:val="20"/>
          <w:szCs w:val="20"/>
          <w:color w:val="auto"/>
        </w:rPr>
      </w:pPr>
    </w:p>
    <w:p>
      <w:pPr>
        <w:jc w:val="both"/>
        <w:ind w:left="980" w:hanging="324"/>
        <w:spacing w:after="0" w:line="261" w:lineRule="auto"/>
        <w:tabs>
          <w:tab w:leader="none" w:pos="9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Publicly Traded Options</w:t>
      </w:r>
      <w:r>
        <w:rPr>
          <w:rFonts w:ascii="Times New Roman" w:cs="Times New Roman" w:eastAsia="Times New Roman" w:hAnsi="Times New Roman"/>
          <w:sz w:val="18"/>
          <w:szCs w:val="18"/>
          <w:color w:val="auto"/>
        </w:rPr>
        <w:t>. A transaction in options is, in effect, a bet on the short- term movement of Kornit shares and therefore creates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appearance of trading based on inside information. Transactions in options also may focus attention on short-term performance at the expense of long-term objectives. Accordingly, transactions in puts, calls or other Derivative Securities, on an exchange or in any other organized market, are prohibited absent prior written approval of the Stock Compliance Officer.</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77" w:lineRule="auto"/>
        <w:tabs>
          <w:tab w:leader="none" w:pos="9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Standing Orders</w:t>
      </w:r>
      <w:r>
        <w:rPr>
          <w:rFonts w:ascii="Times New Roman" w:cs="Times New Roman" w:eastAsia="Times New Roman" w:hAnsi="Times New Roman"/>
          <w:sz w:val="17"/>
          <w:szCs w:val="17"/>
          <w:color w:val="auto"/>
        </w:rPr>
        <w:t>. A standing order placed with a broker to sell or purchase Kornit shares at a specified price leaves the shareholder with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over the timing of the transaction. A transaction pursuant to a standing order – which does not meet the standards of an Approved Plan</w:t>
      </w:r>
    </w:p>
    <w:p>
      <w:pPr>
        <w:spacing w:after="0" w:line="1" w:lineRule="exact"/>
        <w:rPr>
          <w:rFonts w:ascii="Times New Roman" w:cs="Times New Roman" w:eastAsia="Times New Roman" w:hAnsi="Times New Roman"/>
          <w:sz w:val="17"/>
          <w:szCs w:val="17"/>
          <w:color w:val="auto"/>
        </w:rPr>
      </w:pPr>
    </w:p>
    <w:p>
      <w:pPr>
        <w:jc w:val="both"/>
        <w:ind w:left="9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executed by the broker when the Covered Person is aware of material nonpublic information may result in unlawful insider trading. Accordingly, standing orders are prohibited during any regular or designated blackout period and at any time that the Covered Person is aware of material, non-public information.</w:t>
      </w:r>
    </w:p>
    <w:p>
      <w:pPr>
        <w:spacing w:after="0" w:line="183" w:lineRule="exact"/>
        <w:rPr>
          <w:rFonts w:ascii="Times New Roman" w:cs="Times New Roman" w:eastAsia="Times New Roman" w:hAnsi="Times New Roman"/>
          <w:sz w:val="17"/>
          <w:szCs w:val="17"/>
          <w:color w:val="auto"/>
        </w:rPr>
      </w:pPr>
    </w:p>
    <w:p>
      <w:pPr>
        <w:jc w:val="both"/>
        <w:ind w:left="980" w:hanging="324"/>
        <w:spacing w:after="0" w:line="256" w:lineRule="auto"/>
        <w:tabs>
          <w:tab w:leader="none" w:pos="9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Transactions</w:t>
      </w:r>
      <w:r>
        <w:rPr>
          <w:rFonts w:ascii="Times New Roman" w:cs="Times New Roman" w:eastAsia="Times New Roman" w:hAnsi="Times New Roman"/>
          <w:sz w:val="18"/>
          <w:szCs w:val="18"/>
          <w:color w:val="auto"/>
        </w:rPr>
        <w:t>. Certain forms of hedging or monetization transactions allow Covered Persons to lock in much of the value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Kornit securities, often in exchange for all or part of the potential for upside appreciation in the securities. These transactions allow the Covered Person to continue to own the covered Kornit security, but without the full risks and rewards of ownership. Such transactions may use methodologies or financial instruments including, but not limited to, short sales, puts, calls, collars, prepaid variable forward contracts and exchange funds. When that occurs, the Covered Person may no longer have the same objectives as Kornit’s other shareholders. Therefore, Covered Persons are prohibited from employing any such methodologies or using any such financial instruments with respect to a Kornit security absent prior written approval of the Stock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Covered Person who has questions as to whether a particular strategy would violate the Policy is advised to contact the Stock Compliance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VII.  Application of the Policy to Kornit’s Equity Incentive Plans and Bona Fide Gifts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the Policy apply to various investment decisions concerning Kornit securities made by a Covered Person in connection with Kornit’s equity incentive plans, as are in effect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Policy does not apply to the grant or the cash exercise of share options granted under Kornit’s equity incentive plans as in effect from time to time, and also would not apply to the delivery of shares to any entity administrating said plans on behalf of Kornit upon exercise of such options to the extent such transactions are permissible under the equity incentive plans. However, the delivery of Kornit shares to any third party in payment for the exercise price of a share option and/or for tax withholding, known as a “cashless” or “same-day sale” exercise, as well as any sale to a third party of Kornit shares acquired upon the exercise of a share option, is subject to the same restrictions that apply to any other sale of Kornit securities, including the Prior Approval Requirement set forth in the Addendum if the person effecting any such transaction is an Addendum Covered Person. These restrictions also apply to any Associate who acquires a transferred share option.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Policy also does not apply to the vesting or delivery of restricted shares or restricted share units. The sale of Kornit shares acquired on the date of vesting or delivery of such restricted shares or restricted share units to any third party (including for tax withholding purposes) is subject to the same restrictions that apply to any other sale of Kornit securities, including the Prior Approval Requirement set forth in the Addendum if the person effecting any such transaction is an Addendum Covered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bona fide gift of Kornit securities or Derivative Securities to a Family Member is not subject to the restrictions contained in the Policy. Except during a Designated Blackout Period as provided in Part IV of the Policy, a bona fide gift of Kornit securities or Derivative Securities to a charitable, educational or a similar institution or to a person who is not a Family Member is not subject to the restrictions contained in the Policy (Addendum Covered Persons should see the Addendum for restrictions applicable to them). The recipient of a gift who is a Covered Person or an Associate of a Covered Person would be subject to the restrictions of this Policy in connection with any subsequent sale of the gifted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Share Purchase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does not apply to purchases of Kornit ordinary shares pursuant to any employee share purchase plan resulting from a Covered Person’s periodic contribution of money to such a plan pursuant to the election he or she made at the time of his or her enrollment in the plan. This Policy also does not apply to purchases of Kornit ordinary shares resulting from lump sum contributions to such a plan, provided that the Covered Person elected to participate by lump sum payment at the beginning of the applicable enrollment period. This Policy does apply, however, to a Covered Person’s election to participate in such a plan for any enrollment period, and to his or her sales of Kornit ordinary shares purchased pursuant to such a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VIII. Post-Termination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restrictions imposed by the Policy will continue to apply to a Covered Person and his or her Associates after the termination of his or her employment with or engagement by Kornit for such period of time as such Covered Person is aware of material, nonpublic information until that information has become public or is no longer material. If a Covered Person’s employment or engagement has ended within a Blackout Period and he or she is aware of material, nonpublic information, he or she shall be subject to the Blackout Period restrictions detailed above for the remainder of that Blackout Period.</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IX.</w:t>
        <w:tab/>
        <w:t>Reason for the Prohibition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federal securities laws, it is unlawful for any director, officer or employee of, or any person otherwise associated with, a public company to trade, or to enable others to trade, in the securities of that company while in possession of material, nonpublic information. Violators may be subject to criminal prosecution and/or civil liability.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criminal prosecution can result in a fine of up to $5 million for individuals and $25 million for corporations (no matter how small the profit or even if there is a loss) and imprisonment for up to 20 years. Civil actions may be brought by a private plaintiff or the SEC. A person who has been found in a civil action brought by the SEC to have violated the prohibition on insider trading by purchasing or selling a security while in possession of material, nonpublic information, or by communicating such information to another person who engages in such trading, can be held liable for a penalty up to three times the profit gained, or the loss avoided, by the person who traded while in possession of material, nonpublic information. The SEC also has the authority to obtain a court order that bars a person who has engaged in insider trading from serving, either permanently or for a period of time, as a director or officer of a public company. There are no limits on the size of the transaction that can trigger insider trading liability. Relatively small trades have in the past occasioned civil and criminal investigations and lawsuits.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Insider trading also can generate significant adverse publicity and, as a result, cause a substantial loss of confidence in Kornit and its securities on the part of the public and the securities markets. This could have an adverse impact on the price of Kornit shares and other securities to the detriment of Kornit and its shareholders.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Remember, anyone scrutinizing your transactions in Kornit securities or Derivative Securities will be doing so after the fact, with the benefit of hindsight. As a practical matter, before engaging in any transaction, you should carefully consider how enforcement authorities and others might view the transaction in hindsight.</w:t>
      </w:r>
    </w:p>
    <w:p>
      <w:pPr>
        <w:spacing w:after="0" w:line="172"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Kornit will strictly enforce the prohibitions against insider trading and the additional restrictions and procedures set forth in this Policy. Any Covered Person, or their Associate, of Kornit or any Related Company who is uncertain regarding the applicability of the Policy is urged to contact the Stock Compliance Officer prior to executing any sale or purchase transaction involving Kornit securities or Derivative Securities to determine if he or she may properly proceed. Directors and officers of Kornit should be particularly careful, since avoiding the appearance of engaging in share transactions on the basis of material, nonpublic information can be as important as avoiding consummating a transaction actually based on such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ADDENDUM TO KORNIT DIGITAL LTD. INSIDER TRADING POLICY APPLICABLE TO DIRECTORS, OFFICERS AND CERTAIN DESIGNATED EMPLOYEES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compliance with the general insider trading prohibition, subject to Section V of the Policy, all directors and officers of Kornit, and any other employees of, or consultants or contractors to, Kornit or a Related Company designated by the Stock Compliance Officer (each such person subject to the Addendum is referred to as an “</w:t>
      </w:r>
      <w:r>
        <w:rPr>
          <w:rFonts w:ascii="Times New Roman" w:cs="Times New Roman" w:eastAsia="Times New Roman" w:hAnsi="Times New Roman"/>
          <w:sz w:val="18"/>
          <w:szCs w:val="18"/>
          <w:b w:val="1"/>
          <w:bCs w:val="1"/>
          <w:i w:val="1"/>
          <w:iCs w:val="1"/>
          <w:color w:val="auto"/>
        </w:rPr>
        <w:t>Addendum Covered Person</w:t>
      </w:r>
      <w:r>
        <w:rPr>
          <w:rFonts w:ascii="Times New Roman" w:cs="Times New Roman" w:eastAsia="Times New Roman" w:hAnsi="Times New Roman"/>
          <w:sz w:val="18"/>
          <w:szCs w:val="18"/>
          <w:color w:val="auto"/>
        </w:rPr>
        <w:t>”) are required to adhere to the following additional restrictions and procedures when trading in Kornit securities and Derivative Securities.</w:t>
      </w:r>
    </w:p>
    <w:p>
      <w:pPr>
        <w:spacing w:after="0" w:line="176"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Prior Approval Requirement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Blackout Periods and compliance with the general prohibition on insider trading, an Addendum Covered Person must obtain the approval of the Stock Compliance Officer before effecting a trade in Kornit securities or any Derivative Security (the “</w:t>
      </w:r>
      <w:r>
        <w:rPr>
          <w:rFonts w:ascii="Times New Roman" w:cs="Times New Roman" w:eastAsia="Times New Roman" w:hAnsi="Times New Roman"/>
          <w:sz w:val="18"/>
          <w:szCs w:val="18"/>
          <w:b w:val="1"/>
          <w:bCs w:val="1"/>
          <w:i w:val="1"/>
          <w:iCs w:val="1"/>
          <w:color w:val="auto"/>
        </w:rPr>
        <w:t>Prior Approval Requirement</w:t>
      </w:r>
      <w:r>
        <w:rPr>
          <w:rFonts w:ascii="Times New Roman" w:cs="Times New Roman" w:eastAsia="Times New Roman" w:hAnsi="Times New Roman"/>
          <w:sz w:val="18"/>
          <w:szCs w:val="18"/>
          <w:color w:val="auto"/>
        </w:rPr>
        <w:t>”) (to the extent that such persons are permitted to trade in Derivative Securities consistent with the Short Sale Prohibition and Other Restricted Transactions described in Part V). The Prior Approval Requirement also applies to Associates of the foregoing individuals. A request form for prior approval should be submitted at least one (1) business day prior to the proposed transaction date (or the waiting period required by the bank/broker, if applicable). Covered Persons who have questions regarding Prior Approval Requirement are advised to contact the Stock Compliance Officer. The Prior Approval Requirement will include an affirmation that the Addendum Covered Person does not possess any material information not disclosed to the public as defined in the Section III of the Policy.</w:t>
      </w:r>
    </w:p>
    <w:p>
      <w:pPr>
        <w:spacing w:after="0" w:line="188"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Margin Accounts and Pledges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Addendum Covered Person may not hold Kornit securities in a margin account or pledge Kornit securities as collateral because a margin or foreclosure sale may occur when such Addendum Covered Person is aware of material nonpublic information or otherwise prohibited from trading in Kornit securities. Under certain circumstances an exception may be granted for an Addendum Covered Person to pledge Kornit securities as collateral for a loan (not including margin debt) where the Addendum Covered Person clearly demonstrates the financial capacity to repay the loan without resorting to the pledged securities. Any Addendum Covered Person that wishes to do so must submit a request for approval to the Stock Compliance Officer at least two weeks prior to the proposed execution of documents evidencing the proposed pledge and the Stock Compliance Officer shall have absolute discretion over approving or rejecting such proposed pledge.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Ronen Samuel, certify that:</w:t>
      </w:r>
    </w:p>
    <w:p>
      <w:pPr>
        <w:spacing w:after="0" w:line="225" w:lineRule="exact"/>
        <w:rPr>
          <w:sz w:val="20"/>
          <w:szCs w:val="20"/>
          <w:color w:val="auto"/>
        </w:rPr>
      </w:pPr>
    </w:p>
    <w:p>
      <w:pPr>
        <w:ind w:left="340" w:hanging="332"/>
        <w:spacing w:after="0"/>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tab/>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Ronen Samuel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Lauri Hanover, certify that:</w:t>
      </w:r>
    </w:p>
    <w:p>
      <w:pPr>
        <w:spacing w:after="0" w:line="225"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tab/>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8"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216" w:lineRule="exact"/>
        <w:rPr>
          <w:sz w:val="20"/>
          <w:szCs w:val="20"/>
          <w:color w:val="auto"/>
        </w:rPr>
      </w:pPr>
    </w:p>
    <w:p>
      <w:pPr>
        <w:jc w:val="center"/>
        <w:ind w:left="340" w:right="10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RULE 13a-14(b)/RULE 15d-14(b) UNDER THE EXCHANGE ACT AND 18 U.S.C. SECTION 1350, AS ADOPTED PURSUANT TO SECTION 906 OF THE SARBANES-OXLEY ACT OF 2002</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Form 20-F for the fiscal year ended December 31, 2024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we, Ronen Samuel, as Chief Executive Officer of the Company, and Lauri Hanover,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80"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Ronen Samuel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8"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firstLine="8"/>
        <w:spacing w:after="0" w:line="282" w:lineRule="auto"/>
        <w:tabs>
          <w:tab w:leader="none" w:pos="2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333-203970) pertaining to the 2004 Share Option Plan, 2012 Share Incentive Plan, 2015 Incentive Compensation Plan, 2015 Employee Share Purchase Plan of Kornit Digital Ltd.,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333-214015, 333-217039, 333-223794, 333-230567, 333-237346, 333-254749 and 333-263975) pertaining to the 2015 Incentive Compensation Plan of Kornit Digital Ltd.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27, 2025, with respect to the consolidated financial statements of Kornit Digital Ltd. and the effectiveness of internal control over financial reporting of Kornit Digital Ltd. included in this Annual Report (Form 20-F) of Kornit Digital Ltd. for the year ended December 31, 2024.</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/s/ KOST FORER GABBAY &amp; KASIERER</w:t>
      </w:r>
    </w:p>
    <w:p>
      <w:pPr>
        <w:spacing w:after="0" w:line="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 Member of EY Global</w:t>
      </w:r>
    </w:p>
    <w:sectPr>
      <w:pgSz w:w="11900" w:h="16838" w:orient="portrait"/>
      <w:cols w:equalWidth="0" w:num="2">
        <w:col w:w="6680" w:space="720"/>
        <w:col w:w="38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lvl w:ilvl="1">
      <w:lvlJc w:val="left"/>
      <w:lvlText w:val="☒"/>
      <w:numFmt w:val="bullet"/>
      <w:start w:val="1"/>
    </w:lvl>
  </w:abstractNum>
  <w:abstractNum w:abstractNumId="1">
    <w:nsid w:val="CC1016F"/>
    <w:multiLevelType w:val="hybridMultilevel"/>
    <w:lvl w:ilvl="0">
      <w:lvlJc w:val="left"/>
      <w:lvlText w:val="☐"/>
      <w:numFmt w:val="bullet"/>
      <w:start w:val="1"/>
    </w:lvl>
    <w:lvl w:ilvl="1">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1."/>
      <w:numFmt w:val="upperLetter"/>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1)"/>
      <w:numFmt w:val="decimal"/>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1)"/>
      <w:numFmt w:val="decimal"/>
      <w:start w:val="1"/>
    </w:lvl>
  </w:abstractNum>
  <w:abstractNum w:abstractNumId="36">
    <w:nsid w:val="1CA0C5FA"/>
    <w:multiLevelType w:val="hybridMultilevel"/>
    <w:lvl w:ilvl="0">
      <w:lvlJc w:val="left"/>
      <w:lvlText w:val="(%1)"/>
      <w:numFmt w:val="decimal"/>
      <w:start w:val="3"/>
    </w:lvl>
  </w:abstractNum>
  <w:abstractNum w:abstractNumId="37">
    <w:nsid w:val="53584BCB"/>
    <w:multiLevelType w:val="hybridMultilevel"/>
    <w:lvl w:ilvl="0">
      <w:lvlJc w:val="left"/>
      <w:lvlText w:val="(%1)"/>
      <w:numFmt w:val="lowerRoman"/>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1)"/>
      <w:numFmt w:val="decimal"/>
      <w:start w:val="1"/>
    </w:lvl>
  </w:abstractNum>
  <w:abstractNum w:abstractNumId="56">
    <w:nsid w:val="5675FF36"/>
    <w:multiLevelType w:val="hybridMultilevel"/>
    <w:lvl w:ilvl="0">
      <w:lvlJc w:val="left"/>
      <w:lvlText w:val="(%1)"/>
      <w:numFmt w:val="decimal"/>
      <w:start w:val="3"/>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lvl w:ilvl="1">
      <w:lvlJc w:val="left"/>
      <w:lvlText w:val="(%2)"/>
      <w:numFmt w:val="lowerRoman"/>
      <w:start w:val="2"/>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1)"/>
      <w:numFmt w:val="lowerRoman"/>
      <w:start w:val="3"/>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1)"/>
      <w:numFmt w:val="lowerRoman"/>
      <w:start w:val="1"/>
    </w:lvl>
  </w:abstractNum>
  <w:abstractNum w:abstractNumId="69">
    <w:nsid w:val="17A1B582"/>
    <w:multiLevelType w:val="hybridMultilevel"/>
    <w:lvl w:ilvl="0">
      <w:lvlJc w:val="left"/>
      <w:lvlText w:val="(%1)"/>
      <w:numFmt w:val="decimal"/>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1"/>
      <w:numFmt w:val="decimal"/>
      <w:start w:val="101"/>
    </w:lvl>
    <w:lvl w:ilvl="1">
      <w:lvlJc w:val="left"/>
      <w:lvlText w:val="(%2)"/>
      <w:numFmt w:val="lowerRoman"/>
      <w:start w:val="2"/>
    </w:lvl>
  </w:abstractNum>
  <w:abstractNum w:abstractNumId="73">
    <w:nsid w:val="2A082C70"/>
    <w:multiLevelType w:val="hybridMultilevel"/>
    <w:lvl w:ilvl="0">
      <w:lvlJc w:val="left"/>
      <w:lvlText w:val="(%1)"/>
      <w:numFmt w:val="decimal"/>
      <w:start w:val="1"/>
    </w:lvl>
  </w:abstractNum>
  <w:abstractNum w:abstractNumId="74">
    <w:nsid w:val="5EC6AFD4"/>
    <w:multiLevelType w:val="hybridMultilevel"/>
    <w:lvl w:ilvl="0">
      <w:lvlJc w:val="left"/>
      <w:lvlText w:val="(%1)"/>
      <w:numFmt w:val="decimal"/>
      <w:start w:val="5"/>
    </w:lvl>
  </w:abstractNum>
  <w:abstractNum w:abstractNumId="75">
    <w:nsid w:val="19E21BB2"/>
    <w:multiLevelType w:val="hybridMultilevel"/>
    <w:lvl w:ilvl="0">
      <w:lvlJc w:val="left"/>
      <w:lvlText w:val="#"/>
      <w:numFmt w:val="bullet"/>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1."/>
      <w:numFmt w:val="lowerLetter"/>
      <w:start w:val="1"/>
    </w:lvl>
  </w:abstractNum>
  <w:abstractNum w:abstractNumId="79">
    <w:nsid w:val="20EE1348"/>
    <w:multiLevelType w:val="hybridMultilevel"/>
    <w:lvl w:ilvl="0">
      <w:lvlJc w:val="left"/>
      <w:lvlText w:val="%1."/>
      <w:numFmt w:val="lowerLetter"/>
      <w:start w:val="1"/>
    </w:lvl>
  </w:abstractNum>
  <w:abstractNum w:abstractNumId="80">
    <w:nsid w:val="4427069A"/>
    <w:multiLevelType w:val="hybridMultilevel"/>
    <w:lvl w:ilvl="0">
      <w:lvlJc w:val="left"/>
      <w:lvlText w:val="%1."/>
      <w:numFmt w:val="lowerLetter"/>
      <w:start w:val="2"/>
    </w:lvl>
  </w:abstractNum>
  <w:abstractNum w:abstractNumId="81">
    <w:nsid w:val="B37E80A"/>
    <w:multiLevelType w:val="hybridMultilevel"/>
    <w:lvl w:ilvl="0">
      <w:lvlJc w:val="left"/>
      <w:lvlText w:val="%1."/>
      <w:numFmt w:val="lowerLetter"/>
      <w:start w:val="6"/>
    </w:lvl>
  </w:abstractNum>
  <w:abstractNum w:abstractNumId="82">
    <w:nsid w:val="2157F6BC"/>
    <w:multiLevelType w:val="hybridMultilevel"/>
    <w:lvl w:ilvl="0">
      <w:lvlJc w:val="left"/>
      <w:lvlText w:val="%1."/>
      <w:numFmt w:val="lowerLetter"/>
      <w:start w:val="7"/>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
      <w:numFmt w:val="bullet"/>
      <w:start w:val="1"/>
    </w:lvl>
    <w:lvl w:ilvl="1">
      <w:lvlJc w:val="left"/>
      <w:lvlText w:val="%2."/>
      <w:numFmt w:val="lowerLetter"/>
      <w:start w:val="8"/>
    </w:lvl>
  </w:abstractNum>
  <w:abstractNum w:abstractNumId="85">
    <w:nsid w:val="BFFAE18"/>
    <w:multiLevelType w:val="hybridMultilevel"/>
    <w:lvl w:ilvl="0">
      <w:lvlJc w:val="left"/>
      <w:lvlText w:val="(***)"/>
      <w:numFmt w:val="bullet"/>
      <w:start w:val="1"/>
    </w:lvl>
    <w:lvl w:ilvl="1">
      <w:lvlJc w:val="left"/>
      <w:lvlText w:val="%2."/>
      <w:numFmt w:val="lowerRoman"/>
      <w:start w:val="1"/>
    </w:lvl>
  </w:abstractNum>
  <w:abstractNum w:abstractNumId="86">
    <w:nsid w:val="E3E47A8"/>
    <w:multiLevelType w:val="hybridMultilevel"/>
    <w:lvl w:ilvl="0">
      <w:lvlJc w:val="left"/>
      <w:lvlText w:val="%1."/>
      <w:numFmt w:val="lowerLetter"/>
      <w:start w:val="10"/>
    </w:lvl>
  </w:abstractNum>
  <w:abstractNum w:abstractNumId="87">
    <w:nsid w:val="2E48F044"/>
    <w:multiLevelType w:val="hybridMultilevel"/>
    <w:lvl w:ilvl="0">
      <w:lvlJc w:val="left"/>
      <w:lvlText w:val="%1."/>
      <w:numFmt w:val="lowerLetter"/>
      <w:start w:val="11"/>
    </w:lvl>
  </w:abstractNum>
  <w:abstractNum w:abstractNumId="88">
    <w:nsid w:val="49D0FEAC"/>
    <w:multiLevelType w:val="hybridMultilevel"/>
    <w:lvl w:ilvl="0">
      <w:lvlJc w:val="left"/>
      <w:lvlText w:val="%1."/>
      <w:numFmt w:val="lowerLetter"/>
      <w:start w:val="14"/>
    </w:lvl>
  </w:abstractNum>
  <w:abstractNum w:abstractNumId="89">
    <w:nsid w:val="4BEE5A5B"/>
    <w:multiLevelType w:val="hybridMultilevel"/>
    <w:lvl w:ilvl="0">
      <w:lvlJc w:val="left"/>
      <w:lvlText w:val="%1."/>
      <w:numFmt w:val="lowerLetter"/>
      <w:start w:val="14"/>
    </w:lvl>
  </w:abstractNum>
  <w:abstractNum w:abstractNumId="90">
    <w:nsid w:val="5551B9F3"/>
    <w:multiLevelType w:val="hybridMultilevel"/>
    <w:lvl w:ilvl="0">
      <w:lvlJc w:val="left"/>
      <w:lvlText w:val="%1."/>
      <w:numFmt w:val="lowerLetter"/>
      <w:start w:val="14"/>
    </w:lvl>
  </w:abstractNum>
  <w:abstractNum w:abstractNumId="91">
    <w:nsid w:val="24F6AB8E"/>
    <w:multiLevelType w:val="hybridMultilevel"/>
    <w:lvl w:ilvl="0">
      <w:lvlJc w:val="left"/>
      <w:lvlText w:val="%1."/>
      <w:numFmt w:val="lowerLetter"/>
      <w:start w:val="15"/>
    </w:lvl>
  </w:abstractNum>
  <w:abstractNum w:abstractNumId="92">
    <w:nsid w:val="634C574C"/>
    <w:multiLevelType w:val="hybridMultilevel"/>
    <w:lvl w:ilvl="0">
      <w:lvlJc w:val="left"/>
      <w:lvlText w:val="%1."/>
      <w:numFmt w:val="lowerLetter"/>
      <w:start w:val="17"/>
    </w:lvl>
  </w:abstractNum>
  <w:abstractNum w:abstractNumId="93">
    <w:nsid w:val="24E99DD7"/>
    <w:multiLevelType w:val="hybridMultilevel"/>
    <w:lvl w:ilvl="0">
      <w:lvlJc w:val="left"/>
      <w:lvlText w:val="%1."/>
      <w:numFmt w:val="lowerLetter"/>
      <w:start w:val="18"/>
    </w:lvl>
  </w:abstractNum>
  <w:abstractNum w:abstractNumId="94">
    <w:nsid w:val="2A31B62D"/>
    <w:multiLevelType w:val="hybridMultilevel"/>
    <w:lvl w:ilvl="0">
      <w:lvlJc w:val="left"/>
      <w:lvlText w:val="%1."/>
      <w:numFmt w:val="lowerLetter"/>
      <w:start w:val="19"/>
    </w:lvl>
  </w:abstractNum>
  <w:abstractNum w:abstractNumId="95">
    <w:nsid w:val="1849C29B"/>
    <w:multiLevelType w:val="hybridMultilevel"/>
    <w:lvl w:ilvl="0">
      <w:lvlJc w:val="left"/>
      <w:lvlText w:val="%1."/>
      <w:numFmt w:val="lowerLetter"/>
      <w:start w:val="21"/>
    </w:lvl>
  </w:abstractNum>
  <w:abstractNum w:abstractNumId="96">
    <w:nsid w:val="7DFF9D09"/>
    <w:multiLevelType w:val="hybridMultilevel"/>
    <w:lvl w:ilvl="0">
      <w:lvlJc w:val="left"/>
      <w:lvlText w:val="%1."/>
      <w:numFmt w:val="lowerRoman"/>
      <w:start w:val="5"/>
    </w:lvl>
    <w:lvl w:ilvl="1">
      <w:lvlJc w:val="left"/>
      <w:lvlText w:val="%2."/>
      <w:numFmt w:val="decimal"/>
      <w:start w:val="1"/>
    </w:lvl>
  </w:abstractNum>
  <w:abstractNum w:abstractNumId="97">
    <w:nsid w:val="754342"/>
    <w:multiLevelType w:val="hybridMultilevel"/>
    <w:lvl w:ilvl="0">
      <w:lvlJc w:val="left"/>
      <w:lvlText w:val="%1."/>
      <w:numFmt w:val="lowerRoman"/>
      <w:start w:val="5"/>
    </w:lvl>
    <w:lvl w:ilvl="1">
      <w:lvlJc w:val="left"/>
      <w:lvlText w:val="%2."/>
      <w:numFmt w:val="decimal"/>
      <w:start w:val="2"/>
    </w:lvl>
  </w:abstractNum>
  <w:abstractNum w:abstractNumId="98">
    <w:nsid w:val="69E7F3E5"/>
    <w:multiLevelType w:val="hybridMultilevel"/>
    <w:lvl w:ilvl="0">
      <w:lvlJc w:val="left"/>
      <w:lvlText w:val="%1."/>
      <w:numFmt w:val="lowerLetter"/>
      <w:start w:val="23"/>
    </w:lvl>
  </w:abstractNum>
  <w:abstractNum w:abstractNumId="99">
    <w:nsid w:val="2A6DE806"/>
    <w:multiLevelType w:val="hybridMultilevel"/>
    <w:lvl w:ilvl="0">
      <w:lvlJc w:val="left"/>
      <w:lvlText w:val="%1."/>
      <w:numFmt w:val="lowerRoman"/>
      <w:start w:val="10"/>
    </w:lvl>
  </w:abstractNum>
  <w:abstractNum w:abstractNumId="100">
    <w:nsid w:val="1816F8C4"/>
    <w:multiLevelType w:val="hybridMultilevel"/>
    <w:lvl w:ilvl="0">
      <w:lvlJc w:val="left"/>
      <w:lvlText w:val="%1."/>
      <w:numFmt w:val="lowerLetter"/>
      <w:start w:val="25"/>
    </w:lvl>
  </w:abstractNum>
  <w:abstractNum w:abstractNumId="101">
    <w:nsid w:val="37DF2233"/>
    <w:multiLevelType w:val="hybridMultilevel"/>
    <w:lvl w:ilvl="0">
      <w:lvlJc w:val="left"/>
      <w:lvlText w:val="%1."/>
      <w:numFmt w:val="lowerLetter"/>
      <w:start w:val="27"/>
    </w:lvl>
  </w:abstractNum>
  <w:abstractNum w:abstractNumId="102">
    <w:nsid w:val="7AB49DAF"/>
    <w:multiLevelType w:val="hybridMultilevel"/>
    <w:lvl w:ilvl="0">
      <w:lvlJc w:val="left"/>
      <w:lvlText w:val="%1."/>
      <w:numFmt w:val="lowerLetter"/>
      <w:start w:val="27"/>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1."/>
      <w:numFmt w:val="lowerLetter"/>
      <w:start w:val="1"/>
    </w:lvl>
  </w:abstractNum>
  <w:abstractNum w:abstractNumId="105">
    <w:nsid w:val="597B4D84"/>
    <w:multiLevelType w:val="hybridMultilevel"/>
    <w:lvl w:ilvl="0">
      <w:lvlJc w:val="left"/>
      <w:lvlText w:val="%1."/>
      <w:numFmt w:val="lowerLetter"/>
      <w:start w:val="2"/>
    </w:lvl>
  </w:abstractNum>
  <w:abstractNum w:abstractNumId="106">
    <w:nsid w:val="F819E7F"/>
    <w:multiLevelType w:val="hybridMultilevel"/>
    <w:lvl w:ilvl="0">
      <w:lvlJc w:val="left"/>
      <w:lvlText w:val="%1."/>
      <w:numFmt w:val="lowerLetter"/>
      <w:start w:val="1"/>
    </w:lvl>
    <w:lvl w:ilvl="1">
      <w:lvlJc w:val="left"/>
      <w:lvlText w:val="%2."/>
      <w:numFmt w:val="decimal"/>
      <w:start w:val="1"/>
    </w:lvl>
  </w:abstractNum>
  <w:abstractNum w:abstractNumId="107">
    <w:nsid w:val="57C7D42D"/>
    <w:multiLevelType w:val="hybridMultilevel"/>
    <w:lvl w:ilvl="0">
      <w:lvlJc w:val="left"/>
      <w:lvlText w:val="%1."/>
      <w:numFmt w:val="lowerLetter"/>
      <w:start w:val="2"/>
    </w:lvl>
  </w:abstractNum>
  <w:abstractNum w:abstractNumId="108">
    <w:nsid w:val="312167AD"/>
    <w:multiLevelType w:val="hybridMultilevel"/>
    <w:lvl w:ilvl="0">
      <w:lvlJc w:val="left"/>
      <w:lvlText w:val="%1"/>
      <w:numFmt w:val="lowerLetter"/>
      <w:start w:val="1"/>
    </w:lvl>
    <w:lvl w:ilvl="1">
      <w:lvlJc w:val="left"/>
      <w:lvlText w:val="%2."/>
      <w:numFmt w:val="decimal"/>
      <w:start w:val="2"/>
    </w:lvl>
  </w:abstractNum>
  <w:abstractNum w:abstractNumId="109">
    <w:nsid w:val="631B64D4"/>
    <w:multiLevelType w:val="hybridMultilevel"/>
    <w:lvl w:ilvl="0">
      <w:lvlJc w:val="left"/>
      <w:lvlText w:val="%1."/>
      <w:numFmt w:val="lowerLetter"/>
      <w:start w:val="3"/>
    </w:lvl>
    <w:lvl w:ilvl="1">
      <w:lvlJc w:val="left"/>
      <w:lvlText w:val="%2"/>
      <w:numFmt w:val="decimal"/>
      <w:start w:val="1"/>
    </w:lvl>
  </w:abstractNum>
  <w:abstractNum w:abstractNumId="110">
    <w:nsid w:val="78B5E776"/>
    <w:multiLevelType w:val="hybridMultilevel"/>
    <w:lvl w:ilvl="0">
      <w:lvlJc w:val="left"/>
      <w:lvlText w:val="%1."/>
      <w:numFmt w:val="lowerLetter"/>
      <w:start w:val="1"/>
    </w:lvl>
  </w:abstractNum>
  <w:abstractNum w:abstractNumId="111">
    <w:nsid w:val="75486E47"/>
    <w:multiLevelType w:val="hybridMultilevel"/>
    <w:lvl w:ilvl="0">
      <w:lvlJc w:val="left"/>
      <w:lvlText w:val="%1."/>
      <w:numFmt w:val="lowerLetter"/>
      <w:start w:val="1"/>
    </w:lvl>
  </w:abstractNum>
  <w:abstractNum w:abstractNumId="112">
    <w:nsid w:val="6E534CDE"/>
    <w:multiLevelType w:val="hybridMultilevel"/>
    <w:lvl w:ilvl="0">
      <w:lvlJc w:val="left"/>
      <w:lvlText w:val="%1."/>
      <w:numFmt w:val="lowerLetter"/>
      <w:start w:val="3"/>
    </w:lvl>
  </w:abstractNum>
  <w:abstractNum w:abstractNumId="113">
    <w:nsid w:val="1A0DDE32"/>
    <w:multiLevelType w:val="hybridMultilevel"/>
    <w:lvl w:ilvl="0">
      <w:lvlJc w:val="left"/>
      <w:lvlText w:val="%1."/>
      <w:numFmt w:val="lowerLetter"/>
      <w:start w:val="4"/>
    </w:lvl>
  </w:abstractNum>
  <w:abstractNum w:abstractNumId="114">
    <w:nsid w:val="65968C1C"/>
    <w:multiLevelType w:val="hybridMultilevel"/>
    <w:lvl w:ilvl="0">
      <w:lvlJc w:val="left"/>
      <w:lvlText w:val="%1."/>
      <w:numFmt w:val="lowerLetter"/>
      <w:start w:val="4"/>
    </w:lvl>
  </w:abstractNum>
  <w:abstractNum w:abstractNumId="115">
    <w:nsid w:val="46263DEC"/>
    <w:multiLevelType w:val="hybridMultilevel"/>
    <w:lvl w:ilvl="0">
      <w:lvlJc w:val="left"/>
      <w:lvlText w:val="%1."/>
      <w:numFmt w:val="lowerLetter"/>
      <w:start w:val="6"/>
    </w:lvl>
  </w:abstractNum>
  <w:abstractNum w:abstractNumId="116">
    <w:nsid w:val="260D8C4A"/>
    <w:multiLevelType w:val="hybridMultilevel"/>
    <w:lvl w:ilvl="0">
      <w:lvlJc w:val="left"/>
      <w:lvlText w:val="%1."/>
      <w:numFmt w:val="lowerLetter"/>
      <w:start w:val="1"/>
    </w:lvl>
  </w:abstractNum>
  <w:abstractNum w:abstractNumId="117">
    <w:nsid w:val="73D4D3C4"/>
    <w:multiLevelType w:val="hybridMultilevel"/>
    <w:lvl w:ilvl="0">
      <w:lvlJc w:val="left"/>
      <w:lvlText w:val="%1."/>
      <w:numFmt w:val="lowerLetter"/>
      <w:start w:val="2"/>
    </w:lvl>
  </w:abstractNum>
  <w:abstractNum w:abstractNumId="118">
    <w:nsid w:val="746F2E30"/>
    <w:multiLevelType w:val="hybridMultilevel"/>
    <w:lvl w:ilvl="0">
      <w:lvlJc w:val="left"/>
      <w:lvlText w:val="%1."/>
      <w:numFmt w:val="lowerLetter"/>
      <w:start w:val="2"/>
    </w:lvl>
  </w:abstractNum>
  <w:abstractNum w:abstractNumId="119">
    <w:nsid w:val="6FDE8AF6"/>
    <w:multiLevelType w:val="hybridMultilevel"/>
    <w:lvl w:ilvl="0">
      <w:lvlJc w:val="left"/>
      <w:lvlText w:val="%1."/>
      <w:numFmt w:val="lowerLetter"/>
      <w:start w:val="7"/>
    </w:lvl>
  </w:abstractNum>
  <w:abstractNum w:abstractNumId="120">
    <w:nsid w:val="3FC32E20"/>
    <w:multiLevelType w:val="hybridMultilevel"/>
    <w:lvl w:ilvl="0">
      <w:lvlJc w:val="left"/>
      <w:lvlText w:val="%1."/>
      <w:numFmt w:val="lowerLetter"/>
      <w:start w:val="8"/>
    </w:lvl>
  </w:abstractNum>
  <w:abstractNum w:abstractNumId="121">
    <w:nsid w:val="49C0E823"/>
    <w:multiLevelType w:val="hybridMultilevel"/>
    <w:lvl w:ilvl="0">
      <w:lvlJc w:val="left"/>
      <w:lvlText w:val="%1."/>
      <w:numFmt w:val="lowerRoman"/>
      <w:start w:val="1"/>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1."/>
      <w:numFmt w:val="lowerLetter"/>
      <w:start w:val="9"/>
    </w:lvl>
  </w:abstractNum>
  <w:abstractNum w:abstractNumId="124">
    <w:nsid w:val="6EAA85FB"/>
    <w:multiLevelType w:val="hybridMultilevel"/>
    <w:lvl w:ilvl="0">
      <w:lvlJc w:val="left"/>
      <w:lvlText w:val="`"/>
      <w:numFmt w:val="bullet"/>
      <w:start w:val="1"/>
    </w:lvl>
    <w:lvl w:ilvl="1">
      <w:lvlJc w:val="left"/>
      <w:lvlText w:val="●"/>
      <w:numFmt w:val="bullet"/>
      <w:start w:val="1"/>
    </w:lvl>
  </w:abstractNum>
  <w:abstractNum w:abstractNumId="125">
    <w:nsid w:val="3F06ECB2"/>
    <w:multiLevelType w:val="hybridMultilevel"/>
    <w:lvl w:ilvl="0">
      <w:lvlJc w:val="left"/>
      <w:lvlText w:val="●"/>
      <w:numFmt w:val="bullet"/>
      <w:start w:val="1"/>
    </w:lvl>
  </w:abstractNum>
  <w:abstractNum w:abstractNumId="126">
    <w:nsid w:val="3B594807"/>
    <w:multiLevelType w:val="hybridMultilevel"/>
    <w:lvl w:ilvl="0">
      <w:lvlJc w:val="left"/>
      <w:lvlText w:val="(%1)"/>
      <w:numFmt w:val="lowerRoman"/>
      <w:start w:val="1"/>
    </w:lvl>
  </w:abstractNum>
  <w:abstractNum w:abstractNumId="127">
    <w:nsid w:val="6CAA2304"/>
    <w:multiLevelType w:val="hybridMultilevel"/>
    <w:lvl w:ilvl="0">
      <w:lvlJc w:val="left"/>
      <w:lvlText w:val="%1."/>
      <w:numFmt w:val="decimal"/>
      <w:start w:val="1"/>
    </w:lvl>
  </w:abstractNum>
  <w:abstractNum w:abstractNumId="128">
    <w:nsid w:val="3F7C2FF4"/>
    <w:multiLevelType w:val="hybridMultilevel"/>
    <w:lvl w:ilvl="0">
      <w:lvlJc w:val="left"/>
      <w:lvlText w:val="(%1)"/>
      <w:numFmt w:val="lowerRoman"/>
      <w:start w:val="1"/>
    </w:lvl>
  </w:abstractNum>
  <w:abstractNum w:abstractNumId="129">
    <w:nsid w:val="25413BEC"/>
    <w:multiLevelType w:val="hybridMultilevel"/>
    <w:lvl w:ilvl="0">
      <w:lvlJc w:val="left"/>
      <w:lvlText w:val="%1."/>
      <w:numFmt w:val="decimal"/>
      <w:start w:val="2"/>
    </w:lvl>
  </w:abstractNum>
  <w:abstractNum w:abstractNumId="130">
    <w:nsid w:val="17180B0B"/>
    <w:multiLevelType w:val="hybridMultilevel"/>
    <w:lvl w:ilvl="0">
      <w:lvlJc w:val="left"/>
      <w:lvlText w:val="(%1)"/>
      <w:numFmt w:val="lowerRoman"/>
      <w:start w:val="1"/>
    </w:lvl>
  </w:abstractNum>
  <w:abstractNum w:abstractNumId="131">
    <w:nsid w:val="579328B9"/>
    <w:multiLevelType w:val="hybridMultilevel"/>
    <w:lvl w:ilvl="0">
      <w:lvlJc w:val="left"/>
      <w:lvlText w:val="%1."/>
      <w:numFmt w:val="decimal"/>
      <w:start w:val="3"/>
    </w:lvl>
  </w:abstractNum>
  <w:abstractNum w:abstractNumId="132">
    <w:nsid w:val="5D205E20"/>
    <w:multiLevelType w:val="hybridMultilevel"/>
    <w:lvl w:ilvl="0">
      <w:lvlJc w:val="left"/>
      <w:lvlText w:val="(%1)"/>
      <w:numFmt w:val="lowerRoman"/>
      <w:start w:val="1"/>
    </w:lvl>
  </w:abstractNum>
  <w:abstractNum w:abstractNumId="133">
    <w:nsid w:val="11CCA8BA"/>
    <w:multiLevelType w:val="hybridMultilevel"/>
    <w:lvl w:ilvl="0">
      <w:lvlJc w:val="left"/>
      <w:lvlText w:val="(%1)"/>
      <w:numFmt w:val="lowerRoman"/>
      <w:start w:val="6"/>
    </w:lvl>
  </w:abstractNum>
  <w:abstractNum w:abstractNumId="134">
    <w:nsid w:val="4D32AB86"/>
    <w:multiLevelType w:val="hybridMultilevel"/>
    <w:lvl w:ilvl="0">
      <w:lvlJc w:val="left"/>
      <w:lvlText w:val="%1."/>
      <w:numFmt w:val="decimal"/>
      <w:start w:val="4"/>
    </w:lvl>
  </w:abstractNum>
  <w:abstractNum w:abstractNumId="135">
    <w:nsid w:val="3F07ACC3"/>
    <w:multiLevelType w:val="hybridMultilevel"/>
    <w:lvl w:ilvl="0">
      <w:lvlJc w:val="left"/>
      <w:lvlText w:val="%1."/>
      <w:numFmt w:val="decimal"/>
      <w:start w:val="5"/>
    </w:lvl>
  </w:abstractNum>
  <w:abstractNum w:abstractNumId="136">
    <w:nsid w:val="6B47F63E"/>
    <w:multiLevelType w:val="hybridMultilevel"/>
    <w:lvl w:ilvl="0">
      <w:lvlJc w:val="left"/>
      <w:lvlText w:val="%1."/>
      <w:numFmt w:val="decimal"/>
      <w:start w:val="6"/>
    </w:lvl>
  </w:abstractNum>
  <w:abstractNum w:abstractNumId="137">
    <w:nsid w:val="5CB44A05"/>
    <w:multiLevelType w:val="hybridMultilevel"/>
    <w:lvl w:ilvl="0">
      <w:lvlJc w:val="left"/>
      <w:lvlText w:val="Y"/>
      <w:numFmt w:val="bullet"/>
      <w:start w:val="1"/>
    </w:lvl>
  </w:abstractNum>
  <w:abstractNum w:abstractNumId="138">
    <w:nsid w:val="16CF80F1"/>
    <w:multiLevelType w:val="hybridMultilevel"/>
    <w:lvl w:ilvl="0">
      <w:lvlJc w:val="left"/>
      <w:lvlText w:val="A"/>
      <w:numFmt w:val="bullet"/>
      <w:start w:val="1"/>
    </w:lvl>
  </w:abstractNum>
  <w:abstractNum w:abstractNumId="139">
    <w:nsid w:val="1C695DEC"/>
    <w:multiLevelType w:val="hybridMultilevel"/>
    <w:lvl w:ilvl="0">
      <w:lvlJc w:val="left"/>
      <w:lvlText w:val="B"/>
      <w:numFmt w:val="bullet"/>
      <w:start w:val="1"/>
    </w:lvl>
  </w:abstractNum>
  <w:abstractNum w:abstractNumId="140">
    <w:nsid w:val="3FCFAED9"/>
    <w:multiLevelType w:val="hybridMultilevel"/>
    <w:lvl w:ilvl="0">
      <w:lvlJc w:val="left"/>
      <w:lvlText w:val="(%1)"/>
      <w:numFmt w:val="lowerRoman"/>
      <w:start w:val="4"/>
    </w:lvl>
  </w:abstractNum>
  <w:abstractNum w:abstractNumId="141">
    <w:nsid w:val="F856867"/>
    <w:multiLevelType w:val="hybridMultilevel"/>
    <w:lvl w:ilvl="0">
      <w:lvlJc w:val="left"/>
      <w:lvlText w:val="%1."/>
      <w:numFmt w:val="decimal"/>
      <w:start w:val="7"/>
    </w:lvl>
  </w:abstractNum>
  <w:abstractNum w:abstractNumId="142">
    <w:nsid w:val="11B1CC33"/>
    <w:multiLevelType w:val="hybridMultilevel"/>
    <w:lvl w:ilvl="0">
      <w:lvlJc w:val="left"/>
      <w:lvlText w:val="%1."/>
      <w:numFmt w:val="decimal"/>
      <w:start w:val="8"/>
    </w:lvl>
  </w:abstractNum>
  <w:abstractNum w:abstractNumId="143">
    <w:nsid w:val="2E22FBB7"/>
    <w:multiLevelType w:val="hybridMultilevel"/>
    <w:lvl w:ilvl="0">
      <w:lvlJc w:val="left"/>
      <w:lvlText w:val="%1."/>
      <w:numFmt w:val="decimal"/>
      <w:start w:val="9"/>
    </w:lvl>
  </w:abstractNum>
  <w:abstractNum w:abstractNumId="144">
    <w:nsid w:val="29934699"/>
    <w:multiLevelType w:val="hybridMultilevel"/>
    <w:lvl w:ilvl="0">
      <w:lvlJc w:val="left"/>
      <w:lvlText w:val="%1."/>
      <w:numFmt w:val="decimal"/>
      <w:start w:val="10"/>
    </w:lvl>
  </w:abstractNum>
  <w:abstractNum w:abstractNumId="145">
    <w:nsid w:val="77485850"/>
    <w:multiLevelType w:val="hybridMultilevel"/>
    <w:lvl w:ilvl="0">
      <w:lvlJc w:val="left"/>
      <w:lvlText w:val="%1."/>
      <w:numFmt w:val="decimal"/>
      <w:start w:val="11"/>
    </w:lvl>
  </w:abstractNum>
  <w:abstractNum w:abstractNumId="146">
    <w:nsid w:val="744939A3"/>
    <w:multiLevelType w:val="hybridMultilevel"/>
    <w:lvl w:ilvl="0">
      <w:lvlJc w:val="left"/>
      <w:lvlText w:val="%1."/>
      <w:numFmt w:val="decimal"/>
      <w:start w:val="12"/>
    </w:lvl>
  </w:abstractNum>
  <w:abstractNum w:abstractNumId="147">
    <w:nsid w:val="4FA0D2E3"/>
    <w:multiLevelType w:val="hybridMultilevel"/>
    <w:lvl w:ilvl="0">
      <w:lvlJc w:val="left"/>
      <w:lvlText w:val="%1."/>
      <w:numFmt w:val="decimal"/>
      <w:start w:val="13"/>
    </w:lvl>
  </w:abstractNum>
  <w:abstractNum w:abstractNumId="148">
    <w:nsid w:val="6B1D2C14"/>
    <w:multiLevelType w:val="hybridMultilevel"/>
    <w:lvl w:ilvl="0">
      <w:lvlJc w:val="left"/>
      <w:lvlText w:val="%1."/>
      <w:numFmt w:val="decimal"/>
      <w:start w:val="14"/>
    </w:lvl>
  </w:abstractNum>
  <w:abstractNum w:abstractNumId="149">
    <w:nsid w:val="68B867D3"/>
    <w:multiLevelType w:val="hybridMultilevel"/>
    <w:lvl w:ilvl="0">
      <w:lvlJc w:val="left"/>
      <w:lvlText w:val="(%1)"/>
      <w:numFmt w:val="lowerRoman"/>
      <w:start w:val="4"/>
    </w:lvl>
  </w:abstractNum>
  <w:abstractNum w:abstractNumId="150">
    <w:nsid w:val="3F7F5DD9"/>
    <w:multiLevelType w:val="hybridMultilevel"/>
    <w:lvl w:ilvl="0">
      <w:lvlJc w:val="left"/>
      <w:lvlText w:val="%1."/>
      <w:numFmt w:val="decimal"/>
      <w:start w:val="1"/>
    </w:lvl>
  </w:abstractNum>
  <w:abstractNum w:abstractNumId="151">
    <w:nsid w:val="2AE05A34"/>
    <w:multiLevelType w:val="hybridMultilevel"/>
    <w:lvl w:ilvl="0">
      <w:lvlJc w:val="left"/>
      <w:lvlText w:val="%1."/>
      <w:numFmt w:val="decimal"/>
      <w:start w:val="15"/>
    </w:lvl>
  </w:abstractNum>
  <w:abstractNum w:abstractNumId="152">
    <w:nsid w:val="32794FF7"/>
    <w:multiLevelType w:val="hybridMultilevel"/>
    <w:lvl w:ilvl="0">
      <w:lvlJc w:val="left"/>
      <w:lvlText w:val="%1."/>
      <w:numFmt w:val="decimal"/>
      <w:start w:val="16"/>
    </w:lvl>
  </w:abstractNum>
  <w:abstractNum w:abstractNumId="153">
    <w:nsid w:val="5454945E"/>
    <w:multiLevelType w:val="hybridMultilevel"/>
    <w:lvl w:ilvl="0">
      <w:lvlJc w:val="left"/>
      <w:lvlText w:val="%1."/>
      <w:numFmt w:val="decimal"/>
      <w:start w:val="17"/>
    </w:lvl>
  </w:abstractNum>
  <w:abstractNum w:abstractNumId="154">
    <w:nsid w:val="4DEFDFA0"/>
    <w:multiLevelType w:val="hybridMultilevel"/>
    <w:lvl w:ilvl="0">
      <w:lvlJc w:val="left"/>
      <w:lvlText w:val="%1."/>
      <w:numFmt w:val="decimal"/>
      <w:start w:val="18"/>
    </w:lvl>
  </w:abstractNum>
  <w:abstractNum w:abstractNumId="155">
    <w:nsid w:val="2123D5F2"/>
    <w:multiLevelType w:val="hybridMultilevel"/>
    <w:lvl w:ilvl="0">
      <w:lvlJc w:val="left"/>
      <w:lvlText w:val="%1."/>
      <w:numFmt w:val="decimal"/>
      <w:start w:val="19"/>
    </w:lvl>
  </w:abstractNum>
  <w:abstractNum w:abstractNumId="156">
    <w:nsid w:val="135B8110"/>
    <w:multiLevelType w:val="hybridMultilevel"/>
    <w:lvl w:ilvl="0">
      <w:lvlJc w:val="left"/>
      <w:lvlText w:val="%1."/>
      <w:numFmt w:val="decimal"/>
      <w:start w:val="20"/>
    </w:lvl>
  </w:abstractNum>
  <w:abstractNum w:abstractNumId="157">
    <w:nsid w:val="94927A8"/>
    <w:multiLevelType w:val="hybridMultilevel"/>
    <w:lvl w:ilvl="0">
      <w:lvlJc w:val="left"/>
      <w:lvlText w:val="%1."/>
      <w:numFmt w:val="decimal"/>
      <w:start w:val="21"/>
    </w:lvl>
  </w:abstractNum>
  <w:abstractNum w:abstractNumId="158">
    <w:nsid w:val="DCDF8F6"/>
    <w:multiLevelType w:val="hybridMultilevel"/>
    <w:lvl w:ilvl="0">
      <w:lvlJc w:val="left"/>
      <w:lvlText w:val="%1."/>
      <w:numFmt w:val="decimal"/>
      <w:start w:val="22"/>
    </w:lvl>
  </w:abstractNum>
  <w:abstractNum w:abstractNumId="159">
    <w:nsid w:val="52D7B105"/>
    <w:multiLevelType w:val="hybridMultilevel"/>
    <w:lvl w:ilvl="0">
      <w:lvlJc w:val="left"/>
      <w:lvlText w:val="%1."/>
      <w:numFmt w:val="decimal"/>
      <w:start w:val="23"/>
    </w:lvl>
  </w:abstractNum>
  <w:abstractNum w:abstractNumId="160">
    <w:nsid w:val="2E8A6394"/>
    <w:multiLevelType w:val="hybridMultilevel"/>
    <w:lvl w:ilvl="0">
      <w:lvlJc w:val="left"/>
      <w:lvlText w:val="%1."/>
      <w:numFmt w:val="decimal"/>
      <w:start w:val="24"/>
    </w:lvl>
  </w:abstractNum>
  <w:abstractNum w:abstractNumId="161">
    <w:nsid w:val="24E60401"/>
    <w:multiLevelType w:val="hybridMultilevel"/>
    <w:lvl w:ilvl="0">
      <w:lvlJc w:val="left"/>
      <w:lvlText w:val="%1."/>
      <w:numFmt w:val="decimal"/>
      <w:start w:val="25"/>
    </w:lvl>
  </w:abstractNum>
  <w:abstractNum w:abstractNumId="162">
    <w:nsid w:val="2A6AD9BE"/>
    <w:multiLevelType w:val="hybridMultilevel"/>
    <w:lvl w:ilvl="0">
      <w:lvlJc w:val="left"/>
      <w:lvlText w:val="%1."/>
      <w:numFmt w:val="decimal"/>
      <w:start w:val="26"/>
    </w:lvl>
  </w:abstractNum>
  <w:abstractNum w:abstractNumId="163">
    <w:nsid w:val="BAAC1B4"/>
    <w:multiLevelType w:val="hybridMultilevel"/>
    <w:lvl w:ilvl="0">
      <w:lvlJc w:val="left"/>
      <w:lvlText w:val="%1."/>
      <w:numFmt w:val="decimal"/>
      <w:start w:val="27"/>
    </w:lvl>
  </w:abstractNum>
  <w:abstractNum w:abstractNumId="164">
    <w:nsid w:val="36B2ACBC"/>
    <w:multiLevelType w:val="hybridMultilevel"/>
    <w:lvl w:ilvl="0">
      <w:lvlJc w:val="left"/>
      <w:lvlText w:val="%1."/>
      <w:numFmt w:val="upperLetter"/>
      <w:start w:val="9"/>
    </w:lvl>
  </w:abstractNum>
  <w:abstractNum w:abstractNumId="165">
    <w:nsid w:val="779D8544"/>
    <w:multiLevelType w:val="hybridMultilevel"/>
    <w:lvl w:ilvl="0">
      <w:lvlJc w:val="left"/>
      <w:lvlText w:val="%1."/>
      <w:numFmt w:val="upperLetter"/>
      <w:start w:val="35"/>
    </w:lvl>
  </w:abstractNum>
  <w:abstractNum w:abstractNumId="166">
    <w:nsid w:val="4AB26E78"/>
    <w:multiLevelType w:val="hybridMultilevel"/>
    <w:lvl w:ilvl="0">
      <w:lvlJc w:val="left"/>
      <w:lvlText w:val="%1."/>
      <w:numFmt w:val="upperLetter"/>
      <w:start w:val="61"/>
    </w:lvl>
  </w:abstractNum>
  <w:abstractNum w:abstractNumId="167">
    <w:nsid w:val="21FAA2FA"/>
    <w:multiLevelType w:val="hybridMultilevel"/>
    <w:lvl w:ilvl="0">
      <w:lvlJc w:val="left"/>
      <w:lvlText w:val="%1."/>
      <w:numFmt w:val="upperLetter"/>
      <w:start w:val="22"/>
    </w:lvl>
  </w:abstractNum>
  <w:abstractNum w:abstractNumId="168">
    <w:nsid w:val="5451CF49"/>
    <w:multiLevelType w:val="hybridMultilevel"/>
    <w:lvl w:ilvl="0">
      <w:lvlJc w:val="left"/>
      <w:lvlText w:val="●"/>
      <w:numFmt w:val="bullet"/>
      <w:start w:val="1"/>
    </w:lvl>
  </w:abstractNum>
  <w:abstractNum w:abstractNumId="169">
    <w:nsid w:val="6181EF69"/>
    <w:multiLevelType w:val="hybridMultilevel"/>
    <w:lvl w:ilvl="0">
      <w:lvlJc w:val="left"/>
      <w:lvlText w:val="(%1)"/>
      <w:numFmt w:val="lowerRoman"/>
      <w:start w:val="7"/>
    </w:lvl>
  </w:abstractNum>
  <w:abstractNum w:abstractNumId="170">
    <w:nsid w:val="3E6400E6"/>
    <w:multiLevelType w:val="hybridMultilevel"/>
    <w:lvl w:ilvl="0">
      <w:lvlJc w:val="left"/>
      <w:lvlText w:val="(%1)"/>
      <w:numFmt w:val="lowerRoman"/>
      <w:start w:val="7"/>
    </w:lvl>
  </w:abstractNum>
  <w:abstractNum w:abstractNumId="171">
    <w:nsid w:val="14217E23"/>
    <w:multiLevelType w:val="hybridMultilevel"/>
    <w:lvl w:ilvl="0">
      <w:lvlJc w:val="left"/>
      <w:lvlText w:val="(%1)"/>
      <w:numFmt w:val="lowerRoman"/>
      <w:start w:val="7"/>
    </w:lvl>
  </w:abstractNum>
  <w:abstractNum w:abstractNumId="172">
    <w:nsid w:val="710757D0"/>
    <w:multiLevelType w:val="hybridMultilevel"/>
    <w:lvl w:ilvl="0">
      <w:lvlJc w:val="left"/>
      <w:lvlText w:val="(%1)"/>
      <w:numFmt w:val="lowerRoman"/>
      <w:start w:val="7"/>
    </w:lvl>
  </w:abstractNum>
  <w:abstractNum w:abstractNumId="173">
    <w:nsid w:val="5015CD1A"/>
    <w:multiLevelType w:val="hybridMultilevel"/>
    <w:lvl w:ilvl="0">
      <w:lvlJc w:val="left"/>
      <w:lvlText w:val="(%1)"/>
      <w:numFmt w:val="lowerRoman"/>
      <w:start w:val="7"/>
    </w:lvl>
  </w:abstractNum>
  <w:abstractNum w:abstractNumId="174">
    <w:nsid w:val="424479DA"/>
    <w:multiLevelType w:val="hybridMultilevel"/>
    <w:lvl w:ilvl="0">
      <w:lvlJc w:val="left"/>
      <w:lvlText w:val="(%1)"/>
      <w:numFmt w:val="lowerRoman"/>
      <w:start w:val="7"/>
    </w:lvl>
  </w:abstractNum>
  <w:abstractNum w:abstractNumId="175">
    <w:nsid w:val="1A9A9E69"/>
    <w:multiLevelType w:val="hybridMultilevel"/>
    <w:lvl w:ilvl="0">
      <w:lvlJc w:val="left"/>
      <w:lvlText w:val="(%1)"/>
      <w:numFmt w:val="lowerRoman"/>
      <w:start w:val="7"/>
    </w:lvl>
  </w:abstractNum>
  <w:abstractNum w:abstractNumId="176">
    <w:nsid w:val="475E256A"/>
    <w:multiLevelType w:val="hybridMultilevel"/>
    <w:lvl w:ilvl="0">
      <w:lvlJc w:val="left"/>
      <w:lvlText w:val="●"/>
      <w:numFmt w:val="bullet"/>
      <w:start w:val="1"/>
    </w:lvl>
  </w:abstractNum>
  <w:abstractNum w:abstractNumId="177">
    <w:nsid w:val="368DB37E"/>
    <w:multiLevelType w:val="hybridMultilevel"/>
    <w:lvl w:ilvl="0">
      <w:lvlJc w:val="left"/>
      <w:lvlText w:val="%1."/>
      <w:numFmt w:val="upperLetter"/>
      <w:start w:val="24"/>
    </w:lvl>
  </w:abstractNum>
  <w:abstractNum w:abstractNumId="178">
    <w:nsid w:val="6A3B714C"/>
    <w:multiLevelType w:val="hybridMultilevel"/>
    <w:lvl w:ilvl="0">
      <w:lvlJc w:val="left"/>
      <w:lvlText w:val="%1."/>
      <w:numFmt w:val="upperLetter"/>
      <w:start w:val="9"/>
    </w:lvl>
  </w:abstractNum>
  <w:abstractNum w:abstractNumId="179">
    <w:nsid w:val="327B517E"/>
    <w:multiLevelType w:val="hybridMultilevel"/>
    <w:lvl w:ilvl="0">
      <w:lvlJc w:val="left"/>
      <w:lvlText w:val="%1."/>
      <w:numFmt w:val="upperLetter"/>
      <w:start w:val="35"/>
    </w:lvl>
  </w:abstractNum>
  <w:abstractNum w:abstractNumId="180">
    <w:nsid w:val="1F461B51"/>
    <w:multiLevelType w:val="hybridMultilevel"/>
    <w:lvl w:ilvl="0">
      <w:lvlJc w:val="left"/>
      <w:lvlText w:val="%1."/>
      <w:numFmt w:val="decimal"/>
      <w:start w:val="1"/>
    </w:lvl>
    <w:lvl w:ilvl="1">
      <w:lvlJc w:val="left"/>
      <w:lvlText w:val="(%2)"/>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3" Type="http://schemas.openxmlformats.org/officeDocument/2006/relationships/image" Target="media/image124.png"/><Relationship Id="rId135" Type="http://schemas.openxmlformats.org/officeDocument/2006/relationships/image" Target="media/image125.png"/><Relationship Id="rId138" Type="http://schemas.openxmlformats.org/officeDocument/2006/relationships/image" Target="media/image126.png"/><Relationship Id="rId140" Type="http://schemas.openxmlformats.org/officeDocument/2006/relationships/image" Target="media/image127.png"/><Relationship Id="rId143" Type="http://schemas.openxmlformats.org/officeDocument/2006/relationships/image" Target="media/image128.png"/><Relationship Id="rId146" Type="http://schemas.openxmlformats.org/officeDocument/2006/relationships/image" Target="media/image129.png"/><Relationship Id="rId149" Type="http://schemas.openxmlformats.org/officeDocument/2006/relationships/image" Target="media/image130.png"/><Relationship Id="rId152"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jpe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jpe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jpe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131" Type="http://schemas.openxmlformats.org/officeDocument/2006/relationships/hyperlink" Target="https://www.sec.gov/Archives/edgar/data/1625791/000121390021041996/ea145694ex99-1_kornitdigital.htm" TargetMode="External"/><Relationship Id="rId132" Type="http://schemas.openxmlformats.org/officeDocument/2006/relationships/hyperlink" Target="https://www.sec.gov/Archives/edgar/data/1625791/000161577415000434/s100824_ex4-1.htm" TargetMode="External"/><Relationship Id="rId134" Type="http://schemas.openxmlformats.org/officeDocument/2006/relationships/hyperlink" Target="https://www.sec.gov/Archives/edgar/data/1625791/000161577415000434/s100824_ex10-3.htm" TargetMode="External"/><Relationship Id="rId136" Type="http://schemas.openxmlformats.org/officeDocument/2006/relationships/hyperlink" Target="https://www.sec.gov/Archives/edgar/data/1625791/000161577415000363/s100753_ex10-2.htm" TargetMode="External"/><Relationship Id="rId137" Type="http://schemas.openxmlformats.org/officeDocument/2006/relationships/hyperlink" Target="https://www.sec.gov/Archives/edgar/data/1625791/000161577415000505/s100871_ex10-21.htm" TargetMode="External"/><Relationship Id="rId139" Type="http://schemas.openxmlformats.org/officeDocument/2006/relationships/hyperlink" Target="http://www.sec.gov/Archives/edgar/data/1625791/000121390023058310/ea182017ex99-1_kornit.htm#a_010" TargetMode="External"/><Relationship Id="rId141" Type="http://schemas.openxmlformats.org/officeDocument/2006/relationships/hyperlink" Target="https://www.sec.gov/Archives/edgar/data/1625791/000121390021017655/f20f2020ex4-5_kornit.htm" TargetMode="External"/><Relationship Id="rId142" Type="http://schemas.openxmlformats.org/officeDocument/2006/relationships/hyperlink" Target="https://www.sec.gov/Archives/edgar/data/1625791/000121390021017655/f20f2020ex4-6_kornit.htm" TargetMode="External"/><Relationship Id="rId144" Type="http://schemas.openxmlformats.org/officeDocument/2006/relationships/hyperlink" Target="https://www.sec.gov/Archives/edgar/data/1625791/000121390016012553/f20f2015a1ex4ix_kornit.htm" TargetMode="External"/><Relationship Id="rId145" Type="http://schemas.openxmlformats.org/officeDocument/2006/relationships/hyperlink" Target="https://www.sec.gov/Archives/edgar/data/1625791/000121390017003011/f20f2016ex4xi_kornit.htm" TargetMode="External"/><Relationship Id="rId147" Type="http://schemas.openxmlformats.org/officeDocument/2006/relationships/hyperlink" Target="https://www.sec.gov/Archives/edgar/data/1625791/000121390017003011/f20f2016ex4xiii_kornit.htm" TargetMode="External"/><Relationship Id="rId148" Type="http://schemas.openxmlformats.org/officeDocument/2006/relationships/hyperlink" Target="https://www.sec.gov/Archives/edgar/data/1625791/000121390020007110/f20f2019ex4-11ii_kornit.htm" TargetMode="External"/><Relationship Id="rId150" Type="http://schemas.openxmlformats.org/officeDocument/2006/relationships/hyperlink" Target="https://www.sec.gov/Archives/edgar/data/1625791/000121390020007110/f20f2019ex4-11iii_kornit.htm" TargetMode="External"/><Relationship Id="rId151" Type="http://schemas.openxmlformats.org/officeDocument/2006/relationships/hyperlink" Target="https://www.sec.gov/Archives/edgar/data/1625791/000121390020007110/f20f2019ex4-11iv_kornit.htm" TargetMode="External"/><Relationship Id="rId153" Type="http://schemas.openxmlformats.org/officeDocument/2006/relationships/hyperlink" Target="https://www.sec.gov/Archives/edgar/data/1625791/000121390020026438/ea126792ex10-2_kornitdigi.htm" TargetMode="External"/><Relationship Id="rId154" Type="http://schemas.openxmlformats.org/officeDocument/2006/relationships/hyperlink" Target="https://www.sec.gov/Archives/edgar/data/1625791/000121390021017655/f20f2020ex4-10vi_kornit.htm" TargetMode="External"/><Relationship Id="rId155" Type="http://schemas.openxmlformats.org/officeDocument/2006/relationships/hyperlink" Target="https://www.sec.gov/Archives/edgar/data/1625791/000121390021017655/f20f2020ex4-10vii_kornit.htm" TargetMode="External"/><Relationship Id="rId156" Type="http://schemas.openxmlformats.org/officeDocument/2006/relationships/hyperlink" Target="https://www.sec.gov/Archives/edgar/data/1625791/000121390020026438/ea126792ex10-1_kornitdigi.htm" TargetMode="External"/><Relationship Id="rId157" Type="http://schemas.openxmlformats.org/officeDocument/2006/relationships/hyperlink" Target="https://www.sec.gov/Archives/edgar/data/1625791/000121390020026438/ea126792ex4-1_kornitdigi.htm" TargetMode="External"/><Relationship Id="rId158" Type="http://schemas.openxmlformats.org/officeDocument/2006/relationships/hyperlink" Target="https://www.sec.gov/Archives/edgar/data/1625791/000121390018003203/f20f2017ex4-16_kornit.htm" TargetMode="External"/><Relationship Id="rId159" Type="http://schemas.openxmlformats.org/officeDocument/2006/relationships/hyperlink" Target="https://www.sec.gov/Archives/edgar/data/1625791/000121390020007110/f20f2019ex4-16_kornit.htm" TargetMode="External"/><Relationship Id="rId160" Type="http://schemas.openxmlformats.org/officeDocument/2006/relationships/hyperlink" Target="http://www.sec.gov/Archives/edgar/data/1625791/000121390024027207/ea020186201ex97-1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2025-03-27T08:22:19Z</dcterms:created>
  <dcterms:modified xsi:type="dcterms:W3CDTF">2025-03-27T08:22:19Z</dcterms:modified>
</cp:coreProperties>
</file>