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20" w:hanging="387"/>
        <w:spacing w:after="0" w:line="238" w:lineRule="auto"/>
        <w:tabs>
          <w:tab w:leader="none" w:pos="102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20" w:hanging="386"/>
        <w:spacing w:after="0"/>
        <w:tabs>
          <w:tab w:leader="none" w:pos="102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M6372Q113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8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Senvest Management, LLC</w:t>
      </w:r>
    </w:p>
    <w:p>
      <w:pPr>
        <w:ind w:left="1700" w:hanging="967"/>
        <w:spacing w:after="0" w:line="182" w:lineRule="auto"/>
        <w:tabs>
          <w:tab w:leader="none" w:pos="1700" w:val="left"/>
        </w:tabs>
        <w:numPr>
          <w:ilvl w:val="0"/>
          <w:numId w:val="3"/>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78"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4,145,259</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4,145,259</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4,145,259</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8.31%</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M6372Q113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83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pacing w:after="0" w:line="2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Richard Mashaal</w:t>
      </w:r>
    </w:p>
    <w:p>
      <w:pPr>
        <w:ind w:left="1700" w:hanging="967"/>
        <w:spacing w:after="0" w:line="182" w:lineRule="auto"/>
        <w:tabs>
          <w:tab w:leader="none" w:pos="1700" w:val="left"/>
        </w:tabs>
        <w:numPr>
          <w:ilvl w:val="0"/>
          <w:numId w:val="7"/>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78" w:lineRule="exact"/>
        <w:rPr>
          <w:sz w:val="20"/>
          <w:szCs w:val="20"/>
          <w:color w:val="auto"/>
        </w:rPr>
      </w:pPr>
    </w:p>
    <w:p>
      <w:pPr>
        <w:ind w:left="1700" w:hanging="967"/>
        <w:spacing w:after="0"/>
        <w:tabs>
          <w:tab w:leader="none" w:pos="1700" w:val="left"/>
        </w:tabs>
        <w:numPr>
          <w:ilvl w:val="0"/>
          <w:numId w:val="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Canada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4,145,259</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4,145,259</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4,145,259</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8.31%</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M6372Q113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9780" w:type="dxa"/>
            <w:vAlign w:val="bottom"/>
            <w:gridSpan w:val="7"/>
          </w:tcPr>
          <w:p>
            <w:pPr>
              <w:ind w:left="440"/>
              <w:spacing w:after="0" w:line="212" w:lineRule="exact"/>
              <w:rPr>
                <w:sz w:val="20"/>
                <w:szCs w:val="20"/>
                <w:color w:val="auto"/>
              </w:rPr>
            </w:pPr>
            <w:r>
              <w:rPr>
                <w:rFonts w:ascii="Times New Roman" w:cs="Times New Roman" w:eastAsia="Times New Roman" w:hAnsi="Times New Roman"/>
                <w:sz w:val="20"/>
                <w:szCs w:val="20"/>
                <w:color w:val="auto"/>
              </w:rPr>
              <w:t>Kornit Digital Ltd. (the "Issuer")</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12 Ha’Amal Street</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Park Afek</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Rosh Ha’Ayin 4824096 Israel</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This statement is filed by Senvest Management, LLC and Richard Mashaal.</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The reported securities are held in the account of Senvest Master Fund, LP and Senvest Technology Partners Master</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9780" w:type="dxa"/>
            <w:vAlign w:val="bottom"/>
            <w:gridSpan w:val="7"/>
          </w:tcPr>
          <w:p>
            <w:pPr>
              <w:ind w:left="440"/>
              <w:spacing w:after="0" w:line="212" w:lineRule="exact"/>
              <w:rPr>
                <w:sz w:val="20"/>
                <w:szCs w:val="20"/>
                <w:color w:val="auto"/>
              </w:rPr>
            </w:pPr>
            <w:r>
              <w:rPr>
                <w:rFonts w:ascii="Times New Roman" w:cs="Times New Roman" w:eastAsia="Times New Roman" w:hAnsi="Times New Roman"/>
                <w:sz w:val="20"/>
                <w:szCs w:val="20"/>
                <w:color w:val="auto"/>
              </w:rPr>
              <w:t>Fund, LP (collectively, the "Investment Vehicles").</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Senvest Management, LLC may be deemed to beneficially own the securities held by the Investment Vehicles by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w w:val="99"/>
              </w:rPr>
              <w:t>virtue of Senvest Management, LLC's position as investment manager of the Investment Vehicles. Mr. Mashaal may</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w w:val="99"/>
              </w:rPr>
              <w:t>be deemed to beneficially own the securities held by the Investment Vehicles by virtue of Mr. Mashaal's status as the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managing member of Senvest Management, LLC. None of the foregoing should be construed in and of itself as an</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admission by any Reporting Person as to beneficial ownership of the securities reported herein.</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Senvest Management, LLC</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9780" w:type="dxa"/>
            <w:vAlign w:val="bottom"/>
            <w:gridSpan w:val="7"/>
          </w:tcPr>
          <w:p>
            <w:pPr>
              <w:ind w:left="440"/>
              <w:spacing w:after="0" w:line="276" w:lineRule="exact"/>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New York, New York 10022</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4"/>
                <w:szCs w:val="24"/>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Richard Mashaal</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c/o Senvest Management, LLC</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9780" w:type="dxa"/>
            <w:vAlign w:val="bottom"/>
            <w:gridSpan w:val="7"/>
          </w:tcPr>
          <w:p>
            <w:pPr>
              <w:ind w:left="440"/>
              <w:spacing w:after="0" w:line="276" w:lineRule="exact"/>
              <w:rPr>
                <w:sz w:val="20"/>
                <w:szCs w:val="20"/>
                <w:color w:val="auto"/>
              </w:rPr>
            </w:pPr>
            <w:r>
              <w:rPr>
                <w:rFonts w:ascii="Times New Roman" w:cs="Times New Roman" w:eastAsia="Times New Roman" w:hAnsi="Times New Roman"/>
                <w:sz w:val="20"/>
                <w:szCs w:val="20"/>
                <w:color w:val="auto"/>
              </w:rPr>
              <w:t>540 Madison Avenue, 32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New York, New York 10022</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Senvest Management, LLC – Delaware</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Richard Mashaal – Canada</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color w:val="auto"/>
              </w:rPr>
              <w:t>Ordinary Shares, par value NIS 0.01 per share</w:t>
            </w:r>
          </w:p>
        </w:tc>
        <w:tc>
          <w:tcPr>
            <w:tcW w:w="0" w:type="dxa"/>
            <w:vAlign w:val="bottom"/>
          </w:tcPr>
          <w:p>
            <w:pPr>
              <w:spacing w:after="0"/>
              <w:rPr>
                <w:sz w:val="1"/>
                <w:szCs w:val="1"/>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M6372Q113</w:t>
            </w: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w:t>
            </w: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is a:</w:t>
            </w:r>
          </w:p>
        </w:tc>
        <w:tc>
          <w:tcPr>
            <w:tcW w:w="560" w:type="dxa"/>
            <w:vAlign w:val="bottom"/>
            <w:vMerge w:val="restart"/>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w:t>
            </w:r>
          </w:p>
        </w:tc>
        <w:tc>
          <w:tcPr>
            <w:tcW w:w="560" w:type="dxa"/>
            <w:vAlign w:val="bottom"/>
            <w:vMerge w:val="continue"/>
          </w:tcPr>
          <w:p>
            <w:pPr>
              <w:spacing w:after="0"/>
              <w:rPr>
                <w:sz w:val="24"/>
                <w:szCs w:val="24"/>
                <w:color w:val="auto"/>
              </w:rPr>
            </w:pPr>
          </w:p>
        </w:tc>
        <w:tc>
          <w:tcPr>
            <w:tcW w:w="82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 (15 U.S.C. 78o);</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w:t>
            </w:r>
          </w:p>
        </w:tc>
        <w:tc>
          <w:tcPr>
            <w:tcW w:w="56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Bank as defined in section 3(a)(6) of the Act (15 U.S.C. 78c);</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w:t>
            </w:r>
          </w:p>
        </w:tc>
        <w:tc>
          <w:tcPr>
            <w:tcW w:w="560" w:type="dxa"/>
            <w:vAlign w:val="bottom"/>
          </w:tcPr>
          <w:p>
            <w:pPr>
              <w:ind w:left="20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 (15 U.S.C. 78c);</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M6372Q113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 (15 U.S.C.</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80a-8);</w:t>
            </w:r>
          </w:p>
        </w:tc>
      </w:tr>
      <w:tr>
        <w:trPr>
          <w:trHeight w:val="479"/>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 investment adviser in accordance with § 240.13d-1(b)(1)(ii)(E);</w:t>
            </w:r>
          </w:p>
        </w:tc>
      </w:tr>
      <w:tr>
        <w:trPr>
          <w:trHeight w:val="445"/>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 240.13d-1(b)(1)(ii)(F);</w:t>
            </w:r>
          </w:p>
        </w:tc>
      </w:tr>
      <w:tr>
        <w:trPr>
          <w:trHeight w:val="459"/>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§240.13d-1(b)(1)(ii)(G);</w:t>
            </w:r>
          </w:p>
        </w:tc>
      </w:tr>
      <w:tr>
        <w:trPr>
          <w:trHeight w:val="397"/>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(h)</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 (12</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U.S.C.1813);</w:t>
            </w:r>
          </w:p>
        </w:tc>
      </w:tr>
      <w:tr>
        <w:trPr>
          <w:trHeight w:val="430"/>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church plan that is excluded from the definition of an investment company under section 3(c)(14)</w:t>
            </w:r>
          </w:p>
        </w:tc>
      </w:tr>
      <w:tr>
        <w:trPr>
          <w:trHeight w:val="258"/>
        </w:trPr>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of the Investment Company Act of 1940 (15 U.S.C. 80a-3);</w:t>
            </w:r>
          </w:p>
        </w:tc>
      </w:tr>
      <w:tr>
        <w:trPr>
          <w:trHeight w:val="493"/>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(j)</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 non-U.S. institution in accordance with §240.13d-1(b)(1)(ii)(J);</w:t>
            </w:r>
          </w:p>
        </w:tc>
      </w:tr>
      <w:tr>
        <w:trPr>
          <w:trHeight w:val="446"/>
        </w:trPr>
        <w:tc>
          <w:tcPr>
            <w:tcW w:w="1140" w:type="dxa"/>
            <w:vAlign w:val="bottom"/>
          </w:tcPr>
          <w:p>
            <w:pPr>
              <w:spacing w:after="0"/>
              <w:rPr>
                <w:sz w:val="24"/>
                <w:szCs w:val="24"/>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(k)</w:t>
            </w:r>
          </w:p>
        </w:tc>
        <w:tc>
          <w:tcPr>
            <w:tcW w:w="72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Group, in accordance with §240.13d-1(b)(1)(ii)(K).</w:t>
            </w:r>
          </w:p>
        </w:tc>
      </w:tr>
      <w:tr>
        <w:trPr>
          <w:trHeight w:val="397"/>
        </w:trPr>
        <w:tc>
          <w:tcPr>
            <w:tcW w:w="1140" w:type="dxa"/>
            <w:vAlign w:val="bottom"/>
          </w:tcPr>
          <w:p>
            <w:pPr>
              <w:spacing w:after="0"/>
              <w:rPr>
                <w:sz w:val="24"/>
                <w:szCs w:val="24"/>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58"/>
        </w:trPr>
        <w:tc>
          <w:tcPr>
            <w:tcW w:w="1140" w:type="dxa"/>
            <w:vAlign w:val="bottom"/>
          </w:tcPr>
          <w:p>
            <w:pPr>
              <w:spacing w:after="0"/>
              <w:rPr>
                <w:sz w:val="22"/>
                <w:szCs w:val="22"/>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specify the type of institution: _______________________</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812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30"/>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such Reporting Person. The percentages set forth in</w:t>
            </w:r>
          </w:p>
        </w:tc>
      </w:tr>
      <w:tr>
        <w:trPr>
          <w:trHeight w:val="229"/>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this Schedule 13G/A are calculated based upon an aggregate of 49,912,492 Ordinary Shares outstanding as of</w:t>
            </w:r>
          </w:p>
        </w:tc>
      </w:tr>
      <w:tr>
        <w:trPr>
          <w:trHeight w:val="230"/>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November 14, 2022, as reported in Exhibit 99.2 attached to the Issuer's Report of Foreign Issuer on Form 6-K filed</w:t>
            </w:r>
          </w:p>
        </w:tc>
      </w:tr>
      <w:tr>
        <w:trPr>
          <w:trHeight w:val="258"/>
        </w:trPr>
        <w:tc>
          <w:tcPr>
            <w:tcW w:w="1140" w:type="dxa"/>
            <w:vAlign w:val="bottom"/>
          </w:tcPr>
          <w:p>
            <w:pPr>
              <w:spacing w:after="0"/>
              <w:rPr>
                <w:sz w:val="22"/>
                <w:szCs w:val="22"/>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with the Securities and Exchange Commission on November 22, 2022.</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r>
      <w:tr>
        <w:trPr>
          <w:trHeight w:val="230"/>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The Investment Vehicles have the right to receive and the power to direct the receipt of dividends from, and the</w:t>
            </w:r>
          </w:p>
        </w:tc>
      </w:tr>
      <w:tr>
        <w:trPr>
          <w:trHeight w:val="230"/>
        </w:trPr>
        <w:tc>
          <w:tcPr>
            <w:tcW w:w="1140" w:type="dxa"/>
            <w:vAlign w:val="bottom"/>
          </w:tcPr>
          <w:p>
            <w:pPr>
              <w:spacing w:after="0"/>
              <w:rPr>
                <w:sz w:val="19"/>
                <w:szCs w:val="19"/>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w w:val="98"/>
              </w:rPr>
              <w:t>proceeds from the sale of the Ordinary Shares. Senvest Master Fund, LP has the right to receive or the power to direct</w:t>
            </w:r>
          </w:p>
        </w:tc>
      </w:tr>
      <w:tr>
        <w:trPr>
          <w:trHeight w:val="258"/>
        </w:trPr>
        <w:tc>
          <w:tcPr>
            <w:tcW w:w="1140" w:type="dxa"/>
            <w:vAlign w:val="bottom"/>
          </w:tcPr>
          <w:p>
            <w:pPr>
              <w:spacing w:after="0"/>
              <w:rPr>
                <w:sz w:val="22"/>
                <w:szCs w:val="22"/>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the receipt of dividends from, or the proceeds from the sale of, more than 5% of the Ordinary Shares.</w:t>
            </w: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7.</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 Security Being Reported on by the</w:t>
            </w:r>
          </w:p>
        </w:tc>
      </w:tr>
      <w:tr>
        <w:trPr>
          <w:trHeight w:val="233"/>
        </w:trPr>
        <w:tc>
          <w:tcPr>
            <w:tcW w:w="1140" w:type="dxa"/>
            <w:vAlign w:val="bottom"/>
          </w:tcPr>
          <w:p>
            <w:pPr>
              <w:spacing w:after="0"/>
              <w:rPr>
                <w:sz w:val="20"/>
                <w:szCs w:val="20"/>
                <w:color w:val="auto"/>
              </w:rPr>
            </w:pP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990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Members of the Group.</w:t>
            </w:r>
          </w:p>
        </w:tc>
      </w:tr>
      <w:tr>
        <w:trPr>
          <w:trHeight w:val="258"/>
        </w:trPr>
        <w:tc>
          <w:tcPr>
            <w:tcW w:w="1140" w:type="dxa"/>
            <w:vAlign w:val="bottom"/>
          </w:tcPr>
          <w:p>
            <w:pPr>
              <w:spacing w:after="0"/>
              <w:rPr>
                <w:sz w:val="22"/>
                <w:szCs w:val="22"/>
                <w:color w:val="auto"/>
              </w:rPr>
            </w:pPr>
          </w:p>
        </w:tc>
        <w:tc>
          <w:tcPr>
            <w:tcW w:w="178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Not applicable.</w:t>
            </w:r>
          </w:p>
        </w:tc>
        <w:tc>
          <w:tcPr>
            <w:tcW w:w="8120" w:type="dxa"/>
            <w:vAlign w:val="bottom"/>
          </w:tcPr>
          <w:p>
            <w:pPr>
              <w:spacing w:after="0"/>
              <w:rPr>
                <w:sz w:val="22"/>
                <w:szCs w:val="22"/>
                <w:color w:val="auto"/>
              </w:rPr>
            </w:pPr>
          </w:p>
        </w:tc>
      </w:tr>
    </w:tbl>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M6372Q113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w:t>
      </w:r>
    </w:p>
    <w:p>
      <w:pPr>
        <w:ind w:left="1680"/>
        <w:spacing w:after="0"/>
        <w:rPr>
          <w:sz w:val="20"/>
          <w:szCs w:val="20"/>
          <w:color w:val="auto"/>
        </w:rPr>
      </w:pPr>
      <w:r>
        <w:rPr>
          <w:rFonts w:ascii="Times New Roman" w:cs="Times New Roman" w:eastAsia="Times New Roman" w:hAnsi="Times New Roman"/>
          <w:sz w:val="19"/>
          <w:szCs w:val="19"/>
          <w:color w:val="auto"/>
        </w:rPr>
        <w:t>referred to above were not acquired and are not held for the purpose of or with the effect of changing or influencing the</w:t>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control of the issuer of the securities and were not acquired and are not held in connection with or as a participant in</w:t>
      </w:r>
    </w:p>
    <w:p>
      <w:pPr>
        <w:ind w:left="1680"/>
        <w:spacing w:after="0"/>
        <w:rPr>
          <w:sz w:val="20"/>
          <w:szCs w:val="20"/>
          <w:color w:val="auto"/>
        </w:rPr>
      </w:pPr>
      <w:r>
        <w:rPr>
          <w:rFonts w:ascii="Times New Roman" w:cs="Times New Roman" w:eastAsia="Times New Roman" w:hAnsi="Times New Roman"/>
          <w:sz w:val="20"/>
          <w:szCs w:val="20"/>
          <w:color w:val="auto"/>
        </w:rPr>
        <w:t>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M6372Q113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 February 10, 2023</w:t>
      </w:r>
    </w:p>
    <w:p>
      <w:pPr>
        <w:spacing w:after="0" w:line="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SENVEST MANAGEMENT, LLC</w:t>
      </w:r>
    </w:p>
    <w:p>
      <w:pPr>
        <w:spacing w:after="0" w:line="207"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/s/ Bobby Trahanas</w:t>
            </w:r>
          </w:p>
        </w:tc>
        <w:tc>
          <w:tcPr>
            <w:tcW w:w="0" w:type="dxa"/>
            <w:vAlign w:val="bottom"/>
          </w:tcPr>
          <w:p>
            <w:pPr>
              <w:spacing w:after="0"/>
              <w:rPr>
                <w:sz w:val="1"/>
                <w:szCs w:val="1"/>
                <w:color w:val="auto"/>
              </w:rPr>
            </w:pPr>
          </w:p>
        </w:tc>
      </w:tr>
      <w:tr>
        <w:trPr>
          <w:trHeight w:val="23"/>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80" w:type="dxa"/>
            <w:vAlign w:val="bottom"/>
            <w:gridSpan w:val="2"/>
            <w:vMerge w:val="continue"/>
          </w:tcPr>
          <w:p>
            <w:pPr>
              <w:spacing w:after="0"/>
              <w:rPr>
                <w:sz w:val="16"/>
                <w:szCs w:val="16"/>
                <w:color w:val="auto"/>
              </w:rPr>
            </w:pPr>
          </w:p>
        </w:tc>
        <w:tc>
          <w:tcPr>
            <w:tcW w:w="5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Bobby Trahanas</w:t>
            </w:r>
          </w:p>
        </w:tc>
        <w:tc>
          <w:tcPr>
            <w:tcW w:w="0" w:type="dxa"/>
            <w:vAlign w:val="bottom"/>
          </w:tcPr>
          <w:p>
            <w:pPr>
              <w:spacing w:after="0"/>
              <w:rPr>
                <w:sz w:val="1"/>
                <w:szCs w:val="1"/>
                <w:color w:val="auto"/>
              </w:rPr>
            </w:pPr>
          </w:p>
        </w:tc>
      </w:tr>
      <w:tr>
        <w:trPr>
          <w:trHeight w:val="258"/>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Compliance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13970</wp:posOffset>
            </wp:positionV>
            <wp:extent cx="363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RICHARD MASHAAL</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ý"/>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2023-02-10T15:44:15Z</dcterms:created>
  <dcterms:modified xsi:type="dcterms:W3CDTF">2023-02-10T15:44:15Z</dcterms:modified>
</cp:coreProperties>
</file>