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33"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16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July 2019</w:t>
      </w:r>
    </w:p>
    <w:p>
      <w:pPr>
        <w:spacing w:after="0" w:line="2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60"/>
        <w:spacing w:after="0" w:line="207" w:lineRule="exact"/>
        <w:tabs>
          <w:tab w:leader="none" w:pos="59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ind w:left="5220"/>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Proxy Statement and Proxy Card for 2019 Annual Shareholder Meeting</w:t>
      </w:r>
    </w:p>
    <w:p>
      <w:pPr>
        <w:spacing w:after="0" w:line="221" w:lineRule="exact"/>
        <w:rPr>
          <w:sz w:val="20"/>
          <w:szCs w:val="20"/>
          <w:color w:val="auto"/>
        </w:rPr>
      </w:pPr>
    </w:p>
    <w:p>
      <w:pPr>
        <w:ind w:firstLine="648"/>
        <w:spacing w:after="0" w:line="277" w:lineRule="auto"/>
        <w:rPr>
          <w:rFonts w:ascii="Arial" w:cs="Arial" w:eastAsia="Arial" w:hAnsi="Arial"/>
          <w:sz w:val="17"/>
          <w:szCs w:val="17"/>
          <w:color w:val="auto"/>
        </w:rPr>
      </w:pPr>
      <w:r>
        <w:rPr>
          <w:rFonts w:ascii="Arial" w:cs="Arial" w:eastAsia="Arial" w:hAnsi="Arial"/>
          <w:sz w:val="17"/>
          <w:szCs w:val="17"/>
          <w:color w:val="auto"/>
        </w:rPr>
        <w:t>Reference is made to the 2019 annual general meeting of shareholders (the “</w:t>
      </w:r>
      <w:r>
        <w:rPr>
          <w:rFonts w:ascii="Arial" w:cs="Arial" w:eastAsia="Arial" w:hAnsi="Arial"/>
          <w:sz w:val="17"/>
          <w:szCs w:val="17"/>
          <w:b w:val="1"/>
          <w:bCs w:val="1"/>
          <w:color w:val="auto"/>
        </w:rPr>
        <w:t>Meeting</w:t>
      </w:r>
      <w:r>
        <w:rPr>
          <w:rFonts w:ascii="Arial" w:cs="Arial" w:eastAsia="Arial" w:hAnsi="Arial"/>
          <w:sz w:val="17"/>
          <w:szCs w:val="17"/>
          <w:color w:val="auto"/>
        </w:rPr>
        <w:t>”) of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scheduled to be held at 12:00 p.m. (Israel time) on Thursday, August 22, 2019 at the Company’s offices at 12 Ha’Amal Street, Park Afek, Rosh Ha’Ayin, Israel. Notice of the Meeting was attached as Exhibit 99.1 to the Company’s Report of Foreign Private Issuer on </w:t>
      </w:r>
      <w:hyperlink r:id="rId13">
        <w:r>
          <w:rPr>
            <w:rFonts w:ascii="Arial" w:cs="Arial" w:eastAsia="Arial" w:hAnsi="Arial"/>
            <w:sz w:val="17"/>
            <w:szCs w:val="17"/>
            <w:u w:val="single" w:color="auto"/>
            <w:color w:val="0000EE"/>
          </w:rPr>
          <w:t>Form 6-K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 “</w:t>
      </w:r>
      <w:r>
        <w:rPr>
          <w:rFonts w:ascii="Arial" w:cs="Arial" w:eastAsia="Arial" w:hAnsi="Arial"/>
          <w:sz w:val="17"/>
          <w:szCs w:val="17"/>
          <w:b w:val="1"/>
          <w:bCs w:val="1"/>
          <w:color w:val="auto"/>
        </w:rPr>
        <w:t>Form 6-K</w:t>
      </w:r>
      <w:r>
        <w:rPr>
          <w:rFonts w:ascii="Arial" w:cs="Arial" w:eastAsia="Arial" w:hAnsi="Arial"/>
          <w:sz w:val="17"/>
          <w:szCs w:val="17"/>
          <w:color w:val="auto"/>
        </w:rPr>
        <w:t>”), furnished to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July 15, 2019. Further to the foregoing notice, the Company hereby furnishes, as Exhibits 99.1 and 99.2, respectively, to this Form 6-K, the following additional proxy materials in connection with the Meeting:</w:t>
      </w:r>
    </w:p>
    <w:p>
      <w:pPr>
        <w:spacing w:after="0" w:line="172" w:lineRule="exact"/>
        <w:rPr>
          <w:sz w:val="20"/>
          <w:szCs w:val="20"/>
          <w:color w:val="auto"/>
        </w:rPr>
      </w:pPr>
    </w:p>
    <w:p>
      <w:pPr>
        <w:ind w:right="60" w:firstLine="656"/>
        <w:spacing w:after="0" w:line="342" w:lineRule="auto"/>
        <w:tabs>
          <w:tab w:leader="none" w:pos="863"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notice (copy of the notice published on July 15, 2019), along with proxy statement, with respect to the Meeting, which describes the proposals to be voted upon at the Meeting, the procedure for voting in person or by proxy at the Meeting, and various other details related to the Meeting; and</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proxy card for use by record shareholders of the Company for voting on the proposals to be presented at the Meeting.</w:t>
      </w:r>
    </w:p>
    <w:p>
      <w:pPr>
        <w:spacing w:after="0" w:line="225" w:lineRule="exact"/>
        <w:rPr>
          <w:sz w:val="20"/>
          <w:szCs w:val="20"/>
          <w:color w:val="auto"/>
        </w:rPr>
      </w:pPr>
    </w:p>
    <w:p>
      <w:pPr>
        <w:ind w:right="100" w:firstLine="648"/>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contents of Exhibits 99.1 and 99.2 to this Form 6-K are hereby incorporated by reference into the Company’s Registration Statements on Form F-3 (SEC File No. </w:t>
      </w:r>
      <w:hyperlink r:id="rId14">
        <w:r>
          <w:rPr>
            <w:rFonts w:ascii="Arial" w:cs="Arial" w:eastAsia="Arial" w:hAnsi="Arial"/>
            <w:sz w:val="17"/>
            <w:szCs w:val="17"/>
            <w:u w:val="single" w:color="auto"/>
            <w:color w:val="0000EE"/>
          </w:rPr>
          <w:t>333-232070</w:t>
        </w:r>
      </w:hyperlink>
      <w:r>
        <w:rPr>
          <w:rFonts w:ascii="Arial" w:cs="Arial" w:eastAsia="Arial" w:hAnsi="Arial"/>
          <w:sz w:val="17"/>
          <w:szCs w:val="17"/>
          <w:color w:val="auto"/>
        </w:rPr>
        <w:t xml:space="preserve">) and Form S-8 (SEC File No.’s </w:t>
      </w:r>
      <w:hyperlink r:id="rId15">
        <w:r>
          <w:rPr>
            <w:rFonts w:ascii="Arial" w:cs="Arial" w:eastAsia="Arial" w:hAnsi="Arial"/>
            <w:sz w:val="17"/>
            <w:szCs w:val="17"/>
            <w:u w:val="single" w:color="auto"/>
            <w:color w:val="0000EE"/>
          </w:rPr>
          <w:t>333-203970</w:t>
        </w:r>
      </w:hyperlink>
      <w:r>
        <w:rPr>
          <w:rFonts w:ascii="Arial" w:cs="Arial" w:eastAsia="Arial" w:hAnsi="Arial"/>
          <w:sz w:val="17"/>
          <w:szCs w:val="17"/>
          <w:color w:val="auto"/>
        </w:rPr>
        <w:t xml:space="preserve">, </w:t>
      </w:r>
      <w:hyperlink r:id="rId16">
        <w:r>
          <w:rPr>
            <w:rFonts w:ascii="Arial" w:cs="Arial" w:eastAsia="Arial" w:hAnsi="Arial"/>
            <w:sz w:val="17"/>
            <w:szCs w:val="17"/>
            <w:u w:val="single" w:color="auto"/>
            <w:color w:val="0000EE"/>
          </w:rPr>
          <w:t>333-214015</w:t>
        </w:r>
      </w:hyperlink>
      <w:r>
        <w:rPr>
          <w:rFonts w:ascii="Arial" w:cs="Arial" w:eastAsia="Arial" w:hAnsi="Arial"/>
          <w:sz w:val="17"/>
          <w:szCs w:val="17"/>
          <w:color w:val="auto"/>
        </w:rPr>
        <w:t xml:space="preserve">, </w:t>
      </w:r>
      <w:hyperlink r:id="rId17">
        <w:r>
          <w:rPr>
            <w:rFonts w:ascii="Arial" w:cs="Arial" w:eastAsia="Arial" w:hAnsi="Arial"/>
            <w:sz w:val="17"/>
            <w:szCs w:val="17"/>
            <w:u w:val="single" w:color="auto"/>
            <w:color w:val="0000EE"/>
          </w:rPr>
          <w:t>333-217039</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EE"/>
          </w:rPr>
          <w:t>333-223794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19">
        <w:r>
          <w:rPr>
            <w:rFonts w:ascii="Arial" w:cs="Arial" w:eastAsia="Arial" w:hAnsi="Arial"/>
            <w:sz w:val="17"/>
            <w:szCs w:val="17"/>
            <w:u w:val="single" w:color="auto"/>
            <w:color w:val="0000EE"/>
          </w:rPr>
          <w:t>333-230567</w:t>
        </w:r>
      </w:hyperlink>
      <w:r>
        <w:rPr>
          <w:rFonts w:ascii="Arial" w:cs="Arial" w:eastAsia="Arial" w:hAnsi="Arial"/>
          <w:sz w:val="17"/>
          <w:szCs w:val="17"/>
          <w:color w:val="auto"/>
        </w:rPr>
        <w:t>).</w:t>
      </w:r>
    </w:p>
    <w:p>
      <w:pPr>
        <w:spacing w:after="0" w:line="356" w:lineRule="exact"/>
        <w:rPr>
          <w:rFonts w:ascii="Arial" w:cs="Arial" w:eastAsia="Arial" w:hAnsi="Arial"/>
          <w:sz w:val="17"/>
          <w:szCs w:val="17"/>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July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6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9960" w:type="dxa"/>
            <w:vAlign w:val="bottom"/>
            <w:gridSpan w:val="3"/>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4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Notice (copy of notice published on July 15, 2019) and Proxy Statement for 2019 Annual General Meeting of Shareholders of Kornit Digital</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93"/>
              </w:rPr>
              <w:t>Ltd.</w:t>
            </w:r>
          </w:p>
        </w:tc>
        <w:tc>
          <w:tcPr>
            <w:tcW w:w="9960" w:type="dxa"/>
            <w:vAlign w:val="bottom"/>
            <w:tcBorders>
              <w:bottom w:val="single" w:sz="8" w:color="CCEEFF"/>
            </w:tcBorders>
            <w:gridSpan w:val="3"/>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260" w:type="dxa"/>
            <w:vAlign w:val="bottom"/>
            <w:gridSpan w:val="4"/>
          </w:tcPr>
          <w:p>
            <w:pPr>
              <w:spacing w:after="0" w:line="176" w:lineRule="exact"/>
              <w:rPr>
                <w:sz w:val="20"/>
                <w:szCs w:val="20"/>
                <w:color w:val="auto"/>
              </w:rPr>
            </w:pPr>
            <w:r>
              <w:rPr>
                <w:rFonts w:ascii="Arial" w:cs="Arial" w:eastAsia="Arial" w:hAnsi="Arial"/>
                <w:sz w:val="18"/>
                <w:szCs w:val="18"/>
                <w:color w:val="0000EE"/>
              </w:rPr>
              <w:t>Proxy Card for 2019 Annual General Meeting of Shareholders of Kornit Digital Ltd.</w:t>
            </w:r>
          </w:p>
        </w:tc>
      </w:tr>
      <w:tr>
        <w:trPr>
          <w:trHeight w:val="730"/>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80" w:type="dxa"/>
            <w:vAlign w:val="bottom"/>
            <w:tcBorders>
              <w:top w:val="single" w:sz="8" w:color="0000EE"/>
              <w:bottom w:val="single" w:sz="8" w:color="auto"/>
            </w:tcBorders>
            <w:gridSpan w:val="2"/>
          </w:tcPr>
          <w:p>
            <w:pPr>
              <w:jc w:val="right"/>
              <w:ind w:right="1390"/>
              <w:spacing w:after="0"/>
              <w:rPr>
                <w:sz w:val="20"/>
                <w:szCs w:val="20"/>
                <w:color w:val="auto"/>
              </w:rPr>
            </w:pPr>
            <w:r>
              <w:rPr>
                <w:rFonts w:ascii="Arial" w:cs="Arial" w:eastAsia="Arial" w:hAnsi="Arial"/>
                <w:sz w:val="22"/>
                <w:szCs w:val="22"/>
                <w:color w:val="auto"/>
              </w:rPr>
              <w:t>3</w:t>
            </w:r>
          </w:p>
        </w:tc>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148590</wp:posOffset>
            </wp:positionV>
            <wp:extent cx="3164205" cy="1037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316420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15, 2019</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2019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27, 2019</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published on July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cordially invite you to attend the 2019 Annual General Meeting of Shareholders, or the Meeting, of Kornit Digital Ltd., or the Company, to be held at 12:00 p.m. (Israel time) on Thursday, August 22, 2019, at our offices at 12 Ha’Amal Street, Park Afek, Rosh Ha’Ayin, Israel.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660" w:right="3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each of (a) Mr. Alon Lumbroso and (b) Mr. Dov Ofer for a three-year term as a Class I director of the Company, until the Company’s annual general meeting of shareholders in 2022 and until his successor is duly elected and qualified;</w:t>
      </w:r>
    </w:p>
    <w:p>
      <w:pPr>
        <w:spacing w:after="0" w:line="170" w:lineRule="exact"/>
        <w:rPr>
          <w:rFonts w:ascii="Arial" w:cs="Arial" w:eastAsia="Arial" w:hAnsi="Arial"/>
          <w:sz w:val="18"/>
          <w:szCs w:val="18"/>
          <w:color w:val="auto"/>
        </w:rPr>
      </w:pPr>
    </w:p>
    <w:p>
      <w:pPr>
        <w:ind w:left="660" w:right="18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each of (a) Mr. Stephen Nigro and (b) Mr. Ronen Samuel (our chief executive officer) for an initial two-year term as a Class III director of the Company, until the Company’s annual general meeting of shareholders in 2021 and until his successor is duly elected and qualified, to fill the Class III director seats on our board of directors being vacated by Messrs. Eli Blatt and Marc Lesnick, who are resigning from those seats effective as of the conclusion of the Meeting;</w:t>
      </w:r>
    </w:p>
    <w:p>
      <w:pPr>
        <w:spacing w:after="0" w:line="186" w:lineRule="exact"/>
        <w:rPr>
          <w:rFonts w:ascii="Arial" w:cs="Arial" w:eastAsia="Arial" w:hAnsi="Arial"/>
          <w:sz w:val="18"/>
          <w:szCs w:val="18"/>
          <w:color w:val="auto"/>
        </w:rPr>
      </w:pPr>
    </w:p>
    <w:p>
      <w:pPr>
        <w:ind w:left="660" w:right="80" w:hanging="652"/>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the re-appointment of Kost Forer Gabbay &amp; Kasierer, registered public accounting firm, a member firm of Ernst &amp; Young Global, as our independent registered public accounting firm for the year ending December 31, 2019 and for the additional period until our 2020 annual general meeting of shareholders, and to authorize our board of directors to fix such accounting firm’s annual compensation;</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and clarify certain employment terms of Mr. Ronen Samuel, our chief executive officer, consisting of:</w:t>
      </w:r>
    </w:p>
    <w:p>
      <w:pPr>
        <w:spacing w:after="0" w:line="225" w:lineRule="exact"/>
        <w:rPr>
          <w:rFonts w:ascii="Arial" w:cs="Arial" w:eastAsia="Arial" w:hAnsi="Arial"/>
          <w:sz w:val="18"/>
          <w:szCs w:val="18"/>
          <w:color w:val="auto"/>
        </w:rPr>
      </w:pPr>
    </w:p>
    <w:p>
      <w:pPr>
        <w:ind w:left="660" w:right="100" w:hanging="4"/>
        <w:spacing w:after="0" w:line="297" w:lineRule="auto"/>
        <w:tabs>
          <w:tab w:leader="none" w:pos="905" w:val="left"/>
        </w:tabs>
        <w:numPr>
          <w:ilvl w:val="1"/>
          <w:numId w:val="2"/>
        </w:numPr>
        <w:rPr>
          <w:rFonts w:ascii="Arial" w:cs="Arial" w:eastAsia="Arial" w:hAnsi="Arial"/>
          <w:sz w:val="16"/>
          <w:szCs w:val="16"/>
          <w:color w:val="auto"/>
        </w:rPr>
      </w:pPr>
      <w:r>
        <w:rPr>
          <w:rFonts w:ascii="Arial" w:cs="Arial" w:eastAsia="Arial" w:hAnsi="Arial"/>
          <w:sz w:val="16"/>
          <w:szCs w:val="16"/>
          <w:color w:val="auto"/>
        </w:rPr>
        <w:t>a special bonus of up to three (3) months’ of base salary that may be granted to Mr. Samuel annually based on achievements to be determined by the Company’s board of directors that are not included in Mr. Samuel’s annual bonus plan (in a manner similar to what was previously provided to our former chief executive officer, Mr. Gabi Seligsohn), such that, with respect to 2018, Mr. Samuel would be entitled to a special bonus of NIS 137,000 (approximately US $38,600 as of the date hereof) under the foregoing bonus mechanism, in recognition of his leadership of the successful transition for the Company during the period following his appointment to replace Mr. Gabi Seligsohn as our chief executive officer; and</w:t>
      </w:r>
    </w:p>
    <w:p>
      <w:pPr>
        <w:spacing w:after="0" w:line="158" w:lineRule="exact"/>
        <w:rPr>
          <w:rFonts w:ascii="Arial" w:cs="Arial" w:eastAsia="Arial" w:hAnsi="Arial"/>
          <w:sz w:val="16"/>
          <w:szCs w:val="16"/>
          <w:color w:val="auto"/>
        </w:rPr>
      </w:pPr>
    </w:p>
    <w:p>
      <w:pPr>
        <w:ind w:left="660" w:right="400" w:hanging="4"/>
        <w:spacing w:after="0" w:line="277" w:lineRule="auto"/>
        <w:tabs>
          <w:tab w:leader="none" w:pos="915" w:val="left"/>
        </w:tabs>
        <w:numPr>
          <w:ilvl w:val="1"/>
          <w:numId w:val="2"/>
        </w:numPr>
        <w:rPr>
          <w:rFonts w:ascii="Arial" w:cs="Arial" w:eastAsia="Arial" w:hAnsi="Arial"/>
          <w:sz w:val="18"/>
          <w:szCs w:val="18"/>
          <w:color w:val="auto"/>
        </w:rPr>
      </w:pPr>
      <w:r>
        <w:rPr>
          <w:rFonts w:ascii="Arial" w:cs="Arial" w:eastAsia="Arial" w:hAnsi="Arial"/>
          <w:sz w:val="18"/>
          <w:szCs w:val="18"/>
          <w:color w:val="auto"/>
        </w:rPr>
        <w:t>acceleration of 50% of Mr. Samuel’s unvested equity grants upon a change of control of the Company that is followed by termination of Mr. Samuel’s employment under certain circumstances; and</w:t>
      </w:r>
    </w:p>
    <w:p>
      <w:pPr>
        <w:spacing w:after="0" w:line="197" w:lineRule="exact"/>
        <w:rPr>
          <w:rFonts w:ascii="Arial" w:cs="Arial" w:eastAsia="Arial" w:hAnsi="Arial"/>
          <w:sz w:val="18"/>
          <w:szCs w:val="18"/>
          <w:color w:val="auto"/>
        </w:rPr>
      </w:pPr>
    </w:p>
    <w:p>
      <w:pPr>
        <w:ind w:left="660" w:right="40" w:hanging="652"/>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 one-time grant of options to purchase 100,000 ordinary shares for Mr. Ronen Samuel, our chief executive officer, subject to a four-year vesting schedule and certain other provisions under Mr. Samuel’s employment terms and the Company’s 2015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60"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Members of our management will be available at the Meeting to present and discuss our auditors’ report and consolidated financial statements as of, and for the year ended, December 31, 2018, as previously made available to our shareholders as part of our Annual Report on </w:t>
      </w:r>
      <w:hyperlink r:id="rId25">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Securities and Exchange Commission on March 26, 2019, which is available at www.sec.gov and at the “Investors” section of our Company’s website, www.kornit.com.</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that will be distributed to you together with this Notice of 2019 Annual General Meeting of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July 19, 2019 are entitled to vote at the Meeting.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the approval of each of Proposals 4(a), 4(b) and 5 (each of which relates to a compensatory matter for our 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requires that one of the following two voting requirements be met as part of the approval by an ordinary majority of shares present and voting thereon:</w:t>
      </w:r>
    </w:p>
    <w:p>
      <w:pPr>
        <w:spacing w:after="0" w:line="222" w:lineRule="exact"/>
        <w:rPr>
          <w:sz w:val="20"/>
          <w:szCs w:val="20"/>
          <w:color w:val="auto"/>
        </w:rPr>
      </w:pPr>
    </w:p>
    <w:p>
      <w:pPr>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voted in favor of the proposal must include a majority of the shares held by shareholders who are not controlling shareholders (as to be described in our proxy statement for the Meeting) and do not have a conflict of interest (which is referred to under the Israeli Companies Law as a “personal interest,” as to be described in the proxy statement) in the approval of the proposal that are voted at the Meeting, excluding abstentions; or</w:t>
      </w:r>
    </w:p>
    <w:p>
      <w:pPr>
        <w:spacing w:after="0" w:line="186"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or not you plan to attend the Meeting, it is important that your shares be represented and voted at the Meeting. Accordingly, after reading this Notice of 2019 Annual General Meeting of Shareholders and the proxy statement for the Meeting, please mark, date, sign and mail the proxy card or voting instruction form as promptly as possible in the stamped envelope to be provided to you, or please follow the instructions for voting to be sent to you electronically. If mailing in your proxy to our transfer agent in the envelope to be enclosed or providing voting instructions via a physical voting instruction form, your vote must be received by noon, Eastern time, on August 21, 2019, to be validly included in the tally of ordinary shares voted at the Meeting. If you are a street holder (i.e., you hold your shares through a bank, broker or other nominee) and are voting online (at www.proxyvote.com) or via telephone, your vote must be received by 11:59 p.m. Eastern time on August 20, 2019.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 An electronic copy of the enclosed proxy materials will also be available for viewing at http://ir.kornit.com/. The full text of the proposed resolutions, together with the form of proxy card for the Meeting, may also be viewed beginning on July 29, 2019, at the registered office of the Company, 12 Ha’Amal Street, Park Afek, Rosh Ha’Ayin Israel, from Sunday to Thursday (excluding Israeli holidays), 10:00 a.m. to 5:00 p.m. (Israel time). Our telephone number at our registered office is +972-3-908-5800.</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2181225</wp:posOffset>
            </wp:positionH>
            <wp:positionV relativeFrom="page">
              <wp:posOffset>586105</wp:posOffset>
            </wp:positionV>
            <wp:extent cx="3164205" cy="1037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16420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 Ha’Amal Street, Park Afek, Rosh Ha’Ayin 4824096 Israel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+972-3-908-5800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2019 ANNUAL GENERAL MEETING OF SHAREHOLDERS</w:t>
      </w:r>
    </w:p>
    <w:p>
      <w:pPr>
        <w:spacing w:after="0" w:line="21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Kornit Digital Ltd., to which we refer as Kornit Digital or the Company, to be voted at the Company’s 2019 Annual General Meeting of Shareholders, or the Meeting, and at any adjournment thereof, pursuant to the accompanying Notice of 2019 Annual General Meeting of Shareholders. The Meeting will be held at 12:00 p.m. (Israel time) on Thursday, August 22, 2019, at our offices at 12 Ha’Amal Street, Park Afek, Rosh Ha’Ayin Israel.</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Proxy Statement, the attached Notice of 2019 Annual General Meeting of Shareholders and the enclosed proxy card or voting instruction form are being made available on or about July 25, 2019 to holders of Kornit Digital ordinary shares.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You are entitled to vote at the Meeting if you held ordinary shares as of the close of business on Friday, July 19, 2019,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660" w:right="10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Re-election of each of (a) Mr. Alon Lumbroso and (b) Mr. Dov Ofer for a three-year term as a Class I director of the Company, until the Company’s annual general meeting of shareholders in 2022 and until his successor is duly elected and qualified;</w:t>
      </w:r>
    </w:p>
    <w:p>
      <w:pPr>
        <w:spacing w:after="0" w:line="170" w:lineRule="exact"/>
        <w:rPr>
          <w:rFonts w:ascii="Arial" w:cs="Arial" w:eastAsia="Arial" w:hAnsi="Arial"/>
          <w:sz w:val="18"/>
          <w:szCs w:val="18"/>
          <w:color w:val="auto"/>
        </w:rPr>
      </w:pPr>
    </w:p>
    <w:p>
      <w:pPr>
        <w:ind w:left="660" w:right="10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each of (a) Mr. Stephen Nigro and (b) Mr. Ronen Samuel (our chief executive officer) for an initial two-year term as a Class III director of the Company, until the Company’s annual general meeting of shareholders in 2021 and until his successor is duly elected and qualified, to fill the Class III director seats on our Board being vacated by Messrs. Eli Blatt and Marc Lesnick, who are resigning from those seats effective as of the conclusion of the Meeting;</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the re-appointment of Kost Forer Gabbay &amp; Kasierer, registered public accounting firm, a member firm of Ernst &amp; Young Global, as our independent registered public accounting firm for the year ending December 31, 2019 and for the additional period until our 2020 annual general meeting of shareholders, and authorization of our Board to fix such accounting firm’s annual compensation;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and clarification of certain employment terms of Mr. Ronen Samuel, our chief executive officer, consisting of:</w:t>
      </w:r>
    </w:p>
    <w:p>
      <w:pPr>
        <w:spacing w:after="0" w:line="225" w:lineRule="exact"/>
        <w:rPr>
          <w:rFonts w:ascii="Arial" w:cs="Arial" w:eastAsia="Arial" w:hAnsi="Arial"/>
          <w:sz w:val="18"/>
          <w:szCs w:val="18"/>
          <w:color w:val="auto"/>
        </w:rPr>
      </w:pPr>
    </w:p>
    <w:p>
      <w:pPr>
        <w:ind w:left="660" w:right="80" w:hanging="4"/>
        <w:spacing w:after="0" w:line="276" w:lineRule="auto"/>
        <w:tabs>
          <w:tab w:leader="none" w:pos="905" w:val="left"/>
        </w:tabs>
        <w:numPr>
          <w:ilvl w:val="1"/>
          <w:numId w:val="5"/>
        </w:numPr>
        <w:rPr>
          <w:rFonts w:ascii="Arial" w:cs="Arial" w:eastAsia="Arial" w:hAnsi="Arial"/>
          <w:sz w:val="17"/>
          <w:szCs w:val="17"/>
          <w:color w:val="auto"/>
        </w:rPr>
      </w:pPr>
      <w:r>
        <w:rPr>
          <w:rFonts w:ascii="Arial" w:cs="Arial" w:eastAsia="Arial" w:hAnsi="Arial"/>
          <w:sz w:val="17"/>
          <w:szCs w:val="17"/>
          <w:color w:val="auto"/>
        </w:rPr>
        <w:t>a special bonus of up to three (3) months’ of base salary that may be granted to Mr. Samuel annually based on achievements to be determined by the Company’s board of directors that are not included in Mr. Samuel’s annual bonus plan (in a manner similar to what was previously provided to our former chief executive officer, Mr. Gabi Seligsohn), such that, with respect to 2018, Mr. Samuel would be entitled to a special bonus of NIS 137,000 under the foregoing bonus mechanism, in recognition of his leadership of the successful transition for the Company during the period following his appointment to replace Mr. Gabi Seligsohn as our chief executive officer; and</w:t>
      </w:r>
    </w:p>
    <w:p>
      <w:pPr>
        <w:spacing w:after="0" w:line="172" w:lineRule="exact"/>
        <w:rPr>
          <w:rFonts w:ascii="Arial" w:cs="Arial" w:eastAsia="Arial" w:hAnsi="Arial"/>
          <w:sz w:val="17"/>
          <w:szCs w:val="17"/>
          <w:color w:val="auto"/>
        </w:rPr>
      </w:pPr>
    </w:p>
    <w:p>
      <w:pPr>
        <w:ind w:left="660" w:right="380" w:hanging="4"/>
        <w:spacing w:after="0" w:line="277" w:lineRule="auto"/>
        <w:tabs>
          <w:tab w:leader="none" w:pos="915" w:val="left"/>
        </w:tabs>
        <w:numPr>
          <w:ilvl w:val="1"/>
          <w:numId w:val="5"/>
        </w:numPr>
        <w:rPr>
          <w:rFonts w:ascii="Arial" w:cs="Arial" w:eastAsia="Arial" w:hAnsi="Arial"/>
          <w:sz w:val="18"/>
          <w:szCs w:val="18"/>
          <w:color w:val="auto"/>
        </w:rPr>
      </w:pPr>
      <w:r>
        <w:rPr>
          <w:rFonts w:ascii="Arial" w:cs="Arial" w:eastAsia="Arial" w:hAnsi="Arial"/>
          <w:sz w:val="18"/>
          <w:szCs w:val="18"/>
          <w:color w:val="auto"/>
        </w:rPr>
        <w:t>acceleration of 50% of Mr. Samuel’s unvested equity grants upon a change of control of the Company that is followed by termination of Mr. Samuel’s employment under certain circumstances; and</w:t>
      </w:r>
    </w:p>
    <w:p>
      <w:pPr>
        <w:spacing w:after="0" w:line="170" w:lineRule="exact"/>
        <w:rPr>
          <w:rFonts w:ascii="Arial" w:cs="Arial" w:eastAsia="Arial" w:hAnsi="Arial"/>
          <w:sz w:val="18"/>
          <w:szCs w:val="18"/>
          <w:color w:val="auto"/>
        </w:rPr>
      </w:pPr>
    </w:p>
    <w:p>
      <w:pPr>
        <w:jc w:val="both"/>
        <w:ind w:left="660" w:right="240" w:hanging="652"/>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Approval of a one-time grant of options to purchase 100,000 ordinary shares for Mr. Ronen Samuel, our chief executive officer, subject to a four-year vesting schedule and certain other provisions under Mr. Samuel’s employment terms and the Company’s 2015 Incentive Compensation Plan.</w:t>
      </w:r>
    </w:p>
    <w:p>
      <w:pPr>
        <w:spacing w:after="0" w:line="124"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above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Friday, July 12, 2019, we had 40,375,077 ordinary shares issued and outstanding. Each ordinary share outstanding as of the close of business on the record date— July 19, 2019— is entitled to one vote upon each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18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Israeli Companies Law 5759-1999, or the Companies Law, the affirmative vote of the holders of a majority of the voting power represented at the Meeting in person or by proxy and voting thereon (which excludes abstentions and broker non-votes) is necessary for the approval of each proposal. Because an abstention, as well as a broker non-vote, is not treated as a vote “FOR” or a vote “AGAINST” a proposal, it does not impact whether the requisite majority has been achieved for approval of that proposal.</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to requiring the achievement of an ordinary majority of shares present and voting, the Companies Law provides that the approval of each of Proposals 4(a), 4(b) and 5 (each of which relates to a compensatory matter for our chief executive officer) furthermore requires that one of the following two voting requirements be met:</w:t>
      </w:r>
    </w:p>
    <w:p>
      <w:pPr>
        <w:spacing w:after="0" w:line="181" w:lineRule="exact"/>
        <w:rPr>
          <w:sz w:val="20"/>
          <w:szCs w:val="20"/>
          <w:color w:val="auto"/>
        </w:rPr>
      </w:pPr>
    </w:p>
    <w:p>
      <w:pPr>
        <w:jc w:val="both"/>
        <w:ind w:left="980" w:right="120" w:hanging="324"/>
        <w:spacing w:after="0" w:line="31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majority voted in favor of the proposal must include a majority of the shares held by shareholders who are not controlling shareholders (as defined below) and do not have a conflict of interest (which is referred to under the Israeli Companies Law 5759-1999, or the Companies Law, as a “personal interest,” as defined below) in the approval of the proposal that are voted at the Meeting, excluding abstentions; or</w:t>
      </w:r>
    </w:p>
    <w:p>
      <w:pPr>
        <w:spacing w:after="0" w:line="173" w:lineRule="exact"/>
        <w:rPr>
          <w:rFonts w:ascii="Arial" w:cs="Arial" w:eastAsia="Arial" w:hAnsi="Arial"/>
          <w:sz w:val="16"/>
          <w:szCs w:val="16"/>
          <w:color w:val="auto"/>
        </w:rPr>
      </w:pPr>
    </w:p>
    <w:p>
      <w:pPr>
        <w:ind w:left="980" w:right="4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ind w:right="40" w:firstLine="648"/>
        <w:spacing w:after="0" w:line="273" w:lineRule="auto"/>
        <w:rPr>
          <w:sz w:val="20"/>
          <w:szCs w:val="20"/>
          <w:color w:val="auto"/>
        </w:rPr>
      </w:pPr>
      <w:r>
        <w:rPr>
          <w:rFonts w:ascii="Arial" w:cs="Arial" w:eastAsia="Arial" w:hAnsi="Arial"/>
          <w:sz w:val="17"/>
          <w:szCs w:val="17"/>
          <w:color w:val="auto"/>
        </w:rPr>
        <w:t>A “controlling shareholder” is any shareholder that has the ability to direct a company’s activities (other than by means of being a director or other office holder of a company). A person is presumed to be a controlling shareholder if it holds 50% or more of the voting rights in a company or has the right to appoint the majority of the directors of the company or its chief executive officer (referred to under the Companies Law as a general manager). For purposes of Proposals 4(a), 4(b) and 5, a controlling shareholder furthermore includes a shareholder that holds 25% or more of the voting rights in our Company if no other shareholder holds more than 50% of the voting rights in our Company. A controlling shareholder does not include a shareholder whose power derives solely from his or her position as a director of our Company or from any other position with our Company.</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are not aware of any shareholder that would be considered a controlling shareholder of our Company under the Companies Law for the purposes of the above-described special majority requirements for the approval of Proposals 4(a), 4(b) and 5.</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“personal interest” of a shareholder (which we refer to as a “conflict of interest” elsewhere in this Proxy Statement and in the accompanying proxy card and voting instruction form)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a company. In determining whether a vote cast by proxy is disinterested, the “personal interest” of the proxy holder is also considered and will cause that vote to be treated as the vote of an interested shareholder, even if the shareholder granting the proxy does not have a personal interest in the matter being voted upon.</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Votes cast by controlling shareholders and shareholders with conflicts of interest are counted for purposes of determining a quorum with respect to Proposals 4(a), 4(b) and 5, and for determining whether holders of a majority of ordinary shares present and entitled to vote approve Proposals 4(a), 4(b) and 5; however, the vote of any such shareholders will not be counted towards the majority requirement described in the first bullet point above or towards the two percent (2%) threshold described in the second bullet point above.</w:t>
      </w:r>
    </w:p>
    <w:p>
      <w:pPr>
        <w:spacing w:after="0" w:line="18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In the case of each of Proposals 4(a), 4(b) and 5, a shareholder must inform us before the vote (or if voting by proxy or voting instruction form, indicate on the proxy card or voting instruction form) whether or not such shareholder is a controlling shareholder or has a conflict of interest (as described above) in the approval of such proposal, and failure to do so disqualifies the shareholder from participating in the vote on such proposal. </w:t>
      </w:r>
      <w:r>
        <w:rPr>
          <w:rFonts w:ascii="Arial" w:cs="Arial" w:eastAsia="Arial" w:hAnsi="Arial"/>
          <w:sz w:val="16"/>
          <w:szCs w:val="16"/>
          <w:b w:val="1"/>
          <w:bCs w:val="1"/>
          <w:color w:val="auto"/>
        </w:rPr>
        <w:t>In order to confirm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that you are not a controlling shareholder and that you do not have a conflict of interest with respect to the approval of those proposals (and to therefore be counted towards or against the special majority required for approval of those proposals), please check the box “FOR” in Items 4(a)A, 4(b)A and 5A on the accompanying proxy card or voting instruction form when you record your vote on Proposals 4(a), 4(b) and 5, respectively. </w:t>
      </w:r>
      <w:r>
        <w:rPr>
          <w:rFonts w:ascii="Arial" w:cs="Arial" w:eastAsia="Arial" w:hAnsi="Arial"/>
          <w:sz w:val="16"/>
          <w:szCs w:val="16"/>
          <w:color w:val="auto"/>
        </w:rPr>
        <w:t>If</w:t>
      </w:r>
      <w:r>
        <w:rPr>
          <w:rFonts w:ascii="Arial" w:cs="Arial" w:eastAsia="Arial" w:hAnsi="Arial"/>
          <w:sz w:val="16"/>
          <w:szCs w:val="16"/>
          <w:b w:val="1"/>
          <w:bCs w:val="1"/>
          <w:color w:val="auto"/>
        </w:rPr>
        <w:t xml:space="preserve"> </w:t>
      </w:r>
      <w:r>
        <w:rPr>
          <w:rFonts w:ascii="Arial" w:cs="Arial" w:eastAsia="Arial" w:hAnsi="Arial"/>
          <w:sz w:val="16"/>
          <w:szCs w:val="16"/>
          <w:color w:val="auto"/>
        </w:rPr>
        <w:t>you believe that you, or a related party of yours, is a controlling shareholder or has such a conflict of interest and you wish to participate in the vote on Proposal 4(a), 4(b) or 5, you should check the box “AGAINST” in Item 4(a)A, 4(b)A or 5A, as applicable, on the enclosed proxy card or voting instruction form. In that case, your vote on Proposal 4(a), 4(b) or 5 will be counted towards or against the ordinary majority required for the approval of Proposals 4(a), 4(b) and/or 5, but not towards or against the special majority required for approval of those proposals.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ind w:right="240" w:firstLine="638"/>
        <w:spacing w:after="0" w:line="277" w:lineRule="auto"/>
        <w:rPr>
          <w:sz w:val="20"/>
          <w:szCs w:val="20"/>
          <w:color w:val="auto"/>
        </w:rPr>
      </w:pPr>
      <w:r>
        <w:rPr>
          <w:rFonts w:ascii="Arial" w:cs="Arial" w:eastAsia="Arial" w:hAnsi="Arial"/>
          <w:sz w:val="18"/>
          <w:szCs w:val="18"/>
          <w:color w:val="auto"/>
        </w:rPr>
        <w:t>You can vote your shares by attending the Meeting or by completing and signing a proxy card or voting instruction form (which voting instruction form may be submitted electronically (online) or via telephone as well).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left="64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ind w:firstLine="638"/>
        <w:spacing w:after="0" w:line="269"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proxy card mailed to you, you may print a copy of the proxy card from our investor relations website at http://ir.kornit.com, and may complete and sign that proxy card (also printing on the proxy card the name of the record shareholder holding your ordinary shares) and return it to Nitsan Deutsch, our general counsel, via e-mail to nitsan.deutsch@kornit.com or via fax to her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12 Ha’Amal Street, Park Afek, Rosh Ha’Ayin 4809246 Israel at least four hours prior to the Meeting on Thursday, August 22, 2019, or our registrar and transfer agent receives it in the enclosed envelope not later than noon, Eastern time, on Wednesday, August 21, 2019.</w:t>
      </w:r>
    </w:p>
    <w:p>
      <w:pPr>
        <w:spacing w:after="0" w:line="1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 If no direction is made with respect to Proposals 4(a), 4(b) or 5, you will be deemed to have abstained from voting on such proposals (unless you complete the box “FOR” or “AGAINST” in Item 4(a)A, 4(b)A or 5A, in which case your shares will be voted in favor of Proposal 4(a), 4(b) or 5 (as applicable)).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Holders in “Street Name”</w:t>
      </w:r>
    </w:p>
    <w:p>
      <w:pPr>
        <w:spacing w:after="0" w:line="225" w:lineRule="exact"/>
        <w:rPr>
          <w:sz w:val="20"/>
          <w:szCs w:val="20"/>
          <w:color w:val="auto"/>
        </w:rPr>
      </w:pPr>
    </w:p>
    <w:p>
      <w:pPr>
        <w:ind w:right="40" w:firstLine="638"/>
        <w:spacing w:after="0" w:line="270" w:lineRule="auto"/>
        <w:rPr>
          <w:sz w:val="20"/>
          <w:szCs w:val="20"/>
          <w:color w:val="auto"/>
        </w:rPr>
      </w:pPr>
      <w:r>
        <w:rPr>
          <w:rFonts w:ascii="Arial" w:cs="Arial" w:eastAsia="Arial" w:hAnsi="Arial"/>
          <w:sz w:val="17"/>
          <w:szCs w:val="17"/>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voting instruction form to submit their voting instructions to their brokers, trustees or nominees by other means, including via the internet (at www.proxyvote.com) or via telephone, if so indicated on their voting instruction form. If mailing in your physical voting instruction form, your vote must be received by noon, Eastern time, on Wednesday, August 21, 2019 to be validly included in the tally of ordinary shares voted at the Meeting. If you provide your voting instructions online (at www.proxyvote.com) or via telephone, your vote must be received by 11:59 p.m. Eastern time on Tuesday, August 20, 2019.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(July 19, 2019).</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you are a beneficial owner of shares and do not specify how you want to vote on a proposal on your voting instruction form, your broker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that may be considered routine is Proposal 3 relating to the reappointment of the Company’s independent registered public accounting firm for the fiscal year ending December 31, 2019; however, we cannot be certain whether this will be treated as a routine matter since our proxy statement is prepared in compliance with the Companies Law, rather than the rules applicable to domestic U.S. reporting companies.</w:t>
      </w:r>
    </w:p>
    <w:p>
      <w:pPr>
        <w:spacing w:after="0" w:line="16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You are entitled to vote at the Meeting if you are a shareholder of record at the close of business on Friday, July 19, 2019. You are also entitled to vote at the Meeting if you held ordinary shares through a bank, broker or other nominee that is one of our shareholders of record at the close of business on Friday, July 19, 2019.</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ind w:right="20" w:firstLine="648"/>
        <w:spacing w:after="0" w:line="279" w:lineRule="auto"/>
        <w:rPr>
          <w:sz w:val="20"/>
          <w:szCs w:val="20"/>
          <w:color w:val="auto"/>
        </w:rPr>
      </w:pPr>
      <w:r>
        <w:rPr>
          <w:rFonts w:ascii="Arial" w:cs="Arial" w:eastAsia="Arial" w:hAnsi="Arial"/>
          <w:sz w:val="17"/>
          <w:szCs w:val="17"/>
          <w:color w:val="auto"/>
        </w:rPr>
        <w:t>If your shares are registered directly in your name with our transfer agent, American Stock Transfer &amp; Trust Company, LLC of Brooklyn, New York, you are considered, with respect to those shares, the shareholder of record. In that case, these proxy materials are being sent directly to you. As a shareholder of record, you have the right to send in your voting proxy either in the enclosed envelope to our transfer agent, or directly to the General Counsel of our Company (as described under “How You Can Vote” above). In the alternative, you may vote in person at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 or Voting Instructions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Proxies are being distributed to shareholders on or about July 25, 2019.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7"/>
              </w:rPr>
              <w:t>Percent</w:t>
            </w:r>
            <w:r>
              <w:rPr>
                <w:rFonts w:ascii="Arial" w:cs="Arial" w:eastAsia="Arial" w:hAnsi="Arial"/>
                <w:sz w:val="30"/>
                <w:szCs w:val="30"/>
                <w:color w:val="auto"/>
                <w:w w:val="97"/>
                <w:vertAlign w:val="superscript"/>
              </w:rPr>
              <w:t>(1)</w:t>
            </w:r>
          </w:p>
        </w:tc>
        <w:tc>
          <w:tcPr>
            <w:tcW w:w="0" w:type="dxa"/>
            <w:vAlign w:val="bottom"/>
          </w:tcPr>
          <w:p>
            <w:pPr>
              <w:spacing w:after="0"/>
              <w:rPr>
                <w:sz w:val="1"/>
                <w:szCs w:val="1"/>
                <w:color w:val="auto"/>
              </w:rPr>
            </w:pPr>
          </w:p>
        </w:tc>
      </w:tr>
      <w:tr>
        <w:trPr>
          <w:trHeight w:val="241"/>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American Capital Management Inc.</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2,847,478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Clal Insurance Enterprises Holdings Ltd. and affiliates</w:t>
            </w:r>
            <w:r>
              <w:rPr>
                <w:rFonts w:ascii="Arial" w:cs="Arial" w:eastAsia="Arial" w:hAnsi="Arial"/>
                <w:sz w:val="30"/>
                <w:szCs w:val="30"/>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2,610,128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40,375,077 ordinary shares outstanding as of July 12, 2019.</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2018, based on a Form 13F filed with the SEC on February 8, 2019.</w:t>
      </w:r>
    </w:p>
    <w:p>
      <w:pPr>
        <w:spacing w:after="0" w:line="225" w:lineRule="exact"/>
        <w:rPr>
          <w:rFonts w:ascii="Arial" w:cs="Arial" w:eastAsia="Arial" w:hAnsi="Arial"/>
          <w:sz w:val="18"/>
          <w:szCs w:val="18"/>
          <w:color w:val="auto"/>
        </w:rPr>
      </w:pPr>
    </w:p>
    <w:p>
      <w:pPr>
        <w:ind w:left="660" w:right="20" w:hanging="652"/>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of December 31, 2018, based on an amendment to Schedule 13G, and an initial Schedule 13G, filed by Clal Insurance Enterprises Holdings Ltd., or Clal, and by IDB Development Corporation Ltd., or IDB, respectively, with the SEC, in each case on February 14, 2019. All of the ordinary shares reported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Clal does not admit beneficial ownership of any of those shares. IDB is an affiliate of Clal and is deemed to beneficially own the ordinary shares held by Clal, along with an additional 140 ordinary shares held directly by Epsilon Investment House Ltd., an indirect subsidiary of Discount Investment Corporation Ltd., an Israeli public corporation, which is controlled by Eduardo Sergio Elsztain. Those additional shares are held by portfolio management and/or mutual funds, which are managed by Epsilon Investment House Ltd. and/or Epsilon Mutual Funds Management (1991) Ltd. for the accounts of third-party clients. Accordingly, Mr. Elsztain disclaims beneficial ownership of those additional ordinary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200"/>
        <w:spacing w:after="0"/>
        <w:rPr>
          <w:sz w:val="20"/>
          <w:szCs w:val="20"/>
          <w:color w:val="auto"/>
        </w:rPr>
      </w:pPr>
      <w:r>
        <w:rPr>
          <w:rFonts w:ascii="Arial" w:cs="Arial" w:eastAsia="Arial" w:hAnsi="Arial"/>
          <w:sz w:val="18"/>
          <w:szCs w:val="18"/>
          <w:b w:val="1"/>
          <w:bCs w:val="1"/>
          <w:color w:val="auto"/>
        </w:rPr>
        <w:t>BOARD PRACTICES, CORPORATE GOVERNANCE AND COMPENSATION OF CERTAIN EXECUTIVE OFFICERS AND DIRECTORS</w:t>
      </w:r>
    </w:p>
    <w:p>
      <w:pPr>
        <w:spacing w:after="0" w:line="229" w:lineRule="exact"/>
        <w:rPr>
          <w:sz w:val="20"/>
          <w:szCs w:val="20"/>
          <w:color w:val="auto"/>
        </w:rPr>
      </w:pPr>
    </w:p>
    <w:p>
      <w:pPr>
        <w:ind w:firstLine="638"/>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Item 6.B (“Compensation”) of our Annual Report on </w:t>
      </w:r>
      <w:hyperlink r:id="rId25">
        <w:r>
          <w:rPr>
            <w:rFonts w:ascii="Arial" w:cs="Arial" w:eastAsia="Arial" w:hAnsi="Arial"/>
            <w:sz w:val="17"/>
            <w:szCs w:val="17"/>
            <w:u w:val="single" w:color="auto"/>
            <w:color w:val="0000EE"/>
          </w:rPr>
          <w:t>Form 20-F</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2018, which we filed with the SEC on March 26, 2019 (which we refer to as our 2018 Form 20-F), contains information regarding compensation paid to our directors and certain office holders (including our five most highly compensated office holders) with respect to 2018. Item 6.C of our 2018 Form 20-F (“Board Practices”) contains additional information regarding our Board, its committees and our corporate governance practices. We encourage you to review those portions of our 2018 Form 20-F (which we incorporate by reference herein, and which are linked below) to obtain additional information.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https://www.sec.gov/Archives/edgar/data/1625791/000121390019004880/f20f2018_kornitdigital.htm#a_11</w:t>
      </w: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RE-ELECTION OF OUR CLASS I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Under the Companies Law and our Articles of Association, the management of our business is vested in our Board. The Board may exercise all powers and may take all actions that are not specifically granted to our shareholders.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Articles of Association provide that our Board must consist of at least five and not more than nine directors, including at least two external directors required to be appointed under the Companies Law.</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Board currently consists of nine directors. Our directors (excluding external directors) are divided into three classes with staggered three-year terms. Each class of directors consists, as nearly as possible, of one-third of the total number of directors constituting the entire Board (excluding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non-external directors are currently divided among the three classes as follows:</w:t>
      </w:r>
    </w:p>
    <w:p>
      <w:pPr>
        <w:spacing w:after="0" w:line="225"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 directors are Alon Lumbroso and Dov Ofer, whose current terms expire at the Meeting;</w:t>
      </w:r>
    </w:p>
    <w:p>
      <w:pPr>
        <w:spacing w:after="0" w:line="225" w:lineRule="exact"/>
        <w:rPr>
          <w:rFonts w:ascii="Arial" w:cs="Arial" w:eastAsia="Arial" w:hAnsi="Arial"/>
          <w:sz w:val="18"/>
          <w:szCs w:val="18"/>
          <w:color w:val="auto"/>
        </w:rPr>
      </w:pPr>
    </w:p>
    <w:p>
      <w:pPr>
        <w:ind w:right="100" w:firstLine="656"/>
        <w:spacing w:after="0" w:line="277" w:lineRule="auto"/>
        <w:tabs>
          <w:tab w:leader="none" w:pos="91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 directors are Ofer Ben-Zur and Gabi Seligsohn, whose current terms expire at our 2020 annual general meeting of shareholders, and upon the election and qualification of their respective successors; and</w:t>
      </w:r>
    </w:p>
    <w:p>
      <w:pPr>
        <w:spacing w:after="0" w:line="170" w:lineRule="exact"/>
        <w:rPr>
          <w:rFonts w:ascii="Arial" w:cs="Arial" w:eastAsia="Arial" w:hAnsi="Arial"/>
          <w:sz w:val="18"/>
          <w:szCs w:val="18"/>
          <w:color w:val="auto"/>
        </w:rPr>
      </w:pPr>
    </w:p>
    <w:p>
      <w:pPr>
        <w:ind w:right="760" w:firstLine="656"/>
        <w:spacing w:after="0" w:line="277" w:lineRule="auto"/>
        <w:tabs>
          <w:tab w:leader="none" w:pos="9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III directors are Yuval Cohen, Eli Blatt and Marc Lesnick, whose current terms expire at our 2021 annual general meeting of shareholders, and upon the election and qualification of their respective successors.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described in Proposal 2 below, two of our Class III directors— Messrs. Blatt and Lesnick— have submitted their letters of resignation to the Board and will cease to serve as directors, effective upon the conclusion of the Meeting. We are proposing the initial election, pursuant to Proposal 2, of Mr. Stephen Nigro and Mr. Ronen Samuel (our chief executive officer) to fill the vacancies caused by those resignations and to serve for the remaining two years of the term of the Class III directors, until our annual general meeting of shareholders in 2021. Please see Proposal 2 for more information.</w:t>
      </w:r>
    </w:p>
    <w:p>
      <w:pPr>
        <w:spacing w:after="0" w:line="15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to our Class I directors whose term expires at the Meeting, our Board has nominated each of them— Messrs. Alon Lumbroso and Dov Ofer— for re-election to our Board for an additional three-year term, until our 2022 annual general meeting of shareholders. Our Board recommends that our shareholders re-elect those nominees pursuant to this Proposal 1. It is intended that proxies (other than those directing the proxy holders not to vote for the listed nominees or for one of them) will be voted for the re-election of each such nominee as a Class I director.</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has determined that each of Messrs. Lumbroso and Ofer satisfies the Companies Law non-affiliated director requirements as well as the independent director requirements under the NASDAQ Listing Rules.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Each of the Class I director nominees, whose professional background is provided below, has advised the Company that he is willing, able and ready to serve as a Class I director if re-elected. Additionally, in accordance with the Companies Law, each of those nominees has certified to us that he meets all of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election of either of the nominees.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Set forth below is certain biographical information regarding the background and experience of Messrs. Lumbroso and Ofer:</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Alon Lumbroso </w:t>
      </w:r>
      <w:r>
        <w:rPr>
          <w:rFonts w:ascii="Arial" w:cs="Arial" w:eastAsia="Arial" w:hAnsi="Arial"/>
          <w:sz w:val="16"/>
          <w:szCs w:val="16"/>
          <w:color w:val="auto"/>
        </w:rPr>
        <w:t>has served as a member of our Board since March 2015. Since June 2019, Mr. Lumbroso serves as the CEO of Cardo Systems Ltd.</w:t>
      </w:r>
      <w:r>
        <w:rPr>
          <w:rFonts w:ascii="Arial" w:cs="Arial" w:eastAsia="Arial" w:hAnsi="Arial"/>
          <w:sz w:val="16"/>
          <w:szCs w:val="16"/>
          <w:i w:val="1"/>
          <w:iCs w:val="1"/>
          <w:color w:val="auto"/>
        </w:rPr>
        <w:t xml:space="preserve"> </w:t>
      </w:r>
      <w:r>
        <w:rPr>
          <w:rFonts w:ascii="Arial" w:cs="Arial" w:eastAsia="Arial" w:hAnsi="Arial"/>
          <w:sz w:val="16"/>
          <w:szCs w:val="16"/>
          <w:color w:val="auto"/>
        </w:rPr>
        <w:t>the creator of the world’s leading communication devices for the motorcycle industry. Since June 2015 until August 2017, Mr. Lumbroso has been the chief executive of Dip-Tech Ltd. and from August 2017 until November 2018 served as Managing Director of Dip-Tech that become a subsidiary of Ferro (NYSE: FOE) a leading global functional coatings and color solutions.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Dov Ofer </w:t>
      </w:r>
      <w:r>
        <w:rPr>
          <w:rFonts w:ascii="Arial" w:cs="Arial" w:eastAsia="Arial" w:hAnsi="Arial"/>
          <w:sz w:val="17"/>
          <w:szCs w:val="17"/>
          <w:color w:val="auto"/>
        </w:rPr>
        <w:t>has served as a member of our Board since March 2015 and is a member of our audit and compensation committees. From 2007 to 2013,</w:t>
      </w:r>
      <w:r>
        <w:rPr>
          <w:rFonts w:ascii="Arial" w:cs="Arial" w:eastAsia="Arial" w:hAnsi="Arial"/>
          <w:sz w:val="17"/>
          <w:szCs w:val="17"/>
          <w:i w:val="1"/>
          <w:iCs w:val="1"/>
          <w:color w:val="auto"/>
        </w:rPr>
        <w:t xml:space="preserve"> </w:t>
      </w:r>
      <w:r>
        <w:rPr>
          <w:rFonts w:ascii="Arial" w:cs="Arial" w:eastAsia="Arial" w:hAnsi="Arial"/>
          <w:sz w:val="17"/>
          <w:szCs w:val="17"/>
          <w:color w:val="auto"/>
        </w:rPr>
        <w:t>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Magen Eco-Energy RCA Ltd., vice chairman of Scodix Ltd. and director Stratasys Ltd. (Nasdaq: SSYS). He holds a B.A. in Economics from the Hebrew University in Israel as well as an M.B.A. from the University of California Berkeley in California.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resolutions at the Meeting pursuant to this Proposal 1:</w:t>
      </w:r>
    </w:p>
    <w:p>
      <w:pPr>
        <w:spacing w:after="0" w:line="221" w:lineRule="exact"/>
        <w:rPr>
          <w:sz w:val="20"/>
          <w:szCs w:val="20"/>
          <w:color w:val="auto"/>
        </w:rPr>
      </w:pPr>
    </w:p>
    <w:p>
      <w:pPr>
        <w:ind w:left="980" w:right="240" w:hanging="324"/>
        <w:spacing w:after="0" w:line="26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Alon Lumbroso as a Class I director of Kornit Digital Ltd., for a term of three years that expires at Kornit’s annual general meeting of shareholders in 2022 and upon the due election and qualification of his successor, be, and hereby is, approved in all respects”; and</w:t>
      </w:r>
    </w:p>
    <w:p>
      <w:pPr>
        <w:spacing w:after="0" w:line="176" w:lineRule="exact"/>
        <w:rPr>
          <w:rFonts w:ascii="Arial" w:cs="Arial" w:eastAsia="Arial" w:hAnsi="Arial"/>
          <w:sz w:val="18"/>
          <w:szCs w:val="18"/>
          <w:color w:val="auto"/>
        </w:rPr>
      </w:pPr>
    </w:p>
    <w:p>
      <w:pPr>
        <w:jc w:val="both"/>
        <w:ind w:left="980" w:right="60" w:hanging="324"/>
        <w:spacing w:after="0" w:line="26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Dov Ofer as a Class I director of Kornit Digital Ltd., for a term of three years that expires at Kornit’s annual general meeting of shareholders in 2022 and upon the due election and qualification of his successor, be, and hereby is, approved in all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As is more fully described above (under “Vote Required for Approval of the Proposals”), the vote required for the re-election of each of Mr. Alon Lumbroso and Mr. Dov Ofer as a Class I director is the affirmative vote of the holders of a majority of the voting power present in person or represented by proxy at the Meeting and voting on paragraph (a) or (b), as applicable, of this proposal (excluding abstentions and broker non-votes).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unanimously recommends that you vote “FOR” the re-election of each of the two Class I directors.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TWO CLASS III DIRECTORS TO FILL VACANCIES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 referenced in the “Background” to Proposal 1, two of our existing Class III directors— Messrs. Eli Blatt and Marc Lesnick— have submitted resignation letters that will be effective upon the conclusion of the Meeting. Those resignations will create two vacancies on the Board. Under our Articles of Association, when a director is elected or appointed to fill any such vacancy, he or she serves for the remainder of the present term of the class of directors in which the former director had served. Thus, if elected at the Meeting, our nominees to replace Messrs. Blatt and Lesnick will serve as Class III directors for a two-year period, until the annual meeting of shareholders in 2021, at which all Class III directors are scheduled for election or reelection.</w:t>
      </w:r>
    </w:p>
    <w:p>
      <w:pPr>
        <w:spacing w:after="0" w:line="158"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Board has nominated each of Mr. Stephen Nigro and Mr. Ronen Samuel (our chief executive officer) for initial election to serve as a Class III director for that two-year period, until our annual general meeting of shareholders in 2021 and until the due election and qualification of his successor.</w:t>
      </w:r>
    </w:p>
    <w:p>
      <w:pPr>
        <w:spacing w:after="0" w:line="124"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Board has determined that Mr. Nigro satisfies the independence requirements under the NASDAQ Listing Rules. The Board has furthermore determined that assuming the election of each of the four nominees for director at the Meeting (the two Class I director nominees and two Class III director nominees pursuant to Proposals 1 and 2, respectively), a majority of the Board (five out of nine prospective directors), consisting of Ms. Lauri Hanover, Mr. Alon Lumbroso, Mr. Stephen Nigro, Mr. Yehoshua (Shuki) Nir and Mr. Dov Ofer, is constituted by independent directors under the NASDAQ Listing Rules.</w:t>
      </w:r>
    </w:p>
    <w:p>
      <w:pPr>
        <w:spacing w:after="0" w:line="15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Each of the Class III director nominees, whose professional background is provided below, has advised the Company that he is willing, able and ready to serve as a Class III director if elected. Additionally, in accordance with the Companies Law, each of those nominees has certified to us that he meets all of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election of either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biographical information is provided with respect to Messrs. Nigro and Samuel and is based upon information furnished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by them:</w:t>
      </w:r>
    </w:p>
    <w:p>
      <w:pPr>
        <w:spacing w:after="0" w:line="211" w:lineRule="exact"/>
        <w:rPr>
          <w:sz w:val="20"/>
          <w:szCs w:val="20"/>
          <w:color w:val="auto"/>
        </w:rPr>
      </w:pPr>
    </w:p>
    <w:p>
      <w:pPr>
        <w:ind w:right="40" w:firstLine="638"/>
        <w:spacing w:after="0" w:line="287" w:lineRule="auto"/>
        <w:rPr>
          <w:sz w:val="20"/>
          <w:szCs w:val="20"/>
          <w:color w:val="auto"/>
        </w:rPr>
      </w:pPr>
      <w:r>
        <w:rPr>
          <w:rFonts w:ascii="Arial" w:cs="Arial" w:eastAsia="Arial" w:hAnsi="Arial"/>
          <w:sz w:val="16"/>
          <w:szCs w:val="16"/>
          <w:i w:val="1"/>
          <w:iCs w:val="1"/>
          <w:color w:val="auto"/>
        </w:rPr>
        <w:t xml:space="preserve">Stephen Nigro </w:t>
      </w:r>
      <w:r>
        <w:rPr>
          <w:rFonts w:ascii="Arial" w:cs="Arial" w:eastAsia="Arial" w:hAnsi="Arial"/>
          <w:sz w:val="16"/>
          <w:szCs w:val="16"/>
          <w:color w:val="auto"/>
        </w:rPr>
        <w:t>has served as a strategic advisor to our Company since April 1, 2019. Mr. Nigro retired in early 2019 after 37 years at Hewlett–</w:t>
      </w:r>
      <w:r>
        <w:rPr>
          <w:rFonts w:ascii="Arial" w:cs="Arial" w:eastAsia="Arial" w:hAnsi="Arial"/>
          <w:sz w:val="16"/>
          <w:szCs w:val="16"/>
          <w:i w:val="1"/>
          <w:iCs w:val="1"/>
          <w:color w:val="auto"/>
        </w:rPr>
        <w:t xml:space="preserve"> </w:t>
      </w:r>
      <w:r>
        <w:rPr>
          <w:rFonts w:ascii="Arial" w:cs="Arial" w:eastAsia="Arial" w:hAnsi="Arial"/>
          <w:sz w:val="16"/>
          <w:szCs w:val="16"/>
          <w:color w:val="auto"/>
        </w:rPr>
        <w:t>Packard, or HP, most recently serving as President of HP’s 3D printing business, where he created and scaled a new technology and business, serving as a driving force towards HP’s leadership in both the plastic and metal 3D printing markets. Mr. Nigro currently serves on the steering committee for the Oregon Business Council and is a Board member of iUrbanTeen,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spacing w:after="0" w:line="16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Ronen Samuel </w:t>
      </w:r>
      <w:r>
        <w:rPr>
          <w:rFonts w:ascii="Arial" w:cs="Arial" w:eastAsia="Arial" w:hAnsi="Arial"/>
          <w:sz w:val="16"/>
          <w:szCs w:val="16"/>
          <w:color w:val="auto"/>
        </w:rPr>
        <w:t>has served as our Chief Executive Officer since August 1, 2018. Prior to joining our Company, Mr. Samuel served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at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products/projects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Proposed Resolution</w:t>
      </w:r>
      <w:r>
        <w:rPr>
          <w:rFonts w:ascii="Arial" w:cs="Arial" w:eastAsia="Arial" w:hAnsi="Arial"/>
          <w:sz w:val="18"/>
          <w:szCs w:val="18"/>
          <w:color w:val="auto"/>
        </w:rPr>
        <w: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of the following resolutions at the Meeting pursuant to this Proposal 2:</w:t>
      </w:r>
    </w:p>
    <w:p>
      <w:pPr>
        <w:spacing w:after="0" w:line="221" w:lineRule="exact"/>
        <w:rPr>
          <w:sz w:val="20"/>
          <w:szCs w:val="20"/>
          <w:color w:val="auto"/>
        </w:rPr>
      </w:pPr>
    </w:p>
    <w:p>
      <w:pPr>
        <w:ind w:left="98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election of Mr. Stephen Nigro to fill a vacancy as a Class III director on the Board of Kornit Digital Ltd., for a remaining term of two years that expires at Kornit’s annual general meeting of shareholders in 2021 and upon the due election and qualification of his successor, be, and hereby is, approved in all respects”; and</w:t>
      </w:r>
    </w:p>
    <w:p>
      <w:pPr>
        <w:spacing w:after="0" w:line="176" w:lineRule="exact"/>
        <w:rPr>
          <w:rFonts w:ascii="Arial" w:cs="Arial" w:eastAsia="Arial" w:hAnsi="Arial"/>
          <w:sz w:val="18"/>
          <w:szCs w:val="18"/>
          <w:color w:val="auto"/>
        </w:rPr>
      </w:pPr>
    </w:p>
    <w:p>
      <w:pPr>
        <w:ind w:left="980" w:right="10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election of Mr. Ronen Samuel to fill a vacancy as a Class III director on the Board of Kornit Digital Ltd., for a remaining term of two years that expires at Kornit’s annual general meeting of shareholders in 2021 and upon the due election and qualification of his successor, be, and hereby is, approved in all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As is more fully described above (under “Vote Required for Approval of the Proposals”), the vote required for the election of each of Mr. Stephen Nigro and Mr. Ronen Samuel as a Class III director is the affirmative vote of the holders of a majority of the voting power present in person or represented by proxy at the Meeting and voting on paragraph (a) or (b), as applicable, of this proposal (excluding abstentions and broker non-votes).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unanimously recommends that you vote “FOR” the election of each of the two nominees to serve as Class III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RE-APPOINTMENT OF INDEPENDENT AUDITORS AND APPROVAL OF THEIR ANNUAL REMUNERATION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June 2018, Kost Forer Gabbay &amp; Kasierer, a member of Ernst &amp; Young Global, independent registered public accounting firm, which we refer to as Kost Forer, was appointed by our shareholders as our independent auditors for the fiscal year ended December 31, 2018, and for such additional period until the Meeting. The audit committee of our Board has approved the re-appointment of Kost Forer as our independent auditors for the fiscal year ending December 31, 2019 and for such additional period until the 2020 annual general meeting of shareholders. In furtherance of such approval, the Board has nominated Kost Forer once again for re-appointment as the independent auditors of the Company for the foregoing period of time. Based upon the recommendation of the audit committee and the Board, we are submitting to our shareholders for approval the reappointment of Kost Forer as the Company’s independent auditors for the year ending December 31, 2019 and for the additional period until the annual general meeting to be held in 2020. We are furthermore proposing that our shareholders authorize the Board, with power of delegation to the audit committee, to determine the compensation of the auditors in accordance with the volume and nature of their services.</w:t>
      </w:r>
    </w:p>
    <w:p>
      <w:pPr>
        <w:spacing w:after="0" w:line="18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total compensation that was paid by the Company and its subsidiaries to the Company’s independent auditors, Kost Forer, in each of the previous two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6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0"/>
              </w:rPr>
              <w:t>Year Ended December 31, 2017</w:t>
            </w:r>
          </w:p>
        </w:tc>
        <w:tc>
          <w:tcPr>
            <w:tcW w:w="26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0"/>
              </w:rPr>
              <w:t>Year Ended December 31, 2018</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Percentage</w:t>
            </w:r>
          </w:p>
        </w:tc>
        <w:tc>
          <w:tcPr>
            <w:tcW w:w="28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Arial" w:cs="Arial" w:eastAsia="Arial" w:hAnsi="Arial"/>
                <w:sz w:val="18"/>
                <w:szCs w:val="18"/>
                <w:b w:val="1"/>
                <w:bCs w:val="1"/>
                <w:color w:val="auto"/>
                <w:w w:val="99"/>
              </w:rPr>
              <w:t>(amounts in thousands, US $)</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Audit-Related Fees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All Other Fees</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50"/>
        </w:trPr>
        <w:tc>
          <w:tcPr>
            <w:tcW w:w="3720" w:type="dxa"/>
            <w:vAlign w:val="bottom"/>
            <w:vMerge w:val="continue"/>
            <w:shd w:val="clear" w:color="auto" w:fill="CCEEFF"/>
          </w:tcPr>
          <w:p>
            <w:pPr>
              <w:spacing w:after="0"/>
              <w:rPr>
                <w:sz w:val="21"/>
                <w:szCs w:val="21"/>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13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7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420"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auditors provide, such as consents and assistance with and review of documents filed with the SEC.</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auditors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fees” include fees for services rendered by our independent auditors with respect to government incentives and other matters.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auditors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auditors.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at the Meeting the following resolutions be adopted:</w:t>
      </w:r>
    </w:p>
    <w:p>
      <w:pPr>
        <w:spacing w:after="0" w:line="221"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Company’s independent auditors, Kost Forer Gabbay &amp; Kasierer, a member of Ernst &amp; Young Global, independent registered public accounting firm, be, and hereby are, re-appointed as the independent auditors of the Company for the fiscal year ending December 31, 2019 and for such additional period until the next annual general meeting of shareholders, such re-appointment having been previously approved by the audit committee of the Board.”</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Company’s Board (with power of delegation to the audit committee of the Board) be, and hereby is, authorized to fix the remuneration of the independent auditors in accordance with the volume and nature of their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approval of Proposal 3 requires the affirmative vote of the holders of a majority of the ordinary shares present, in person or by proxy, and voting on the proposal (excluding abstentions and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unanimously recommends that you vote “FOR” (i) the re-appointment of Kost Forer Gabbay &amp; Kasierer, a member of Ernst &amp; Young Global, independent registered public accounting firm, as the independent auditors of the Company for the fiscal year ending December 31, 2019 and for such additional period until the next annual general meeting of shareholders and (ii) the authorization of the Board to fix the remuneration of the independent auditors in accordance with the volume and nature of their services.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AND CLARIFICATION OF CERTAIN EMPLOYMENT TERMS OF OUR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180" w:firstLine="638"/>
        <w:spacing w:after="0" w:line="277" w:lineRule="auto"/>
        <w:rPr>
          <w:sz w:val="20"/>
          <w:szCs w:val="20"/>
          <w:color w:val="auto"/>
        </w:rPr>
      </w:pPr>
      <w:r>
        <w:rPr>
          <w:rFonts w:ascii="Arial" w:cs="Arial" w:eastAsia="Arial" w:hAnsi="Arial"/>
          <w:sz w:val="18"/>
          <w:szCs w:val="18"/>
          <w:color w:val="auto"/>
        </w:rPr>
        <w:t>Under the Companies Law, the terms of service of the chief executive officer of a public company, or any changes to those terms, generally require the approval of the compensation committee, the board of directors and the shareholders.</w:t>
      </w:r>
    </w:p>
    <w:p>
      <w:pPr>
        <w:spacing w:after="0" w:line="170" w:lineRule="exact"/>
        <w:rPr>
          <w:sz w:val="20"/>
          <w:szCs w:val="20"/>
          <w:color w:val="auto"/>
        </w:rPr>
      </w:pPr>
    </w:p>
    <w:p>
      <w:pPr>
        <w:ind w:right="160" w:firstLine="638"/>
        <w:spacing w:after="0" w:line="255" w:lineRule="auto"/>
        <w:rPr>
          <w:sz w:val="20"/>
          <w:szCs w:val="20"/>
          <w:color w:val="auto"/>
        </w:rPr>
      </w:pPr>
      <w:r>
        <w:rPr>
          <w:rFonts w:ascii="Arial" w:cs="Arial" w:eastAsia="Arial" w:hAnsi="Arial"/>
          <w:sz w:val="18"/>
          <w:szCs w:val="18"/>
          <w:color w:val="auto"/>
        </w:rPr>
        <w:t>In June 2018, we entered into an employment agreement with Mr. Ronen Samuel, our chief executive officer, or CEO, which we refer to as the Employment Agreement. Under the Employment Agreement, which our shareholders approved at our 2018 annual general meeting of shareholders, held on July 19, 2018, Mr. Samuel is entitled to receive a base salary, which is currently set at NIS 110,000 per month (approximately US $31,100, as per the exchange rate in effect on July 15, 2019). Mr. Samuel is also entitled to an annual bonus of up to twelve monthly salaries, consisting of (i) up to seven months’ salary, if he meets specified targets agreed upon by our Board and Mr. Samuel, and (ii) up to five months of additional salary for exceeding those specified targets.</w:t>
      </w:r>
    </w:p>
    <w:p>
      <w:pPr>
        <w:spacing w:after="0" w:line="193" w:lineRule="exact"/>
        <w:rPr>
          <w:sz w:val="20"/>
          <w:szCs w:val="20"/>
          <w:color w:val="auto"/>
        </w:rPr>
      </w:pPr>
    </w:p>
    <w:p>
      <w:pPr>
        <w:ind w:right="260" w:firstLine="638"/>
        <w:spacing w:after="0" w:line="277" w:lineRule="auto"/>
        <w:rPr>
          <w:sz w:val="20"/>
          <w:szCs w:val="20"/>
          <w:color w:val="auto"/>
        </w:rPr>
      </w:pPr>
      <w:r>
        <w:rPr>
          <w:rFonts w:ascii="Arial" w:cs="Arial" w:eastAsia="Arial" w:hAnsi="Arial"/>
          <w:sz w:val="18"/>
          <w:szCs w:val="18"/>
          <w:color w:val="auto"/>
        </w:rPr>
        <w:t>When reviewing the compensation package previously approved for Mr. Samuel, our compensation committee of the Board, and the Board, noted two things:</w:t>
      </w:r>
    </w:p>
    <w:p>
      <w:pPr>
        <w:spacing w:after="0" w:line="170" w:lineRule="exact"/>
        <w:rPr>
          <w:sz w:val="20"/>
          <w:szCs w:val="20"/>
          <w:color w:val="auto"/>
        </w:rPr>
      </w:pPr>
    </w:p>
    <w:p>
      <w:pPr>
        <w:ind w:right="40" w:firstLine="646"/>
        <w:spacing w:after="0" w:line="290" w:lineRule="auto"/>
        <w:tabs>
          <w:tab w:leader="none" w:pos="89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intention of the compensation committee of our Board, and the Board, was to hire Mr. Samuel on terms of employment similar to those of Mr. Gabi Seligsohn, our previous CEO. However, under the terms of Mr. Samuel’s employment agreement, the Board does not have the ability previously granted to it with respect to Mr. Seligsohn, to grant a bonus based on achievements other than the targets set by the compensation committee and Board in the management bonus plan established at the beginning of each year in accordance with our Compensation Policy. That limits the ability of our compensation committee and Board, in their year-end review of Mr. Samuel, to reward him for his performance beyond the relevant predetermined specified targets, if warranted for a particular year. The compensation committee and Board have therefore ratified, and propose that our shareholders likewise ratify, clarifying Mr. Samuel’s bonus structure so that it matches what had been provided previously (and approved by our shareholders) for Mr. Seligsohn— to allow for up to three months’ base salary to be awarded annually as an additional bonus for achievements not included in the annual management bonus plan.</w:t>
      </w:r>
    </w:p>
    <w:p>
      <w:pPr>
        <w:spacing w:after="0" w:line="166" w:lineRule="exact"/>
        <w:rPr>
          <w:sz w:val="20"/>
          <w:szCs w:val="20"/>
          <w:color w:val="auto"/>
        </w:rPr>
      </w:pPr>
    </w:p>
    <w:p>
      <w:pPr>
        <w:jc w:val="both"/>
        <w:ind w:left="980" w:hanging="324"/>
        <w:spacing w:after="0" w:line="27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Upon applying that annual, year-end, achievements-based assessment to Mr. Samuel’s performance in 2018, our compensation committee and Board determined that he should be awarded a bonus of NIS 137,000 (approximately US $38,600 as of July 15, 2019). That cash bonus amount is equal to 1.25 times Mr. Samuel’s monthly compensation. As support for their assessment, the compensation committee and Board cited Mr. Samuel’s leadership of the outstanding transition for our Company during the period following his appointment to replace Mr. Gabi Seligsohn as our chief executive officer, which was significant for our achievement of our long-term goals.</w:t>
      </w:r>
    </w:p>
    <w:p>
      <w:pPr>
        <w:spacing w:after="0" w:line="173" w:lineRule="exact"/>
        <w:rPr>
          <w:sz w:val="20"/>
          <w:szCs w:val="20"/>
          <w:color w:val="auto"/>
        </w:rPr>
      </w:pPr>
    </w:p>
    <w:p>
      <w:pPr>
        <w:ind w:right="120" w:firstLine="646"/>
        <w:spacing w:after="0" w:line="254" w:lineRule="auto"/>
        <w:tabs>
          <w:tab w:leader="none" w:pos="8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Samuel’s terms of employment, as approved by the compensation committee and the Board, provide for the acceleration of the vesting of one-half of his then-unvested equity upon the occurrence of a Change of Control (as defined in the Employment Agreement and in Mr. Samuel’s RSU grant agreement) that occurs at least 24 months following the commencement of Mr. Samuel’s employment and that is followed by termination of his employment within six months of the Change of Control, either (i) by the Company, other than for cause, or (ii) by Mr. Samuel, for good reason— i.e., a material diminishment in the terms of his employment or responsibilities, or a reduction in his compensation terms or benefits. We did not, however, highlight those acceleration provisions in the proxy statement sent to our shareholders in preparation for the July 2018 annual shareholder meeting at which Mr. Samuel’s Employment Agreement was approved. Our compensation committee and Board would therefore like our shareholders to ratify those clarified terms of accelerated equity vesting at the Meeting.</w:t>
      </w:r>
    </w:p>
    <w:p>
      <w:pPr>
        <w:spacing w:after="0" w:line="192" w:lineRule="exact"/>
        <w:rPr>
          <w:sz w:val="20"/>
          <w:szCs w:val="20"/>
          <w:color w:val="auto"/>
        </w:rPr>
      </w:pPr>
    </w:p>
    <w:p>
      <w:pPr>
        <w:jc w:val="both"/>
        <w:ind w:right="140" w:firstLine="638"/>
        <w:spacing w:after="0" w:line="264" w:lineRule="auto"/>
        <w:rPr>
          <w:sz w:val="20"/>
          <w:szCs w:val="20"/>
          <w:color w:val="auto"/>
        </w:rPr>
      </w:pPr>
      <w:r>
        <w:rPr>
          <w:rFonts w:ascii="Arial" w:cs="Arial" w:eastAsia="Arial" w:hAnsi="Arial"/>
          <w:sz w:val="18"/>
          <w:szCs w:val="18"/>
          <w:color w:val="auto"/>
        </w:rPr>
        <w:t>Based on the above-described review of Mr. Samuel’s compensation terms, our compensation committee and Board have therefore ratified, and are proposing that our shareholders likewise ratify, the above-described clarifications to the terms of the Employment Agreement, which we refer to collectively as the Clarifications, pursuant to which:</w:t>
      </w:r>
    </w:p>
    <w:p>
      <w:pPr>
        <w:spacing w:after="0" w:line="181" w:lineRule="exact"/>
        <w:rPr>
          <w:sz w:val="20"/>
          <w:szCs w:val="20"/>
          <w:color w:val="auto"/>
        </w:rPr>
      </w:pPr>
    </w:p>
    <w:p>
      <w:pPr>
        <w:ind w:left="980" w:right="2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Samuel may be eligible to receive annually, in addition to the bonus under the Management Bonus Plan, a bonus of up to three months’ worth of base salary based on achievements to be determined by the compensation committee and Board at or following year-end, which, for 2018, would yield a bonus of NIS 137,000 (approximately US $38,600 as of July 15, 2019); and</w:t>
      </w:r>
    </w:p>
    <w:p>
      <w:pPr>
        <w:spacing w:after="0" w:line="208" w:lineRule="exact"/>
        <w:rPr>
          <w:rFonts w:ascii="Arial" w:cs="Arial" w:eastAsia="Arial" w:hAnsi="Arial"/>
          <w:sz w:val="18"/>
          <w:szCs w:val="18"/>
          <w:color w:val="auto"/>
        </w:rPr>
      </w:pPr>
    </w:p>
    <w:p>
      <w:pPr>
        <w:ind w:left="980" w:right="220" w:hanging="324"/>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vesting of one-half of Mr. Samuel's then-unvested equity securities granted to him by our Company will fully accelerate upon a Change of Control occurring after August 2020 that is followed by termination of Mr. Samuel’s employment within six months thereof, either (i) by the Company, other than for cause, or (ii) by Mr. Samuel, for good reason— i.e., a material diminishment in the terms of his employment or responsibilities, or a reduction in his compensation terms or benefits.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640"/>
        <w:spacing w:after="0"/>
        <w:rPr>
          <w:sz w:val="20"/>
          <w:szCs w:val="20"/>
          <w:color w:val="auto"/>
        </w:rPr>
      </w:pPr>
      <w:r>
        <w:rPr>
          <w:rFonts w:ascii="Arial" w:cs="Arial" w:eastAsia="Arial" w:hAnsi="Arial"/>
          <w:sz w:val="17"/>
          <w:szCs w:val="17"/>
          <w:color w:val="auto"/>
        </w:rPr>
        <w:t>Our compensation committee and our Board have determined that the proposed Clarifications are consistent with our Compensation Policy.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at the Meeting of the following resolutions pursuant to Proposals 4(a)-(b):</w:t>
      </w:r>
    </w:p>
    <w:p>
      <w:pPr>
        <w:spacing w:after="0" w:line="221" w:lineRule="exact"/>
        <w:rPr>
          <w:sz w:val="20"/>
          <w:szCs w:val="20"/>
          <w:color w:val="auto"/>
        </w:rPr>
      </w:pPr>
    </w:p>
    <w:p>
      <w:pPr>
        <w:ind w:right="120" w:firstLine="656"/>
        <w:spacing w:after="0" w:line="281" w:lineRule="auto"/>
        <w:tabs>
          <w:tab w:leader="none" w:pos="893"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Clarification of the bonus provisions for Mr. Ronen Samuel, our chief executive officer, to include (in addition to his bonus under the management bonus plan) a bonus of up to three months’ worth of base salary based on achievements to be determined by the compensation committee and Board at or following year-end, which, for 2018, would yield a bonus of NIS 137,000 (approximately US $38,600 as of July 15, 2019), as described in Proposal 4(a) in the Proxy Statement relating to the Meeting, be, and hereby is, ratified in all respects.”</w:t>
      </w:r>
    </w:p>
    <w:p>
      <w:pPr>
        <w:spacing w:after="0" w:line="164" w:lineRule="exact"/>
        <w:rPr>
          <w:rFonts w:ascii="Arial" w:cs="Arial" w:eastAsia="Arial" w:hAnsi="Arial"/>
          <w:sz w:val="17"/>
          <w:szCs w:val="17"/>
          <w:color w:val="auto"/>
        </w:rPr>
      </w:pPr>
    </w:p>
    <w:p>
      <w:pPr>
        <w:ind w:right="40" w:firstLine="656"/>
        <w:spacing w:after="0" w:line="261"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Clarification of the vesting provisions for the equity granted by our Company to Mr. Ronen Samuel, our chief executive officer, such that the vesting of one-half of the then-unvested equity accelerates upon a Change of Control occurring after August 2020 that is followed by termination of Mr. Samuel’s employment within six months thereof, subject to the other conditions described in Proposal 4 in the Proxy Statement relating to the Meeting, be, and hereby is, ratified in all respects.”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vote required for approval of each of Proposals 4(a) and 4(b) is the affirmative vote of the holders of a majority of the voting power present in person or represented by proxy at the Meeting and voting on the proposal (excluding abstentions and broker non-votes).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under the Companies Law, the approval of the ratification and clarification of the above-described compensation terms of our CEO under each of Proposals 4(a) and 4(b) requires that either of the following two voting conditions be met as part of the approval by a majority of shares present and voting thereon:</w:t>
      </w:r>
    </w:p>
    <w:p>
      <w:pPr>
        <w:spacing w:after="0" w:line="181" w:lineRule="exact"/>
        <w:rPr>
          <w:sz w:val="20"/>
          <w:szCs w:val="20"/>
          <w:color w:val="auto"/>
        </w:rPr>
      </w:pPr>
    </w:p>
    <w:p>
      <w:pPr>
        <w:ind w:left="980" w:right="6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majority voted in favor of those compensation terms includes a majority of the shares held by shareholders who are not controlling shareholders and do not have a conflict of interest (referred to under the Companies Law as a “personal interest”) in the approval of those terms that are voted at the Meeting (excluding abstentions and broker non-votes); or</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those compensation terms must not exceed 2% of the aggregate voting power in the Company.</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Please see “Vote Required for Approval of the Proposals” above in this Proxy Statement for an explanation as to what constitutes a controlling shareholder and/or a conflict of interest with respect to your vote on Proposals 4(a) and 4(b).</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A shareholder must inform us before the vote (or if voting by proxy or voting instruction form, indicate in the proxy card or voting instruction form) whether or not such shareholder is a controlling shareholder or has a conflict of interest in the approval of Proposals 4(a) and 4(b), and failure to do so disqualifies the shareholder from participating in the vote on the relevant proposal. </w:t>
      </w:r>
      <w:r>
        <w:rPr>
          <w:rFonts w:ascii="Arial" w:cs="Arial" w:eastAsia="Arial" w:hAnsi="Arial"/>
          <w:sz w:val="17"/>
          <w:szCs w:val="17"/>
          <w:b w:val="1"/>
          <w:bCs w:val="1"/>
          <w:color w:val="auto"/>
        </w:rPr>
        <w:t>In order to confirm that you are not a controlling shareholder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that you do not have a conflict of interest with respect to the approval of these proposals (and to therefore be counted towards or against the special majority required for approval of the proposals), you must check the box “FOR” in Items 4(a)A and 4(b)A on the accompanying proxy card or voting instruction form when you record your vote on Proposals 4(a) and 4(b), respectively. </w:t>
      </w:r>
      <w:r>
        <w:rPr>
          <w:rFonts w:ascii="Arial" w:cs="Arial" w:eastAsia="Arial" w:hAnsi="Arial"/>
          <w:sz w:val="17"/>
          <w:szCs w:val="17"/>
          <w:color w:val="auto"/>
        </w:rPr>
        <w:t>If you believe that you, or a related party of yours, is a</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controlling shareholder or has such a conflict of interest and you wish to participate in the vote on Proposal 4(a) and/or 4(b) (as applicable), you should instead check the box “AGAINST” in Item 4A and/or 4(b) (as applicable) on the enclosed proxy card or voting instruction form. In that case, your vote will be counted towards determining whether an ordinary majority has been received in favor of Proposal 4(a) or 4(b) (as applicable), but will not be counted towards determining whether a special majority has been achieved for approval of that proposal.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right="500" w:firstLine="638"/>
        <w:spacing w:after="0" w:line="277" w:lineRule="auto"/>
        <w:rPr>
          <w:sz w:val="20"/>
          <w:szCs w:val="20"/>
          <w:color w:val="auto"/>
        </w:rPr>
      </w:pPr>
      <w:r>
        <w:rPr>
          <w:rFonts w:ascii="Arial" w:cs="Arial" w:eastAsia="Arial" w:hAnsi="Arial"/>
          <w:sz w:val="18"/>
          <w:szCs w:val="18"/>
          <w:color w:val="auto"/>
        </w:rPr>
        <w:t>Our compensation committee and Board unanimously recommend that you vote in favor of the ratification of the proposed Clarifications with respect to Mr. Samuel’s employment terms.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 ONE-TIME GRANT OF OPTIONS FOR OUR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11" w:lineRule="exact"/>
        <w:rPr>
          <w:sz w:val="20"/>
          <w:szCs w:val="20"/>
          <w:color w:val="auto"/>
        </w:rPr>
      </w:pPr>
    </w:p>
    <w:p>
      <w:pPr>
        <w:ind w:firstLine="638"/>
        <w:spacing w:after="0" w:line="270" w:lineRule="auto"/>
        <w:rPr>
          <w:sz w:val="20"/>
          <w:szCs w:val="20"/>
          <w:color w:val="auto"/>
        </w:rPr>
      </w:pPr>
      <w:r>
        <w:rPr>
          <w:rFonts w:ascii="Arial" w:cs="Arial" w:eastAsia="Arial" w:hAnsi="Arial"/>
          <w:sz w:val="17"/>
          <w:szCs w:val="17"/>
          <w:color w:val="auto"/>
        </w:rPr>
        <w:t>Under our Compensation Policy, our Company may grant to our executive officers equity awards— including options to purchase ordinary shares— under our 2015 Incentive Compensation Plan, or the 2015 Plan, and/or under such other equity plans that we may adopt from time to time. In light of the growth of our Company’s operations, as reflected in the substantial growth of our market capitalization, each of our compensation committee and our Board has determined that it is an appropriate, long-term incentive-based compensatory measure to grant to our CEO, Mr. Ronen Samuel, a special one-time equity award in the form of options to purchase 100,000 ordinary shares (the terms of which are described below). The compensation committee and Board believe that the nature of the proposed grant— options, the value of which is tied to the appreciation of the market price of our ordinary shares— appropriately aligns the interests of our shareholders with those of Mr. Samuel, the proposed grantee, and encourages him to continue to enhance shareholder value. The compensation committee and Board furthermore believe that the terms of the proposed options (as further described below), which include a four-year vesting period during which the grantee must remain employed as our CEO in order to continue to vest, require a long-term commitment by the grantee to our Company, and by extension, to the best interest of our shareholders.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terms of the proposed options award, which would be granted pursuant to Mr. Samuel’s employment terms and our 2015 Plan, are as follows:</w:t>
      </w:r>
    </w:p>
    <w:p>
      <w:pPr>
        <w:spacing w:after="0" w:line="24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options will be granted as of the date of the Meeting;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options will have an exercise price equal to the closing sales price per share of our ordinary shares on the Nasdaq Global Select Market on the date of grant;</w:t>
      </w:r>
    </w:p>
    <w:p>
      <w:pPr>
        <w:spacing w:after="0" w:line="170" w:lineRule="exact"/>
        <w:rPr>
          <w:rFonts w:ascii="Arial" w:cs="Arial" w:eastAsia="Arial" w:hAnsi="Arial"/>
          <w:sz w:val="18"/>
          <w:szCs w:val="18"/>
          <w:color w:val="auto"/>
        </w:rPr>
      </w:pPr>
    </w:p>
    <w:p>
      <w:pPr>
        <w:ind w:left="980" w:right="60" w:hanging="324"/>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Mr. Samuel’s continued employment as our CEO, the options will vest over the course of a four-year period commencing on the grant date, with 25% of the options vesting on the first anniversary of the grant date, followed by quarterly vesting thereafter of 6.25% of the options at the end of each quarter of continuous employment as CEO over the following 12 quarters;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options will have a term expiring ten years from the date of grant, unless earlier terminated in accordance with the 2015 Plan;</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options will be exercisable for one year following Mr. Samuel’s termination of service as CEO of our Company, subject to the ten-year expiration date described in the previous bullet-point;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one-half of the options then unvested (if any), shall become fully vested and exercisable upon a Change of Control (in the same manner, and subject to the same conditions, as are described in Proposal 4(b) above) ;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options will be subject to other terms of the 2015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our compensation committee and Board has confirmed that the proposed options grant is consistent with the terms of the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 pursuant to this Proposal 6:</w:t>
      </w:r>
    </w:p>
    <w:p>
      <w:pPr>
        <w:spacing w:after="0" w:line="22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a one-time, special grant of options to purchase 100,000 ordinary shares to Mr. Ronen Samuel, the Company’s CEO, subject to the terms described in Proposal 5 in the Proxy Statement relating to the Meeting, be, and hereby is, approved.”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vote required for approval of the special, one-time options grant under Proposal 5 is the affirmative vote of the holders of a majority of the voting power present in person or represented by proxy at the Meeting and voting on this proposal (excluding abstentions and broker non-votes).</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under the Companies Law, the approval of the special, one-time options grant under this Proposal 5 requires that either of the following two voting conditions be met as part of the approval by a majority of shares present and voting thereon:</w:t>
      </w:r>
    </w:p>
    <w:p>
      <w:pPr>
        <w:spacing w:after="0" w:line="170" w:lineRule="exact"/>
        <w:rPr>
          <w:sz w:val="20"/>
          <w:szCs w:val="20"/>
          <w:color w:val="auto"/>
        </w:rPr>
      </w:pPr>
    </w:p>
    <w:p>
      <w:pPr>
        <w:ind w:left="980" w:right="6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majority voted in favor of the one-time options grant includes a majority of the shares held by shareholders who are not controlling shareholders and do not have a conflict of interest (referred to under the Companies Law as a “personal interest”) in the approval of the options grant that are voted at the Meeting (which excludes abstentions and broker non-votes); or</w:t>
      </w:r>
    </w:p>
    <w:p>
      <w:pPr>
        <w:spacing w:after="0" w:line="181"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options grant must not exceed 2% of the aggregate voting power in the Company.</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Please see “Vote Required for Approval of the Proposals” above in this Proxy Statement for an explanation as to what constitutes a controlling shareholder and/or a conflict of interest with respect to your vote on this proposal.</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A shareholder must inform us before the vote (or if voting by proxy or voting instruction form, indicate via the proxy card or voting instruction form) whether or not such shareholder is a controlling shareholder or has a conflict of interest in the approval of Proposal 5, and failure to do so disqualifies the shareholder from participating in the applicable vote. </w:t>
      </w:r>
      <w:r>
        <w:rPr>
          <w:rFonts w:ascii="Arial" w:cs="Arial" w:eastAsia="Arial" w:hAnsi="Arial"/>
          <w:sz w:val="16"/>
          <w:szCs w:val="16"/>
          <w:b w:val="1"/>
          <w:bCs w:val="1"/>
          <w:color w:val="auto"/>
        </w:rPr>
        <w:t>In order to confirm that you are not a controlling shareholder and that you do not have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conflict of interest with respect to the approval of Proposal 5 (and to therefore be counted towards or against the special majority required for approval of Proposal 5), you must check the box “FOR” in Item 5A on the accompanying proxy card or voting instruction form when you record your vote on Proposal 5. </w:t>
      </w:r>
      <w:r>
        <w:rPr>
          <w:rFonts w:ascii="Arial" w:cs="Arial" w:eastAsia="Arial" w:hAnsi="Arial"/>
          <w:sz w:val="16"/>
          <w:szCs w:val="16"/>
          <w:color w:val="auto"/>
        </w:rPr>
        <w:t>If you believe that you, or a related party of yours, is a controlling shareholder or has such a conflict of interest and you wish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the vote on Proposal 5, you should instead check the box “AGAINST” in Item 5A on the enclosed proxy card or voting instruction form. In that case, your vote on Proposal 5 will be counted towards determining whether an ordinary majority has been received in favor or against the proposal, but will not be counted towards determining whether a special majority has been achieved for approval of the proposal.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compensation committee and Board unanimously recommend that you vote in favor of the special one-time options grant to be awarded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PRESENTATION AND DISCUSSION OF AUDITED ANNUAL FINANCIAL STATEMENTS</w:t>
      </w:r>
    </w:p>
    <w:p>
      <w:pPr>
        <w:spacing w:after="0" w:line="229" w:lineRule="exact"/>
        <w:rPr>
          <w:sz w:val="20"/>
          <w:szCs w:val="20"/>
          <w:color w:val="auto"/>
        </w:rPr>
      </w:pPr>
    </w:p>
    <w:p>
      <w:pPr>
        <w:ind w:right="60" w:firstLine="638"/>
        <w:spacing w:after="0" w:line="259" w:lineRule="auto"/>
        <w:rPr>
          <w:sz w:val="20"/>
          <w:szCs w:val="20"/>
          <w:color w:val="auto"/>
        </w:rPr>
      </w:pPr>
      <w:r>
        <w:rPr>
          <w:rFonts w:ascii="Arial" w:cs="Arial" w:eastAsia="Arial" w:hAnsi="Arial"/>
          <w:sz w:val="18"/>
          <w:szCs w:val="18"/>
          <w:color w:val="auto"/>
        </w:rPr>
        <w:t>In addition to considering the foregoing agenda items at the Meeting, we will also present our audited consolidated financial statements for the fiscal year ended December 31, 2018. A copy of the 2018 Form 20-F— which contains those audited consolidated financial statements— is available to our shareholders through the SEC website, www.sec.gov, and at the Investor Relations section of our website at http://ir.kornit.com. Neither of such websites is a part of this Proxy Statement.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60"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2019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2018 Form 20-F, filed with the SEC on March 26, 2019, is available for viewing and downloading at the SEC’s website at www.sec.gov, as well as at the Investor Relations section of our website at http://ir.kornit.com.</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may be inspected without charge at the SEC’s Public Reference Room at 100 F Street, N.E., Room 1580 Washington, D.C. 20549. Information on the operation of the Public Reference Room can be obtained by calling the SEC at 1-800-SEC-0330. Our SEC filings are also available to the public on the SEC’s website at www.sec.gov. As a foreign private issuer, we are exempt from the rules under the Exchange Act related to the furnishing and content of proxy statements. The circulation of this Proxy Statement should not be taken as an admission that we are subject to those proxy rules.</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18,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99.2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2019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22,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undersigned hereby constitutes and appoints Guy Avidan and Nitsan Deutsch, and each of them, the true and lawful attorneys, agents and proxies of the undersigned, with full power of substitution to each of them, to represent and to vote, on behalf of the undersigned, all of the Ordinary Shares of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held of record in the name of the undersigned at the close of business on Friday, July 19, 2019, at the 2019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to be held at the executive offices of the Company, 12 Ha’Amal Street, Park Afek, Rosh Ha’Ayin, Israel, on Thursday, August 22, 2019 at 12:00 p.m. (Israel time), and at any and all adjournments or postponements thereof, on the matters listed on the reverse side, which are more fully described in the Notice of 2019 Annual General Meeting of Shareholders of the Company and accompanying Proxy Statement relating to the Meeting.</w:t>
      </w:r>
    </w:p>
    <w:p>
      <w:pPr>
        <w:spacing w:after="0" w:line="189" w:lineRule="exact"/>
        <w:rPr>
          <w:sz w:val="20"/>
          <w:szCs w:val="20"/>
          <w:color w:val="auto"/>
        </w:rPr>
      </w:pPr>
    </w:p>
    <w:p>
      <w:pPr>
        <w:ind w:right="560" w:firstLine="383"/>
        <w:spacing w:after="0" w:line="277" w:lineRule="auto"/>
        <w:rPr>
          <w:sz w:val="20"/>
          <w:szCs w:val="20"/>
          <w:color w:val="auto"/>
        </w:rPr>
      </w:pPr>
      <w:r>
        <w:rPr>
          <w:rFonts w:ascii="Arial" w:cs="Arial" w:eastAsia="Arial" w:hAnsi="Arial"/>
          <w:sz w:val="18"/>
          <w:szCs w:val="18"/>
          <w:color w:val="auto"/>
        </w:rPr>
        <w:t>The undersigned acknowledges receipt of the Notice of 2019 Annual General Meeting of Shareholders and Proxy Statement of the Company (the “</w:t>
      </w:r>
      <w:r>
        <w:rPr>
          <w:rFonts w:ascii="Arial" w:cs="Arial" w:eastAsia="Arial" w:hAnsi="Arial"/>
          <w:sz w:val="18"/>
          <w:szCs w:val="18"/>
          <w:b w:val="1"/>
          <w:bCs w:val="1"/>
          <w:color w:val="auto"/>
        </w:rPr>
        <w:t>Proxy Statement</w:t>
      </w:r>
      <w:r>
        <w:rPr>
          <w:rFonts w:ascii="Arial" w:cs="Arial" w:eastAsia="Arial" w:hAnsi="Arial"/>
          <w:sz w:val="18"/>
          <w:szCs w:val="18"/>
          <w:color w:val="auto"/>
        </w:rPr>
        <w:t>”) relating to the Meeting.</w:t>
      </w:r>
    </w:p>
    <w:p>
      <w:pPr>
        <w:spacing w:after="0" w:line="170" w:lineRule="exact"/>
        <w:rPr>
          <w:sz w:val="20"/>
          <w:szCs w:val="20"/>
          <w:color w:val="auto"/>
        </w:rPr>
      </w:pPr>
    </w:p>
    <w:p>
      <w:pPr>
        <w:ind w:right="40" w:firstLine="383"/>
        <w:spacing w:after="0" w:line="276" w:lineRule="auto"/>
        <w:rPr>
          <w:sz w:val="20"/>
          <w:szCs w:val="20"/>
          <w:color w:val="auto"/>
        </w:rPr>
      </w:pPr>
      <w:r>
        <w:rPr>
          <w:rFonts w:ascii="Arial" w:cs="Arial" w:eastAsia="Arial" w:hAnsi="Arial"/>
          <w:sz w:val="17"/>
          <w:szCs w:val="17"/>
          <w:color w:val="auto"/>
        </w:rPr>
        <w:t>This proxy, when properly executed, will be voted in the manner directed herein by the undersigned. If no direction is made with respect to any proposal (other than Proposals 4(a), 4(b) and 5), this proxy will be voted FOR each such proposal and in such manner as the holder of the proxy may determine with respect to any other business as may properly come before the Meeting or all and any adjournments or postponements thereof. If no direction is made with respect to Proposal 4(a), 4(b) or 5, the undersigned will be deemed to have not participated in the voting on such proposal (unless the undersigned completes Items 4(a)A, 4(b)A or 5A, in which case this proxy will be voted FOR Proposal 4(a), 4(b) or 5, as applicable).</w:t>
      </w:r>
    </w:p>
    <w:p>
      <w:pPr>
        <w:spacing w:after="0" w:line="169" w:lineRule="exact"/>
        <w:rPr>
          <w:sz w:val="20"/>
          <w:szCs w:val="20"/>
          <w:color w:val="auto"/>
        </w:rPr>
      </w:pPr>
    </w:p>
    <w:p>
      <w:pPr>
        <w:ind w:firstLine="383"/>
        <w:spacing w:after="0" w:line="258" w:lineRule="auto"/>
        <w:rPr>
          <w:sz w:val="20"/>
          <w:szCs w:val="20"/>
          <w:color w:val="auto"/>
        </w:rPr>
      </w:pPr>
      <w:r>
        <w:rPr>
          <w:rFonts w:ascii="Arial" w:cs="Arial" w:eastAsia="Arial" w:hAnsi="Arial"/>
          <w:sz w:val="18"/>
          <w:szCs w:val="18"/>
          <w:b w:val="1"/>
          <w:bCs w:val="1"/>
          <w:color w:val="auto"/>
        </w:rPr>
        <w:t>IMPORTANT NOTE: The vote under this proxy will not be counted towards or against the majority required for the approval of Proposal 4(a), 4(b) or Proposal 5 unless the undersigned indicates that (i) he, she or it is NOT a controlling shareholder and DOES NOT have a conflict of interest in the approval of Proposal 4(a), 4(b) or 5, by checking the box “FOR” Items 4(a)A, 4(b)A and/or 5A on the reverse side, or (ii) he, she or it is a controlling shareholder or has a conflict of interest in the approval of Proposal 4(a), 4(b) or 5, by checking the box “AGAINST” Items 4(a)A, 4(b)A and/or 5A on the reverse side.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6"/>
          <w:szCs w:val="16"/>
          <w:b w:val="1"/>
          <w:bCs w:val="1"/>
          <w:color w:val="auto"/>
        </w:rPr>
        <w:t>2019 ANNUAL GENERAL MEETING OF SHAREHOLDERS OF</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KORNIT DIGITAL LTD.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August 22, 2019</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Please date, sign and mail your proxy card in the envelope provided as soon as possible.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↓Please detach along perforated line and mail in envelope.↓</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p>
    <w:p>
      <w:pPr>
        <w:spacing w:after="0" w:line="19" w:lineRule="exact"/>
        <w:rPr>
          <w:sz w:val="20"/>
          <w:szCs w:val="20"/>
          <w:color w:val="auto"/>
        </w:rPr>
      </w:pPr>
    </w:p>
    <w:p>
      <w:pPr>
        <w:jc w:val="center"/>
        <w:ind w:left="80" w:right="60"/>
        <w:spacing w:after="0" w:line="234" w:lineRule="exact"/>
        <w:rPr>
          <w:sz w:val="20"/>
          <w:szCs w:val="20"/>
          <w:color w:val="auto"/>
        </w:rPr>
      </w:pPr>
      <w:r>
        <w:rPr>
          <w:rFonts w:ascii="Arial" w:cs="Arial" w:eastAsia="Arial" w:hAnsi="Arial"/>
          <w:sz w:val="16"/>
          <w:szCs w:val="16"/>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647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46620" cy="647446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360" w:type="dxa"/>
            <w:vAlign w:val="bottom"/>
            <w:gridSpan w:val="3"/>
          </w:tcPr>
          <w:p>
            <w:pPr>
              <w:spacing w:after="0"/>
              <w:rPr>
                <w:sz w:val="20"/>
                <w:szCs w:val="20"/>
                <w:color w:val="auto"/>
              </w:rPr>
            </w:pPr>
            <w:r>
              <w:rPr>
                <w:rFonts w:ascii="Arial" w:cs="Arial" w:eastAsia="Arial" w:hAnsi="Arial"/>
                <w:sz w:val="14"/>
                <w:szCs w:val="14"/>
                <w:color w:val="auto"/>
              </w:rPr>
              <w:t>Important Instructions for Items 4(a)A, 4(b)A and 5A relating to</w:t>
            </w:r>
          </w:p>
        </w:tc>
        <w:tc>
          <w:tcPr>
            <w:tcW w:w="260" w:type="dxa"/>
            <w:vAlign w:val="bottom"/>
          </w:tcPr>
          <w:p>
            <w:pPr>
              <w:ind w:left="120"/>
              <w:spacing w:after="0"/>
              <w:rPr>
                <w:sz w:val="20"/>
                <w:szCs w:val="20"/>
                <w:color w:val="auto"/>
              </w:rPr>
            </w:pPr>
            <w:r>
              <w:rPr>
                <w:rFonts w:ascii="Arial" w:cs="Arial" w:eastAsia="Arial" w:hAnsi="Arial"/>
                <w:sz w:val="14"/>
                <w:szCs w:val="14"/>
                <w:color w:val="auto"/>
              </w:rPr>
              <w:t>1.</w:t>
            </w:r>
          </w:p>
        </w:tc>
        <w:tc>
          <w:tcPr>
            <w:tcW w:w="4680" w:type="dxa"/>
            <w:vAlign w:val="bottom"/>
          </w:tcPr>
          <w:p>
            <w:pPr>
              <w:ind w:left="40"/>
              <w:spacing w:after="0"/>
              <w:rPr>
                <w:sz w:val="20"/>
                <w:szCs w:val="20"/>
                <w:color w:val="auto"/>
              </w:rPr>
            </w:pPr>
            <w:r>
              <w:rPr>
                <w:rFonts w:ascii="Arial" w:cs="Arial" w:eastAsia="Arial" w:hAnsi="Arial"/>
                <w:sz w:val="14"/>
                <w:szCs w:val="14"/>
                <w:color w:val="auto"/>
                <w:w w:val="95"/>
              </w:rPr>
              <w:t>(a) To re-elect Mr. Alon Lumbroso for a three-year term as a Class I director of</w:t>
            </w:r>
          </w:p>
        </w:tc>
        <w:tc>
          <w:tcPr>
            <w:tcW w:w="0" w:type="dxa"/>
            <w:vAlign w:val="bottom"/>
          </w:tcPr>
          <w:p>
            <w:pPr>
              <w:spacing w:after="0"/>
              <w:rPr>
                <w:sz w:val="1"/>
                <w:szCs w:val="1"/>
                <w:color w:val="auto"/>
              </w:rPr>
            </w:pPr>
          </w:p>
        </w:tc>
      </w:tr>
      <w:tr>
        <w:trPr>
          <w:trHeight w:val="129"/>
        </w:trPr>
        <w:tc>
          <w:tcPr>
            <w:tcW w:w="3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Proposals 4(a), 4(b) and 5, respectively:</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80" w:type="dxa"/>
            <w:vAlign w:val="bottom"/>
          </w:tcPr>
          <w:p>
            <w:pPr>
              <w:ind w:left="80"/>
              <w:spacing w:after="0" w:line="129" w:lineRule="exact"/>
              <w:rPr>
                <w:sz w:val="20"/>
                <w:szCs w:val="20"/>
                <w:color w:val="auto"/>
              </w:rPr>
            </w:pPr>
            <w:r>
              <w:rPr>
                <w:rFonts w:ascii="Arial" w:cs="Arial" w:eastAsia="Arial" w:hAnsi="Arial"/>
                <w:sz w:val="14"/>
                <w:szCs w:val="14"/>
                <w:color w:val="auto"/>
                <w:w w:val="95"/>
              </w:rPr>
              <w:t>the Company, until the Company’s annual general meeting of shareholders in</w:t>
            </w:r>
          </w:p>
        </w:tc>
        <w:tc>
          <w:tcPr>
            <w:tcW w:w="0" w:type="dxa"/>
            <w:vAlign w:val="bottom"/>
          </w:tcPr>
          <w:p>
            <w:pPr>
              <w:spacing w:after="0"/>
              <w:rPr>
                <w:sz w:val="1"/>
                <w:szCs w:val="1"/>
                <w:color w:val="auto"/>
              </w:rPr>
            </w:pPr>
          </w:p>
        </w:tc>
      </w:tr>
      <w:tr>
        <w:trPr>
          <w:trHeight w:val="20"/>
        </w:trPr>
        <w:tc>
          <w:tcPr>
            <w:tcW w:w="2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vMerge w:val="restart"/>
          </w:tcPr>
          <w:p>
            <w:pPr>
              <w:ind w:left="80"/>
              <w:spacing w:after="0"/>
              <w:rPr>
                <w:sz w:val="20"/>
                <w:szCs w:val="20"/>
                <w:color w:val="auto"/>
              </w:rPr>
            </w:pPr>
            <w:r>
              <w:rPr>
                <w:rFonts w:ascii="Arial" w:cs="Arial" w:eastAsia="Arial" w:hAnsi="Arial"/>
                <w:sz w:val="14"/>
                <w:szCs w:val="14"/>
                <w:color w:val="auto"/>
              </w:rPr>
              <w:t>2022 and until his successor is duly elected and qualified.</w:t>
            </w:r>
          </w:p>
        </w:tc>
        <w:tc>
          <w:tcPr>
            <w:tcW w:w="0" w:type="dxa"/>
            <w:vAlign w:val="bottom"/>
          </w:tcPr>
          <w:p>
            <w:pPr>
              <w:spacing w:after="0" w:line="20" w:lineRule="exact"/>
              <w:rPr>
                <w:sz w:val="1"/>
                <w:szCs w:val="1"/>
                <w:color w:val="auto"/>
              </w:rPr>
            </w:pPr>
          </w:p>
        </w:tc>
      </w:tr>
      <w:tr>
        <w:trPr>
          <w:trHeight w:val="162"/>
        </w:trPr>
        <w:tc>
          <w:tcPr>
            <w:tcW w:w="4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Under the Companies Law, you cannot be counted towards or</w:t>
            </w:r>
          </w:p>
        </w:tc>
        <w:tc>
          <w:tcPr>
            <w:tcW w:w="26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36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against the majority required for the approval of Proposal 4(a),</w:t>
            </w: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w w:val="97"/>
              </w:rPr>
              <w:t>(b) To re-elect Mr. Dov Ofer for a three-year term as a Class I director of the</w:t>
            </w:r>
          </w:p>
        </w:tc>
        <w:tc>
          <w:tcPr>
            <w:tcW w:w="0" w:type="dxa"/>
            <w:vAlign w:val="bottom"/>
          </w:tcPr>
          <w:p>
            <w:pPr>
              <w:spacing w:after="0"/>
              <w:rPr>
                <w:sz w:val="1"/>
                <w:szCs w:val="1"/>
                <w:color w:val="auto"/>
              </w:rPr>
            </w:pPr>
          </w:p>
        </w:tc>
      </w:tr>
      <w:tr>
        <w:trPr>
          <w:trHeight w:val="149"/>
        </w:trPr>
        <w:tc>
          <w:tcPr>
            <w:tcW w:w="43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4(b) or 5 unless you complete Items 4(a)A, 4(b)A and 5A,</w:t>
            </w: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w w:val="93"/>
              </w:rPr>
              <w:t>Company, until the Company’s annual general meeting of shareholders in 2022</w:t>
            </w:r>
          </w:p>
        </w:tc>
        <w:tc>
          <w:tcPr>
            <w:tcW w:w="0" w:type="dxa"/>
            <w:vAlign w:val="bottom"/>
          </w:tcPr>
          <w:p>
            <w:pPr>
              <w:spacing w:after="0"/>
              <w:rPr>
                <w:sz w:val="1"/>
                <w:szCs w:val="1"/>
                <w:color w:val="auto"/>
              </w:rPr>
            </w:pPr>
          </w:p>
        </w:tc>
      </w:tr>
      <w:tr>
        <w:trPr>
          <w:trHeight w:val="186"/>
        </w:trPr>
        <w:tc>
          <w:tcPr>
            <w:tcW w:w="4360" w:type="dxa"/>
            <w:vAlign w:val="bottom"/>
            <w:gridSpan w:val="3"/>
          </w:tcPr>
          <w:p>
            <w:pPr>
              <w:ind w:left="40"/>
              <w:spacing w:after="0"/>
              <w:rPr>
                <w:sz w:val="20"/>
                <w:szCs w:val="20"/>
                <w:color w:val="auto"/>
              </w:rPr>
            </w:pPr>
            <w:r>
              <w:rPr>
                <w:rFonts w:ascii="Arial" w:cs="Arial" w:eastAsia="Arial" w:hAnsi="Arial"/>
                <w:sz w:val="14"/>
                <w:szCs w:val="14"/>
                <w:b w:val="1"/>
                <w:bCs w:val="1"/>
                <w:color w:val="auto"/>
              </w:rPr>
              <w:t>respectively.</w:t>
            </w:r>
          </w:p>
        </w:tc>
        <w:tc>
          <w:tcPr>
            <w:tcW w:w="260" w:type="dxa"/>
            <w:vAlign w:val="bottom"/>
          </w:tcPr>
          <w:p>
            <w:pPr>
              <w:spacing w:after="0"/>
              <w:rPr>
                <w:sz w:val="16"/>
                <w:szCs w:val="16"/>
                <w:color w:val="auto"/>
              </w:rPr>
            </w:pPr>
          </w:p>
        </w:tc>
        <w:tc>
          <w:tcPr>
            <w:tcW w:w="4680" w:type="dxa"/>
            <w:vAlign w:val="bottom"/>
          </w:tcPr>
          <w:p>
            <w:pPr>
              <w:ind w:left="80"/>
              <w:spacing w:after="0"/>
              <w:rPr>
                <w:sz w:val="20"/>
                <w:szCs w:val="20"/>
                <w:color w:val="auto"/>
              </w:rPr>
            </w:pPr>
            <w:r>
              <w:rPr>
                <w:rFonts w:ascii="Arial" w:cs="Arial" w:eastAsia="Arial" w:hAnsi="Arial"/>
                <w:sz w:val="14"/>
                <w:szCs w:val="14"/>
                <w:color w:val="auto"/>
              </w:rPr>
              <w:t>and until his successor is duly elected and qualified.</w:t>
            </w:r>
          </w:p>
        </w:tc>
        <w:tc>
          <w:tcPr>
            <w:tcW w:w="0" w:type="dxa"/>
            <w:vAlign w:val="bottom"/>
          </w:tcPr>
          <w:p>
            <w:pPr>
              <w:spacing w:after="0"/>
              <w:rPr>
                <w:sz w:val="1"/>
                <w:szCs w:val="1"/>
                <w:color w:val="auto"/>
              </w:rPr>
            </w:pPr>
          </w:p>
        </w:tc>
      </w:tr>
      <w:tr>
        <w:trPr>
          <w:trHeight w:val="232"/>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ACCORDINGLY, PLEASE BE CERTAIN TO CHECK THE</w:t>
            </w:r>
          </w:p>
        </w:tc>
        <w:tc>
          <w:tcPr>
            <w:tcW w:w="260" w:type="dxa"/>
            <w:vAlign w:val="bottom"/>
          </w:tcPr>
          <w:p>
            <w:pPr>
              <w:ind w:left="120"/>
              <w:spacing w:after="0"/>
              <w:rPr>
                <w:sz w:val="20"/>
                <w:szCs w:val="20"/>
                <w:color w:val="auto"/>
              </w:rPr>
            </w:pPr>
            <w:r>
              <w:rPr>
                <w:rFonts w:ascii="Arial" w:cs="Arial" w:eastAsia="Arial" w:hAnsi="Arial"/>
                <w:sz w:val="14"/>
                <w:szCs w:val="14"/>
                <w:color w:val="auto"/>
              </w:rPr>
              <w:t>2.</w:t>
            </w:r>
          </w:p>
        </w:tc>
        <w:tc>
          <w:tcPr>
            <w:tcW w:w="4680" w:type="dxa"/>
            <w:vAlign w:val="bottom"/>
          </w:tcPr>
          <w:p>
            <w:pPr>
              <w:ind w:left="40"/>
              <w:spacing w:after="0"/>
              <w:rPr>
                <w:sz w:val="20"/>
                <w:szCs w:val="20"/>
                <w:color w:val="auto"/>
              </w:rPr>
            </w:pPr>
            <w:r>
              <w:rPr>
                <w:rFonts w:ascii="Arial" w:cs="Arial" w:eastAsia="Arial" w:hAnsi="Arial"/>
                <w:sz w:val="14"/>
                <w:szCs w:val="14"/>
                <w:color w:val="auto"/>
                <w:w w:val="94"/>
              </w:rPr>
              <w:t>(a) To elect Mr. Stephen Nigro for an initial two-year term as a Class III director</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BOXES MARKED “FOR” WITH RESPECT TO ITEM 4(a)A,</w:t>
            </w: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w w:val="92"/>
              </w:rPr>
              <w:t>of the Company, until the Company’s annual general meeting of shareholders in</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4(b)A AND 5A OPPOSITE TO CONFIRM THAT YOU ARE NOT</w:t>
            </w: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rPr>
              <w:t>2021 and until his successor is duly elected and qualified.</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 CONTROLLING SHAREHOLDER AND DO NOT HAVE A</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rPr>
              <w:t>2.</w:t>
            </w:r>
          </w:p>
        </w:tc>
        <w:tc>
          <w:tcPr>
            <w:tcW w:w="4680" w:type="dxa"/>
            <w:vAlign w:val="bottom"/>
            <w:vMerge w:val="restart"/>
          </w:tcPr>
          <w:p>
            <w:pPr>
              <w:ind w:left="40"/>
              <w:spacing w:after="0"/>
              <w:rPr>
                <w:sz w:val="20"/>
                <w:szCs w:val="20"/>
                <w:color w:val="auto"/>
              </w:rPr>
            </w:pPr>
            <w:r>
              <w:rPr>
                <w:rFonts w:ascii="Arial" w:cs="Arial" w:eastAsia="Arial" w:hAnsi="Arial"/>
                <w:sz w:val="14"/>
                <w:szCs w:val="14"/>
                <w:color w:val="auto"/>
                <w:w w:val="98"/>
              </w:rPr>
              <w:t>(b) To elect Mr. Ronen Samuel (our chief executive officer) for an initial two-</w:t>
            </w:r>
          </w:p>
        </w:tc>
        <w:tc>
          <w:tcPr>
            <w:tcW w:w="0" w:type="dxa"/>
            <w:vAlign w:val="bottom"/>
          </w:tcPr>
          <w:p>
            <w:pPr>
              <w:spacing w:after="0"/>
              <w:rPr>
                <w:sz w:val="1"/>
                <w:szCs w:val="1"/>
                <w:color w:val="auto"/>
              </w:rPr>
            </w:pPr>
          </w:p>
        </w:tc>
      </w:tr>
      <w:tr>
        <w:trPr>
          <w:trHeight w:val="144"/>
        </w:trPr>
        <w:tc>
          <w:tcPr>
            <w:tcW w:w="436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CONFLICT OF INTEREST IN THE APPROVAL OF PROPOSAL</w:t>
            </w:r>
          </w:p>
        </w:tc>
        <w:tc>
          <w:tcPr>
            <w:tcW w:w="260" w:type="dxa"/>
            <w:vAlign w:val="bottom"/>
            <w:vMerge w:val="continue"/>
          </w:tcPr>
          <w:p>
            <w:pPr>
              <w:spacing w:after="0"/>
              <w:rPr>
                <w:sz w:val="12"/>
                <w:szCs w:val="12"/>
                <w:color w:val="auto"/>
              </w:rPr>
            </w:pPr>
          </w:p>
        </w:tc>
        <w:tc>
          <w:tcPr>
            <w:tcW w:w="4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4(a), 4(b) OR 5, RESPECTIVELY. </w:t>
            </w:r>
            <w:r>
              <w:rPr>
                <w:rFonts w:ascii="Arial" w:cs="Arial" w:eastAsia="Arial" w:hAnsi="Arial"/>
                <w:sz w:val="14"/>
                <w:szCs w:val="14"/>
                <w:color w:val="auto"/>
              </w:rPr>
              <w:t>If you believe that you, or a related</w:t>
            </w: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w w:val="96"/>
              </w:rPr>
              <w:t>year term as a Class III director of the Company, until the Company’s annual</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party of yours, is a controlling shareholder or has such a conflict of</w:t>
            </w: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w w:val="93"/>
              </w:rPr>
              <w:t>general meeting of shareholders in 2021 and until his successor is duly elected</w:t>
            </w:r>
          </w:p>
        </w:tc>
        <w:tc>
          <w:tcPr>
            <w:tcW w:w="0" w:type="dxa"/>
            <w:vAlign w:val="bottom"/>
          </w:tcPr>
          <w:p>
            <w:pPr>
              <w:spacing w:after="0"/>
              <w:rPr>
                <w:sz w:val="1"/>
                <w:szCs w:val="1"/>
                <w:color w:val="auto"/>
              </w:rPr>
            </w:pPr>
          </w:p>
        </w:tc>
      </w:tr>
      <w:tr>
        <w:trPr>
          <w:trHeight w:val="157"/>
        </w:trPr>
        <w:tc>
          <w:tcPr>
            <w:tcW w:w="4360" w:type="dxa"/>
            <w:vAlign w:val="bottom"/>
            <w:gridSpan w:val="3"/>
          </w:tcPr>
          <w:p>
            <w:pPr>
              <w:spacing w:after="0" w:line="157" w:lineRule="exact"/>
              <w:rPr>
                <w:sz w:val="20"/>
                <w:szCs w:val="20"/>
                <w:color w:val="auto"/>
              </w:rPr>
            </w:pPr>
            <w:r>
              <w:rPr>
                <w:rFonts w:ascii="Arial" w:cs="Arial" w:eastAsia="Arial" w:hAnsi="Arial"/>
                <w:sz w:val="14"/>
                <w:szCs w:val="14"/>
                <w:color w:val="auto"/>
                <w:w w:val="95"/>
              </w:rPr>
              <w:t>interest and you wish to participate in the vote on Proposal 4(a), 4(b) or 5,</w:t>
            </w:r>
          </w:p>
        </w:tc>
        <w:tc>
          <w:tcPr>
            <w:tcW w:w="260" w:type="dxa"/>
            <w:vAlign w:val="bottom"/>
          </w:tcPr>
          <w:p>
            <w:pPr>
              <w:spacing w:after="0"/>
              <w:rPr>
                <w:sz w:val="13"/>
                <w:szCs w:val="13"/>
                <w:color w:val="auto"/>
              </w:rPr>
            </w:pPr>
          </w:p>
        </w:tc>
        <w:tc>
          <w:tcPr>
            <w:tcW w:w="4680" w:type="dxa"/>
            <w:vAlign w:val="bottom"/>
          </w:tcPr>
          <w:p>
            <w:pPr>
              <w:ind w:left="80"/>
              <w:spacing w:after="0" w:line="157" w:lineRule="exact"/>
              <w:rPr>
                <w:sz w:val="20"/>
                <w:szCs w:val="20"/>
                <w:color w:val="auto"/>
              </w:rPr>
            </w:pPr>
            <w:r>
              <w:rPr>
                <w:rFonts w:ascii="Arial" w:cs="Arial" w:eastAsia="Arial" w:hAnsi="Arial"/>
                <w:sz w:val="14"/>
                <w:szCs w:val="14"/>
                <w:color w:val="auto"/>
              </w:rPr>
              <w:t>and qualified.</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you should check the box “AGAINST” on Item 4(a)A, 4(b)A or 5 (as</w:t>
            </w:r>
          </w:p>
        </w:tc>
        <w:tc>
          <w:tcPr>
            <w:tcW w:w="4940" w:type="dxa"/>
            <w:vAlign w:val="bottom"/>
            <w:gridSpan w:val="2"/>
            <w:vMerge w:val="restart"/>
          </w:tcPr>
          <w:p>
            <w:pPr>
              <w:ind w:left="120"/>
              <w:spacing w:after="0"/>
              <w:rPr>
                <w:sz w:val="20"/>
                <w:szCs w:val="20"/>
                <w:color w:val="auto"/>
              </w:rPr>
            </w:pPr>
            <w:r>
              <w:rPr>
                <w:rFonts w:ascii="Arial" w:cs="Arial" w:eastAsia="Arial" w:hAnsi="Arial"/>
                <w:sz w:val="14"/>
                <w:szCs w:val="14"/>
                <w:color w:val="auto"/>
                <w:w w:val="99"/>
              </w:rPr>
              <w:t>3. To approve the re-appointment of Kost Forer Gabbay &amp; Kasierer, registered</w:t>
            </w:r>
          </w:p>
        </w:tc>
        <w:tc>
          <w:tcPr>
            <w:tcW w:w="0" w:type="dxa"/>
            <w:vAlign w:val="bottom"/>
          </w:tcPr>
          <w:p>
            <w:pPr>
              <w:spacing w:after="0"/>
              <w:rPr>
                <w:sz w:val="1"/>
                <w:szCs w:val="1"/>
                <w:color w:val="auto"/>
              </w:rPr>
            </w:pPr>
          </w:p>
        </w:tc>
      </w:tr>
      <w:tr>
        <w:trPr>
          <w:trHeight w:val="95"/>
        </w:trPr>
        <w:tc>
          <w:tcPr>
            <w:tcW w:w="4360" w:type="dxa"/>
            <w:vAlign w:val="bottom"/>
            <w:gridSpan w:val="3"/>
            <w:vMerge w:val="restart"/>
          </w:tcPr>
          <w:p>
            <w:pPr>
              <w:spacing w:after="0"/>
              <w:rPr>
                <w:sz w:val="20"/>
                <w:szCs w:val="20"/>
                <w:color w:val="auto"/>
              </w:rPr>
            </w:pPr>
            <w:r>
              <w:rPr>
                <w:rFonts w:ascii="Arial" w:cs="Arial" w:eastAsia="Arial" w:hAnsi="Arial"/>
                <w:sz w:val="14"/>
                <w:szCs w:val="14"/>
                <w:color w:val="auto"/>
              </w:rPr>
              <w:t>applicable).</w:t>
            </w:r>
          </w:p>
        </w:tc>
        <w:tc>
          <w:tcPr>
            <w:tcW w:w="4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3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468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public accounting firm, a member firm of Ernst &amp; Young Global, as the</w:t>
            </w:r>
          </w:p>
        </w:tc>
        <w:tc>
          <w:tcPr>
            <w:tcW w:w="0" w:type="dxa"/>
            <w:vAlign w:val="bottom"/>
          </w:tcPr>
          <w:p>
            <w:pPr>
              <w:spacing w:after="0"/>
              <w:rPr>
                <w:sz w:val="1"/>
                <w:szCs w:val="1"/>
                <w:color w:val="auto"/>
              </w:rPr>
            </w:pPr>
          </w:p>
        </w:tc>
      </w:tr>
      <w:tr>
        <w:trPr>
          <w:trHeight w:val="61"/>
        </w:trPr>
        <w:tc>
          <w:tcPr>
            <w:tcW w:w="22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w w:val="96"/>
              </w:rPr>
              <w:t>Company’s independent registered public accounting firm for the year ending</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w w:val="95"/>
              </w:rPr>
              <w:t>December 31, 2019 and until the Company’s 2020 annual general meeting of</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color w:val="auto"/>
                <w:w w:val="98"/>
              </w:rPr>
              <w:t>shareholders, and to authorize the Company’s board of directors to fix such</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4"/>
                <w:szCs w:val="14"/>
                <w:color w:val="auto"/>
              </w:rPr>
              <w:t>accounting firm’s annual compensation.</w:t>
            </w: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gridSpan w:val="2"/>
          </w:tcPr>
          <w:p>
            <w:pPr>
              <w:ind w:left="100"/>
              <w:spacing w:after="0"/>
              <w:rPr>
                <w:sz w:val="20"/>
                <w:szCs w:val="20"/>
                <w:color w:val="auto"/>
              </w:rPr>
            </w:pPr>
            <w:r>
              <w:rPr>
                <w:rFonts w:ascii="Arial" w:cs="Arial" w:eastAsia="Arial" w:hAnsi="Arial"/>
                <w:sz w:val="14"/>
                <w:szCs w:val="14"/>
                <w:color w:val="auto"/>
                <w:w w:val="97"/>
              </w:rPr>
              <w:t>4. To ratify and clarify certain employment terms of Mr. Ronen Samuel, our chief</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ind w:left="100"/>
              <w:spacing w:after="0"/>
              <w:rPr>
                <w:sz w:val="20"/>
                <w:szCs w:val="20"/>
                <w:color w:val="auto"/>
              </w:rPr>
            </w:pPr>
            <w:r>
              <w:rPr>
                <w:rFonts w:ascii="Arial" w:cs="Arial" w:eastAsia="Arial" w:hAnsi="Arial"/>
                <w:sz w:val="14"/>
                <w:szCs w:val="14"/>
                <w:color w:val="auto"/>
              </w:rPr>
              <w:t>executive officer, consisting of:</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800" w:right="20" w:hanging="226"/>
        <w:spacing w:after="0" w:line="231" w:lineRule="auto"/>
        <w:rPr>
          <w:sz w:val="20"/>
          <w:szCs w:val="20"/>
          <w:color w:val="auto"/>
        </w:rPr>
      </w:pPr>
      <w:r>
        <w:rPr>
          <w:rFonts w:ascii="Arial" w:cs="Arial" w:eastAsia="Arial" w:hAnsi="Arial"/>
          <w:sz w:val="14"/>
          <w:szCs w:val="14"/>
          <w:color w:val="auto"/>
        </w:rPr>
        <w:t>4(a). A special bonus of up to three (3) months’ of base salary that may be granted to Mr. Samuel annually based on achievements to be determined by the Company’s board of directors that are not included in Mr. Samuel’s annual bonus plan (which, for 2018, yields a bonus of NIS 137,000 (approximately US $38,600 as of July 15, 2019))</w:t>
      </w:r>
    </w:p>
    <w:p>
      <w:pPr>
        <w:spacing w:after="0" w:line="90" w:lineRule="exact"/>
        <w:rPr>
          <w:sz w:val="20"/>
          <w:szCs w:val="20"/>
          <w:color w:val="auto"/>
        </w:rPr>
      </w:pPr>
    </w:p>
    <w:p>
      <w:pPr>
        <w:ind w:left="4800" w:right="20" w:hanging="226"/>
        <w:spacing w:after="0" w:line="231" w:lineRule="auto"/>
        <w:rPr>
          <w:sz w:val="20"/>
          <w:szCs w:val="20"/>
          <w:color w:val="auto"/>
        </w:rPr>
      </w:pPr>
      <w:r>
        <w:rPr>
          <w:rFonts w:ascii="Arial" w:cs="Arial" w:eastAsia="Arial" w:hAnsi="Arial"/>
          <w:sz w:val="14"/>
          <w:szCs w:val="14"/>
          <w:color w:val="auto"/>
        </w:rPr>
        <w:t>4(a)A. By checking the box marked “FOR”, the undersigned hereby confirms that he, she or it is not a “controlling shareholder” and does not have a conflict of interest in the approval of Proposal 4(a). If the undersigned or a related party of the undersigned is a controlling shareholder or has such a conflict of interest, check the box “AGAINST”.</w:t>
      </w:r>
    </w:p>
    <w:p>
      <w:pPr>
        <w:spacing w:after="0" w:line="86"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[MUST COMPLETE ITEM 4(a)A]</w:t>
      </w:r>
    </w:p>
    <w:p>
      <w:pPr>
        <w:spacing w:after="0" w:line="113" w:lineRule="exact"/>
        <w:rPr>
          <w:sz w:val="20"/>
          <w:szCs w:val="20"/>
          <w:color w:val="auto"/>
        </w:rPr>
      </w:pPr>
    </w:p>
    <w:p>
      <w:pPr>
        <w:ind w:left="4800" w:hanging="226"/>
        <w:spacing w:after="0" w:line="264" w:lineRule="auto"/>
        <w:rPr>
          <w:sz w:val="20"/>
          <w:szCs w:val="20"/>
          <w:color w:val="auto"/>
        </w:rPr>
      </w:pPr>
      <w:r>
        <w:rPr>
          <w:rFonts w:ascii="Arial" w:cs="Arial" w:eastAsia="Arial" w:hAnsi="Arial"/>
          <w:sz w:val="13"/>
          <w:szCs w:val="13"/>
          <w:color w:val="auto"/>
        </w:rPr>
        <w:t>4(b). Acceleration of 50% of Mr. Samuel’s unvested equity grants upon a change of control of the Company that is followed by termination of Mr. Samuel’s employment under certain circumstances, as described in the Proxy Statement.</w:t>
      </w:r>
    </w:p>
    <w:p>
      <w:pPr>
        <w:spacing w:after="0" w:line="74" w:lineRule="exact"/>
        <w:rPr>
          <w:sz w:val="20"/>
          <w:szCs w:val="20"/>
          <w:color w:val="auto"/>
        </w:rPr>
      </w:pPr>
    </w:p>
    <w:p>
      <w:pPr>
        <w:ind w:left="4800" w:right="20" w:hanging="223"/>
        <w:spacing w:after="0" w:line="231" w:lineRule="auto"/>
        <w:rPr>
          <w:sz w:val="20"/>
          <w:szCs w:val="20"/>
          <w:color w:val="auto"/>
        </w:rPr>
      </w:pPr>
      <w:r>
        <w:rPr>
          <w:rFonts w:ascii="Arial" w:cs="Arial" w:eastAsia="Arial" w:hAnsi="Arial"/>
          <w:sz w:val="14"/>
          <w:szCs w:val="14"/>
          <w:color w:val="auto"/>
        </w:rPr>
        <w:t>4(b)A. By checking the box marked “FOR”, the undersigned hereby confirms that he, she or it is not a “controlling shareholder” and does not have a conflict of interest in the approval of Proposal 4(b). If the undersigned or a related party of the undersigned is a controlling shareholder or has such a conflict of interest, check the box “AGAINST”.</w:t>
      </w:r>
    </w:p>
    <w:p>
      <w:pPr>
        <w:spacing w:after="0" w:line="86"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[MUST COMPLETE ITEM 4(b)A]</w:t>
      </w:r>
    </w:p>
    <w:p>
      <w:pPr>
        <w:spacing w:after="0" w:line="113" w:lineRule="exact"/>
        <w:rPr>
          <w:sz w:val="20"/>
          <w:szCs w:val="20"/>
          <w:color w:val="auto"/>
        </w:rPr>
      </w:pPr>
    </w:p>
    <w:p>
      <w:pPr>
        <w:jc w:val="both"/>
        <w:ind w:left="4800" w:right="140" w:hanging="225"/>
        <w:spacing w:after="0" w:line="296" w:lineRule="auto"/>
        <w:tabs>
          <w:tab w:leader="none" w:pos="4753" w:val="left"/>
        </w:tabs>
        <w:numPr>
          <w:ilvl w:val="0"/>
          <w:numId w:val="19"/>
        </w:numPr>
        <w:rPr>
          <w:rFonts w:ascii="Arial" w:cs="Arial" w:eastAsia="Arial" w:hAnsi="Arial"/>
          <w:sz w:val="12"/>
          <w:szCs w:val="12"/>
          <w:color w:val="auto"/>
        </w:rPr>
      </w:pPr>
      <w:r>
        <w:rPr>
          <w:rFonts w:ascii="Arial" w:cs="Arial" w:eastAsia="Arial" w:hAnsi="Arial"/>
          <w:sz w:val="12"/>
          <w:szCs w:val="12"/>
          <w:color w:val="auto"/>
        </w:rPr>
        <w:t>To approve a one-time grant of options to purchase 100,000 ordinary shares to Mr. Ronen Samuel, our chief executive officer, subject to a four-year vesting schedule and certain other provisions, as described in the Proxy Statement.</w:t>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5A. By checking the box marked “FOR”, the undersigned hereby confirms that he,</w:t>
      </w:r>
    </w:p>
    <w:p>
      <w:pPr>
        <w:ind w:left="4800"/>
        <w:spacing w:after="0" w:line="237" w:lineRule="auto"/>
        <w:rPr>
          <w:sz w:val="20"/>
          <w:szCs w:val="20"/>
          <w:color w:val="auto"/>
        </w:rPr>
      </w:pPr>
      <w:r>
        <w:rPr>
          <w:rFonts w:ascii="Arial" w:cs="Arial" w:eastAsia="Arial" w:hAnsi="Arial"/>
          <w:sz w:val="14"/>
          <w:szCs w:val="14"/>
          <w:color w:val="auto"/>
        </w:rPr>
        <w:t>she or it is not a “controlling shareholder” and does not have a conflict of</w:t>
      </w:r>
    </w:p>
    <w:p>
      <w:pPr>
        <w:ind w:left="4800"/>
        <w:spacing w:after="0"/>
        <w:rPr>
          <w:sz w:val="20"/>
          <w:szCs w:val="20"/>
          <w:color w:val="auto"/>
        </w:rPr>
      </w:pPr>
      <w:r>
        <w:rPr>
          <w:rFonts w:ascii="Arial" w:cs="Arial" w:eastAsia="Arial" w:hAnsi="Arial"/>
          <w:sz w:val="13"/>
          <w:szCs w:val="13"/>
          <w:color w:val="auto"/>
        </w:rPr>
        <w:t>interest in the approval of Proposal 5. If the undersigned or a related party of</w:t>
      </w:r>
    </w:p>
    <w:p>
      <w:pPr>
        <w:ind w:left="4800"/>
        <w:spacing w:after="0"/>
        <w:rPr>
          <w:sz w:val="20"/>
          <w:szCs w:val="20"/>
          <w:color w:val="auto"/>
        </w:rPr>
      </w:pPr>
      <w:r>
        <w:rPr>
          <w:rFonts w:ascii="Arial" w:cs="Arial" w:eastAsia="Arial" w:hAnsi="Arial"/>
          <w:sz w:val="13"/>
          <w:szCs w:val="13"/>
          <w:color w:val="auto"/>
        </w:rPr>
        <w:t>the undersigned is a controlling shareholder or has such a conflict of interest,</w:t>
      </w:r>
    </w:p>
    <w:p>
      <w:pPr>
        <w:ind w:left="4800"/>
        <w:spacing w:after="0"/>
        <w:rPr>
          <w:sz w:val="20"/>
          <w:szCs w:val="20"/>
          <w:color w:val="auto"/>
        </w:rPr>
      </w:pPr>
      <w:r>
        <w:rPr>
          <w:rFonts w:ascii="Arial" w:cs="Arial" w:eastAsia="Arial" w:hAnsi="Arial"/>
          <w:sz w:val="14"/>
          <w:szCs w:val="14"/>
          <w:color w:val="auto"/>
        </w:rPr>
        <w:t>check the box “AGAINST”.</w:t>
      </w:r>
    </w:p>
    <w:p>
      <w:pPr>
        <w:spacing w:after="0" w:line="93"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[MUST COMPLETE ITEM 5A]</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FOR</w:t>
        <w:tab/>
        <w:t>AGAINST  ABSTAIN</w:t>
      </w:r>
    </w:p>
    <w:p>
      <w:pPr>
        <w:spacing w:after="0" w:line="28" w:lineRule="exact"/>
        <w:rPr>
          <w:sz w:val="20"/>
          <w:szCs w:val="20"/>
          <w:color w:val="auto"/>
        </w:rPr>
      </w:pPr>
    </w:p>
    <w:p>
      <w:pPr>
        <w:ind w:left="100"/>
        <w:spacing w:after="0"/>
        <w:tabs>
          <w:tab w:leader="none" w:pos="640" w:val="left"/>
          <w:tab w:leader="none" w:pos="1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20" w:lineRule="exact"/>
        <w:rPr>
          <w:sz w:val="20"/>
          <w:szCs w:val="20"/>
          <w:color w:val="auto"/>
        </w:rPr>
      </w:pPr>
    </w:p>
    <w:p>
      <w:pPr>
        <w:ind w:left="100"/>
        <w:spacing w:after="0"/>
        <w:tabs>
          <w:tab w:leader="none" w:pos="640" w:val="left"/>
          <w:tab w:leader="none" w:pos="1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w:t>
      </w:r>
    </w:p>
    <w:p>
      <w:pPr>
        <w:spacing w:after="0" w:line="393" w:lineRule="exact"/>
        <w:rPr>
          <w:sz w:val="20"/>
          <w:szCs w:val="20"/>
          <w:color w:val="auto"/>
        </w:rPr>
      </w:pPr>
    </w:p>
    <w:p>
      <w:pPr>
        <w:ind w:left="100"/>
        <w:spacing w:after="0"/>
        <w:tabs>
          <w:tab w:leader="none" w:pos="640" w:val="left"/>
          <w:tab w:leader="none" w:pos="1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6" w:lineRule="exact"/>
        <w:rPr>
          <w:sz w:val="20"/>
          <w:szCs w:val="20"/>
          <w:color w:val="auto"/>
        </w:rPr>
      </w:pPr>
    </w:p>
    <w:p>
      <w:pPr>
        <w:ind w:left="100"/>
        <w:spacing w:after="0"/>
        <w:tabs>
          <w:tab w:leader="none" w:pos="640" w:val="left"/>
          <w:tab w:leader="none" w:pos="1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355" w:lineRule="exact"/>
        <w:rPr>
          <w:sz w:val="20"/>
          <w:szCs w:val="20"/>
          <w:color w:val="auto"/>
        </w:rPr>
      </w:pPr>
    </w:p>
    <w:p>
      <w:pPr>
        <w:ind w:left="100"/>
        <w:spacing w:after="0"/>
        <w:tabs>
          <w:tab w:leader="none" w:pos="640" w:val="left"/>
          <w:tab w:leader="none" w:pos="1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
        <w:spacing w:after="0"/>
        <w:tabs>
          <w:tab w:leader="none" w:pos="640" w:val="left"/>
          <w:tab w:leader="none" w:pos="1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tabs>
          <w:tab w:leader="none" w:pos="640" w:val="left"/>
          <w:tab w:leader="none" w:pos="1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382"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
        <w:spacing w:after="0"/>
        <w:tabs>
          <w:tab w:leader="none" w:pos="640" w:val="left"/>
          <w:tab w:leader="none" w:pos="1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382"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811" w:lineRule="exact"/>
        <w:rPr>
          <w:sz w:val="20"/>
          <w:szCs w:val="20"/>
          <w:color w:val="auto"/>
        </w:rPr>
      </w:pPr>
    </w:p>
    <w:p>
      <w:pPr>
        <w:sectPr>
          <w:pgSz w:w="11900" w:h="16838" w:orient="portrait"/>
          <w:cols w:equalWidth="0" w:num="2">
            <w:col w:w="9400" w:space="180"/>
            <w:col w:w="1820"/>
          </w:cols>
          <w:pgMar w:left="240" w:top="706" w:right="259" w:bottom="1440" w:gutter="0" w:footer="0" w:header="0"/>
          <w:type w:val="continuous"/>
        </w:sectPr>
      </w:pPr>
    </w:p>
    <w:p>
      <w:pPr>
        <w:spacing w:after="0" w:line="108" w:lineRule="exact"/>
        <w:rPr>
          <w:sz w:val="20"/>
          <w:szCs w:val="20"/>
          <w:color w:val="auto"/>
        </w:rPr>
      </w:pPr>
    </w:p>
    <w:p>
      <w:pPr>
        <w:ind w:left="40" w:right="1880"/>
        <w:spacing w:after="0" w:line="234" w:lineRule="auto"/>
        <w:rPr>
          <w:sz w:val="20"/>
          <w:szCs w:val="20"/>
          <w:color w:val="auto"/>
        </w:rPr>
      </w:pPr>
      <w:r>
        <w:rPr>
          <w:rFonts w:ascii="Arial" w:cs="Arial" w:eastAsia="Arial" w:hAnsi="Arial"/>
          <w:sz w:val="14"/>
          <w:szCs w:val="14"/>
          <w:color w:val="auto"/>
        </w:rPr>
        <w:t>To change the address on your account, please check the box at the right and indicate your new address in the space to the right.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85090</wp:posOffset>
            </wp:positionV>
            <wp:extent cx="204089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04089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457200</wp:posOffset>
            </wp:positionV>
            <wp:extent cx="288988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2889885" cy="180340"/>
                    </a:xfrm>
                    <a:prstGeom prst="rect">
                      <a:avLst/>
                    </a:prstGeom>
                    <a:noFill/>
                  </pic:spPr>
                </pic:pic>
              </a:graphicData>
            </a:graphic>
          </wp:anchor>
        </w:drawing>
      </w:r>
    </w:p>
    <w:p>
      <w:pPr>
        <w:spacing w:after="0" w:line="755" w:lineRule="exact"/>
        <w:rPr>
          <w:sz w:val="20"/>
          <w:szCs w:val="20"/>
          <w:color w:val="auto"/>
        </w:rPr>
      </w:pPr>
    </w:p>
    <w:p>
      <w:pPr>
        <w:sectPr>
          <w:pgSz w:w="11900" w:h="16838" w:orient="portrait"/>
          <w:cols w:equalWidth="0" w:num="2">
            <w:col w:w="6320" w:space="720"/>
            <w:col w:w="4360"/>
          </w:cols>
          <w:pgMar w:left="240" w:top="706" w:right="25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Signature of shareholder</w:t>
            </w:r>
          </w:p>
        </w:tc>
        <w:tc>
          <w:tcPr>
            <w:tcW w:w="1980" w:type="dxa"/>
            <w:vAlign w:val="bottom"/>
          </w:tcPr>
          <w:p>
            <w:pPr>
              <w:ind w:left="1160"/>
              <w:spacing w:after="0"/>
              <w:rPr>
                <w:sz w:val="20"/>
                <w:szCs w:val="20"/>
                <w:color w:val="auto"/>
              </w:rPr>
            </w:pPr>
            <w:r>
              <w:rPr>
                <w:rFonts w:ascii="Arial" w:cs="Arial" w:eastAsia="Arial" w:hAnsi="Arial"/>
                <w:sz w:val="14"/>
                <w:szCs w:val="14"/>
                <w:color w:val="auto"/>
              </w:rPr>
              <w:t>Date</w:t>
            </w:r>
          </w:p>
        </w:tc>
        <w:tc>
          <w:tcPr>
            <w:tcW w:w="3700" w:type="dxa"/>
            <w:vAlign w:val="bottom"/>
          </w:tcPr>
          <w:p>
            <w:pPr>
              <w:ind w:left="560"/>
              <w:spacing w:after="0"/>
              <w:rPr>
                <w:sz w:val="20"/>
                <w:szCs w:val="20"/>
                <w:color w:val="auto"/>
              </w:rPr>
            </w:pPr>
            <w:r>
              <w:rPr>
                <w:rFonts w:ascii="Arial" w:cs="Arial" w:eastAsia="Arial" w:hAnsi="Arial"/>
                <w:sz w:val="14"/>
                <w:szCs w:val="14"/>
                <w:color w:val="auto"/>
              </w:rPr>
              <w:t>Signature of shareholder</w:t>
            </w:r>
          </w:p>
        </w:tc>
        <w:tc>
          <w:tcPr>
            <w:tcW w:w="2020" w:type="dxa"/>
            <w:vAlign w:val="bottom"/>
          </w:tcPr>
          <w:p>
            <w:pPr>
              <w:ind w:left="1740"/>
              <w:spacing w:after="0"/>
              <w:rPr>
                <w:sz w:val="20"/>
                <w:szCs w:val="20"/>
                <w:color w:val="auto"/>
              </w:rPr>
            </w:pPr>
            <w:r>
              <w:rPr>
                <w:rFonts w:ascii="Arial" w:cs="Arial" w:eastAsia="Arial" w:hAnsi="Arial"/>
                <w:sz w:val="14"/>
                <w:szCs w:val="14"/>
                <w:color w:val="auto"/>
                <w:w w:val="87"/>
              </w:rPr>
              <w:t>Date</w:t>
            </w:r>
          </w:p>
        </w:tc>
      </w:tr>
    </w:tbl>
    <w:p>
      <w:pPr>
        <w:spacing w:after="0" w:line="47" w:lineRule="exact"/>
        <w:rPr>
          <w:sz w:val="20"/>
          <w:szCs w:val="20"/>
          <w:color w:val="auto"/>
        </w:rPr>
      </w:pPr>
    </w:p>
    <w:p>
      <w:pPr>
        <w:ind w:left="480" w:hanging="479"/>
        <w:spacing w:after="0" w:line="238" w:lineRule="auto"/>
        <w:tabs>
          <w:tab w:leader="none" w:pos="460" w:val="left"/>
        </w:tabs>
        <w:rPr>
          <w:sz w:val="20"/>
          <w:szCs w:val="20"/>
          <w:color w:val="auto"/>
        </w:rPr>
      </w:pPr>
      <w:r>
        <w:rPr>
          <w:rFonts w:ascii="Arial" w:cs="Arial" w:eastAsia="Arial" w:hAnsi="Arial"/>
          <w:sz w:val="14"/>
          <w:szCs w:val="14"/>
          <w:color w:val="auto"/>
        </w:rPr>
        <w:t>Note:</w:t>
        <w:tab/>
        <w:t>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0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4"/>
    </w:lvl>
    <w:lvl w:ilvl="1">
      <w:lvlJc w:val="left"/>
      <w:lvlText w:val="(%2)"/>
      <w:numFmt w:val="lowerLetter"/>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2"/>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jpeg"/><Relationship Id="rId24"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13" Type="http://schemas.openxmlformats.org/officeDocument/2006/relationships/hyperlink" Target="http://www.sec.gov/Archives/edgar/data/1625791/000121390019012716/f6k071519_kornitdigital.htm" TargetMode="External"/><Relationship Id="rId14" Type="http://schemas.openxmlformats.org/officeDocument/2006/relationships/hyperlink" Target="http://www.sec.gov/Archives/edgar/data/1625791/000121390019010522/ff3asr2019_kornitdigita.htm" TargetMode="External"/><Relationship Id="rId15" Type="http://schemas.openxmlformats.org/officeDocument/2006/relationships/hyperlink" Target="http://www.sec.gov/Archives/edgar/data/1625791/000161577415000908/s101052_forms8.htm" TargetMode="External"/><Relationship Id="rId16" Type="http://schemas.openxmlformats.org/officeDocument/2006/relationships/hyperlink" Target="http://www.sec.gov/Archives/edgar/data/1625791/000121390016017339/fs82016_kornitdigital.htm" TargetMode="External"/><Relationship Id="rId17" Type="http://schemas.openxmlformats.org/officeDocument/2006/relationships/hyperlink" Target="http://www.sec.gov/Archives/edgar/data/1625791/000121390017003012/fs82017_kornitdigital.htm" TargetMode="External"/><Relationship Id="rId18" Type="http://schemas.openxmlformats.org/officeDocument/2006/relationships/hyperlink" Target="http://www.sec.gov/Archives/edgar/data/1625791/000121390018003205/fs82018_kornitdigital.htm" TargetMode="External"/><Relationship Id="rId19" Type="http://schemas.openxmlformats.org/officeDocument/2006/relationships/hyperlink" Target="http://www.sec.gov/Archives/edgar/data/1625791/000121390019005079/fs82019_kornitdigitalltd.htm" TargetMode="External"/><Relationship Id="rId25" Type="http://schemas.openxmlformats.org/officeDocument/2006/relationships/hyperlink" Target="http://www.sec.gov/Archives/edgar/data/1625791/000121390019004880/f20f201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2019-11-30T23:40:10Z</dcterms:created>
  <dcterms:modified xsi:type="dcterms:W3CDTF">2019-11-30T23:40:10Z</dcterms:modified>
</cp:coreProperties>
</file>