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Washington, D.C. 20549</w:t>
      </w:r>
    </w:p>
    <w:p>
      <w:pPr>
        <w:spacing w:after="0" w:line="180"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ind w:left="2500" w:right="84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OF THE SECURITIES EXCHANGE ACT OF 1934</w:t>
      </w:r>
    </w:p>
    <w:p>
      <w:pPr>
        <w:spacing w:after="0" w:line="16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August 2016</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620" w:right="1719" w:hanging="4610"/>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August 2, 2016, Kornit Digital Ltd. issued a press release entitled “Kornit Digital Reports 2016 Second Quarter Results.” A copy of this press release is furnished as Exhibit 99.1 hereto.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2, 2016 entitled “Kornit Digital Reports 2016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917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96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Kornit Digital Reports 2016 Second Quarter Results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5" w:lineRule="exact"/>
        <w:rPr>
          <w:sz w:val="20"/>
          <w:szCs w:val="20"/>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Second quarter 2016 revenues of $24.0 million, an increase of 12.6% over the prior-year period.</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Second quarter GAAP net loss of $0.1 million, or net loss of less than $0.01 per diluted share.</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Second quarter non-GAAP net income of $0.7 million, or $0.02 per diluted share.</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GAAP gross margin of 48.8%, an increase of 172 basis points over the prior year.</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Non-GAAP gross margin of 49.5%, an increase of 187 basis points over the prior year.</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Completed the acquisition of SPSI's digital printing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ROSH-HA'AYIN, Israel, Aug. 02, 2016 (GLOBE NEWSWIRE) -- Kornit Digital Ltd. (NASDAQ:KRNT), a leading provider of digital printing solutions for the global printed textile industry, today reported results for the second quarter ended June 30,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the second quarter of 2016 increased 12.6% to $24.0 million, compared to the prior year period of $21.3 million. Higher sales were attributable to growth throughout the company's product offerings, including systems sold and ink.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reported a GAAP net loss of $0.1 million, or $0.00 per diluted share, compared to net earnings of $0.7 million, in the second quarter of 2015. On a non-GAAP basis, net income in the second quarter of 2016 was $0.7 million, or $0.02 per diluted share, compared to prior-year net income of $2.4 million.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the Company had several notable business updates. In July 1, 2016 Kornit acquired the digital direct-to-garment printing assets of SPSI, Inc., one its North American distributors in an effort to improve market reach and deepen relationships with multiple large accounts. The company also announced the hiring of Dr. Nuriel Amir, Ph.D., Chief Technology Officer and Gilad Yron, Executive Vice President of Global Business. Additionally, the Company attended two trade shows during the second quarter, resulting in new orders and a number of potential new customers.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Gabi Seligsohn, Kornit Digital's Chief Executive Officer commented, "We are pleased with the ongoing growth we have seen in the first half of 2016. We are continuing to ramp up our large, undisclosed customer and are seeing a significant increase in sales with multiple large accounts within the United States which we expect to continue well into the second half of the year."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Seligsohn continued, "We are committed to maintaining strong rates of growth and to building a highly capable operating infrastructure. To that end, the very successful onboard of both Gilad, as head of global business, and Nuriel, as our CTO, will allow us to combine deeper customer and partner relationships with an exciting long term product roadmap. We are also very pleased with the process of integrating SPSI's business with our North American operation. As previously communicated, we will continue to layer on operating expenses in several parts of the organization during the balance of the year to develop a stronger platform. Adoption of our systems and product offerings is continuing to increase throughout the marketplace and these investments position us to capture an acceleration of growth in the second half of 2016. Over time, we believe these investments will drive the benefits of scale and ensure a strong level of execution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Second Quarter 2016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2016, Kornit reported revenues of $24.0 million, an increase of 12.6% compared with the prior-year level of $21.3 million. Higher sales were the result of higher volume of systems sold and ink.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GAAP second quarter gross profit was $11.7 million, compared with $10.0 million, in the prior-year. On a Non-GAAP basis gross profit in the second quarter was $11.9 million, or 49.5% of sales, compared with $10.1 million, or 47.6% of sales in the prior-year. Higher gross margins primarily reflected a favorable sales mix of high throughput systems, and an increased contribution from ink and consumables during the current period.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GAAP total operating expenses in the second quarter were $11.6 million, compared to $8.9 million in the prior period. On a Non-GAAP basis operating expenses in the second quarter increased to $10.9 million, or 45.4% of sales, compared to $7.4 million, or 34.7% of sales in the prior year. The increase in total operating expenses was consistent with the investment strategy previously discussed, and increased headcount in our research and development department.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Second quarter GAAP research and development expenses were $4.1 million, compared to the prior-year period of $2.7 million. Second quarter non-GAAP research and development expenses were $4.0 million, or 16.8% of sales, compared to $2.5 million, or 11.9% of sales in the prior-year. We expect to have elevated research and development costs for the balance of the year.</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GAAP second quarter operating income was $0.1 million, compared to the prior year period profit of $1.1 million. Non-GAAP operating income in the second quarter decreased to $1.0 million, compared to $2.7 million in the prior year. As a percent of sales, Non-GAAP operating margin for the second quarter was 4.0% of sales, compared with 12.9% of sales in the prior year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reported second quarter GAAP net loss of $0.1 million, or net loss of $0.00 per diluted share, compared to net income of $0.7 million in the second quarter of 2015. On a Non-GAAP basis, net income for the second quarter of 2016 were $0.7 million, or $0.02 per diluted share, compared to $2.4 million in the prior 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June 30, 2016, the Company had cash and cash equivalents, bank deposits and marketable securities of $66.2 million, and no long-term debt. Cash flow used in operation activity for the first half of 2016 were $6.8 million, primarily due to the increase of inventories and accounts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2016 Guidance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discuss the details of its guidance live during its earnings conference call, which will be available for replay via webcast at </w:t>
      </w:r>
      <w:r>
        <w:rPr>
          <w:rFonts w:ascii="Arial" w:cs="Arial" w:eastAsia="Arial" w:hAnsi="Arial"/>
          <w:sz w:val="16"/>
          <w:szCs w:val="16"/>
          <w:u w:val="single" w:color="auto"/>
          <w:color w:val="auto"/>
        </w:rPr>
        <w:t>ir.kornit.com</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Gabi Seligsohn, the Company's Chief Executive Officer, and Guy Avidan, the Company's Chief Financial Officer, will host a conference call on the same day at 5:00 p.m. ET, or 12:00 a.m. Israel time, to discuss the results, followed by a question and answer session for the investment community. A live webcast of the call can be accessed at </w:t>
      </w:r>
      <w:r>
        <w:rPr>
          <w:rFonts w:ascii="Arial" w:cs="Arial" w:eastAsia="Arial" w:hAnsi="Arial"/>
          <w:sz w:val="18"/>
          <w:szCs w:val="18"/>
          <w:u w:val="single" w:color="auto"/>
          <w:color w:val="auto"/>
        </w:rPr>
        <w:t>ir.kornit.com</w:t>
      </w:r>
      <w:r>
        <w:rPr>
          <w:rFonts w:ascii="Arial" w:cs="Arial" w:eastAsia="Arial" w:hAnsi="Arial"/>
          <w:sz w:val="18"/>
          <w:szCs w:val="18"/>
          <w:color w:val="auto"/>
        </w:rPr>
        <w:t>. To access the call, participants may dial toll-free at 1-877-419-6600 or +1-719-325-4750 (international). The toll-free Israeli number is 1 80 925 8243. The confirmation code is 8140279.</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1-877-870-5176 or +1-858-384-5517 (international) and enter confirmation code 8140279. The telephonic replay will be available beginning at 8:00 p.m. ET on Tuesday, August 2, 2016, and will last through 11:59 p.m. ET August 16, 2016. The call will also be available for replay via the webcast link on Kornit's Investor Relations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such as our Storm Hexa,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Annual Report on Form 20-F filed with the U.S. Securities and Exchange Commission on March 17, 2016.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Non-GAAP financial measures consist of GAAP financial measures adjusted to exclude acquisition related expenses, share-based compensation expenses and amortization of acquired intangible assets.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Kornit develops, designs and markets innovative digital printing solutions for the global printed textile industry. Kornit's solution includes its proprietary digital printing systems, ink and other consumables, associated software and value added services. Kornit's vision is to revolutionize the textile industry by facilitating the transition from analog processes that have not evolved for decades to digital methods of production that address contemporary supply, demand and environmental dynamics. Kornit is a global company headquartered in Rosh-Ha'Ayin, Israel, with U.S. offices in Mequon, Wisconsin and additional sales, support and marketing offices in Germany and Hong Kong.</w:t>
      </w:r>
    </w:p>
    <w:p>
      <w:pPr>
        <w:spacing w:after="0" w:line="18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18"/>
                <w:szCs w:val="18"/>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51"/>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51"/>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45,787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23,952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23,625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20,923</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12,260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5,506</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5,185</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(expenses), net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taxes on income</w:t>
            </w: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902</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Taxes on income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number of shares used in computing basic and diluted net loss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30,420,165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19,370,095</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30,474,543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29,766,965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shares used in computing diluted net income (loss)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30,420,165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21,268,193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30,474,543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31,778,725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20" w:type="dxa"/>
            <w:vAlign w:val="bottom"/>
            <w:tcBorders>
              <w:top w:val="single" w:sz="8" w:color="CCEEFF"/>
              <w:bottom w:val="single" w:sz="8" w:color="CCEEFF"/>
            </w:tcBorders>
            <w:vMerge w:val="restart"/>
          </w:tcPr>
          <w:p>
            <w:pPr>
              <w:jc w:val="right"/>
              <w:ind w:right="90"/>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59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RECONCILATION OF GAAP TO NON-GAAP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 except share and per share data)</w:t>
      </w:r>
    </w:p>
    <w:p>
      <w:pPr>
        <w:sectPr>
          <w:pgSz w:w="11900" w:h="16838" w:orient="portrait"/>
          <w:cols w:equalWidth="0" w:num="1">
            <w:col w:w="11420"/>
          </w:cols>
          <w:pgMar w:left="240" w:top="904" w:right="239" w:bottom="1440" w:gutter="0" w:footer="0" w:header="0"/>
        </w:sect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122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5"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14605</wp:posOffset>
            </wp:positionV>
            <wp:extent cx="1577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200"/>
          </w:cols>
          <w:pgMar w:left="240" w:top="904" w:right="2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 as reported</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Expenses recorded for share-based compensation</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Intangible assets amortization</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Compensation in relation to the IPO</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Separation payment to shareholder</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IPO bonuses to employees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Non-GAAP net income</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1,322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Non- GAAP diluted net income per share</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w w:val="89"/>
              </w:rPr>
              <w:t>Weighted average number of shares used in computing diluted net income per</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share</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32,006,613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21,657,529</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31,985,387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32,145,288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Short term bank deposits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Trade receivables,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receivables and prepaid expenses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Inventory</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Available for sale marketable securities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assets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124,231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CURRENT LIABILITIES: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Employees and payroll accruals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Accrued severance pay</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liabilities</w:t>
            </w:r>
          </w:p>
        </w:tc>
        <w:tc>
          <w:tcPr>
            <w:tcW w:w="4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SHAREHOLDERS' EQUITY</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102,157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124,231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20" w:type="dxa"/>
            <w:vAlign w:val="bottom"/>
            <w:vMerge w:val="restart"/>
          </w:tcPr>
          <w:p>
            <w:pPr>
              <w:jc w:val="right"/>
              <w:ind w:right="297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ectPr>
          <w:pgSz w:w="11900" w:h="16838" w:orient="portrait"/>
          <w:cols w:equalWidth="0" w:num="1">
            <w:col w:w="11420"/>
          </w:cols>
          <w:pgMar w:left="240" w:top="904" w:right="239" w:bottom="437" w:gutter="0" w:footer="0" w:header="0"/>
        </w:sect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1"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5715</wp:posOffset>
            </wp:positionV>
            <wp:extent cx="15779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1"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ectPr>
          <w:pgSz w:w="11900" w:h="16838" w:orient="portrait"/>
          <w:cols w:equalWidth="0" w:num="2">
            <w:col w:w="8500" w:space="720"/>
            <w:col w:w="2200"/>
          </w:cols>
          <w:pgMar w:left="240" w:top="904" w:right="239" w:bottom="437"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5900" w:type="dxa"/>
            <w:vAlign w:val="bottom"/>
            <w:gridSpan w:val="4"/>
          </w:tcPr>
          <w:p>
            <w:pPr>
              <w:spacing w:after="0" w:line="182"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gridSpan w:val="3"/>
          </w:tcPr>
          <w:p>
            <w:pPr>
              <w:spacing w:after="0" w:line="201" w:lineRule="exact"/>
              <w:rPr>
                <w:sz w:val="20"/>
                <w:szCs w:val="20"/>
                <w:color w:val="auto"/>
              </w:rPr>
            </w:pPr>
            <w:r>
              <w:rPr>
                <w:rFonts w:ascii="Arial" w:cs="Arial" w:eastAsia="Arial" w:hAnsi="Arial"/>
                <w:sz w:val="18"/>
                <w:szCs w:val="18"/>
                <w:color w:val="auto"/>
                <w:w w:val="96"/>
              </w:rPr>
              <w:t>Adjustments to reconcile net income (loss) to net cash provided by (used in)</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3"/>
          </w:tcPr>
          <w:p>
            <w:pPr>
              <w:ind w:left="16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975</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premium on marketable securities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Increase in trade receivables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(1,491)</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Increase in inventory</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(1,737)</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deferred taxes, net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Decrease (increase) in other long term assets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687</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revenues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Increase (decrease) in accrued severance pay, net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gridSpan w:val="3"/>
          </w:tcPr>
          <w:p>
            <w:pPr>
              <w:spacing w:after="0" w:line="201" w:lineRule="exact"/>
              <w:rPr>
                <w:sz w:val="20"/>
                <w:szCs w:val="20"/>
                <w:color w:val="auto"/>
              </w:rPr>
            </w:pPr>
            <w:r>
              <w:rPr>
                <w:rFonts w:ascii="Arial" w:cs="Arial" w:eastAsia="Arial" w:hAnsi="Arial"/>
                <w:sz w:val="18"/>
                <w:szCs w:val="18"/>
                <w:color w:val="auto"/>
                <w:w w:val="93"/>
              </w:rPr>
              <w:t>Foreign currency translation gain (loss) on inter company balances with foreign</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80" w:type="dxa"/>
            <w:vAlign w:val="bottom"/>
            <w:gridSpan w:val="3"/>
          </w:tcPr>
          <w:p>
            <w:pPr>
              <w:ind w:left="160"/>
              <w:spacing w:after="0"/>
              <w:rPr>
                <w:sz w:val="20"/>
                <w:szCs w:val="20"/>
                <w:color w:val="auto"/>
              </w:rPr>
            </w:pPr>
            <w:r>
              <w:rPr>
                <w:rFonts w:ascii="Arial" w:cs="Arial" w:eastAsia="Arial" w:hAnsi="Arial"/>
                <w:sz w:val="18"/>
                <w:szCs w:val="18"/>
                <w:color w:val="auto"/>
              </w:rPr>
              <w:t>subsidiaries</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c>
          <w:tcPr>
            <w:tcW w:w="3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8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(773)</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Proceeds from bank deposits, net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maturity of marketable securities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Proceeds from sale of marketable securities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(1,773</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8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Payment of deferred issuance cost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75,232</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75,600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75,232</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Decrease in cash and cash equivalents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75,476</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75,807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Cash and cash equivalents at the end of the period</w:t>
            </w: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8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80,426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11,309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Purchase of property and equipment on credit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expenses on credit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transferred to be used as inventory</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682-8311 </w:t>
      </w:r>
      <w:r>
        <w:rPr>
          <w:rFonts w:ascii="Arial" w:cs="Arial" w:eastAsia="Arial" w:hAnsi="Arial"/>
          <w:sz w:val="16"/>
          <w:szCs w:val="16"/>
          <w:u w:val="single" w:color="auto"/>
          <w:color w:val="auto"/>
        </w:rPr>
        <w:t>Michael.Callahan@icrinc.com</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4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2019-12-09T01:24:51Z</dcterms:created>
  <dcterms:modified xsi:type="dcterms:W3CDTF">2019-12-09T01:24:51Z</dcterms:modified>
</cp:coreProperties>
</file>