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February 2022</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660"/>
        <w:spacing w:after="0" w:line="184" w:lineRule="exact"/>
        <w:tabs>
          <w:tab w:leader="none" w:pos="570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Form 40-F </w:t>
      </w:r>
      <w:r>
        <w:rPr>
          <w:rFonts w:ascii="MS PGothic" w:cs="MS PGothic" w:eastAsia="MS PGothic" w:hAnsi="MS PGothic"/>
          <w:sz w:val="14"/>
          <w:szCs w:val="14"/>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6"/>
          <w:szCs w:val="16"/>
          <w:b w:val="1"/>
          <w:bCs w:val="1"/>
          <w:color w:val="auto"/>
        </w:rPr>
        <w:t>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and Financial Condition- Fourth Quarter and Year-End of 2021</w:t>
      </w:r>
    </w:p>
    <w:p>
      <w:pPr>
        <w:spacing w:after="0" w:line="194" w:lineRule="exact"/>
        <w:rPr>
          <w:sz w:val="20"/>
          <w:szCs w:val="20"/>
          <w:color w:val="auto"/>
        </w:rPr>
      </w:pPr>
    </w:p>
    <w:p>
      <w:pPr>
        <w:jc w:val="both"/>
        <w:ind w:right="220" w:firstLine="565"/>
        <w:spacing w:after="0" w:line="354" w:lineRule="auto"/>
        <w:rPr>
          <w:sz w:val="20"/>
          <w:szCs w:val="20"/>
          <w:color w:val="auto"/>
        </w:rPr>
      </w:pPr>
      <w:r>
        <w:rPr>
          <w:rFonts w:ascii="Arial" w:cs="Arial" w:eastAsia="Arial" w:hAnsi="Arial"/>
          <w:sz w:val="14"/>
          <w:szCs w:val="14"/>
          <w:color w:val="auto"/>
        </w:rPr>
        <w:t>On February 15, 2022, Kornit Digital Ltd. (“</w:t>
      </w:r>
      <w:r>
        <w:rPr>
          <w:rFonts w:ascii="Arial" w:cs="Arial" w:eastAsia="Arial" w:hAnsi="Arial"/>
          <w:sz w:val="14"/>
          <w:szCs w:val="14"/>
          <w:b w:val="1"/>
          <w:bCs w:val="1"/>
          <w:color w:val="auto"/>
        </w:rPr>
        <w:t>Kornit</w:t>
      </w:r>
      <w:r>
        <w:rPr>
          <w:rFonts w:ascii="Arial" w:cs="Arial" w:eastAsia="Arial" w:hAnsi="Arial"/>
          <w:sz w:val="14"/>
          <w:szCs w:val="14"/>
          <w:color w:val="auto"/>
        </w:rPr>
        <w:t>”) issued a press release entitled “Kornit Digital Reports Record Fourth Quarter and Full-Year 2021 Results”, in which Kornit reported its results of operations for the fourth quarter and full year ended December 31, 2021. A copy of that press release is furnished as Exhibit 99.1 hereto.</w:t>
      </w:r>
    </w:p>
    <w:p>
      <w:pPr>
        <w:spacing w:after="0" w:line="103" w:lineRule="exact"/>
        <w:rPr>
          <w:sz w:val="20"/>
          <w:szCs w:val="20"/>
          <w:color w:val="auto"/>
        </w:rPr>
      </w:pPr>
    </w:p>
    <w:p>
      <w:pPr>
        <w:ind w:firstLine="565"/>
        <w:spacing w:after="0" w:line="287" w:lineRule="auto"/>
        <w:rPr>
          <w:sz w:val="20"/>
          <w:szCs w:val="20"/>
          <w:color w:val="auto"/>
        </w:rPr>
      </w:pPr>
      <w:r>
        <w:rPr>
          <w:rFonts w:ascii="Arial" w:cs="Arial" w:eastAsia="Arial" w:hAnsi="Arial"/>
          <w:sz w:val="15"/>
          <w:szCs w:val="15"/>
          <w:color w:val="auto"/>
        </w:rPr>
        <w:t xml:space="preserve">In conjunction with the conference call being held on February 15, 2022 to discuss Kornit’s quarterly results for the fourth quarter and full year ended December 31, 2021, Kornit has also made available to its investors a slide presentation to provide additional information regarding its business and its financial results. That slide presentation is attached as </w:t>
      </w:r>
      <w:r>
        <w:rPr>
          <w:rFonts w:ascii="Arial" w:cs="Arial" w:eastAsia="Arial" w:hAnsi="Arial"/>
          <w:sz w:val="15"/>
          <w:szCs w:val="15"/>
          <w:u w:val="single" w:color="auto"/>
          <w:color w:val="auto"/>
        </w:rPr>
        <w:t>Exhibit 99.2</w:t>
      </w:r>
      <w:r>
        <w:rPr>
          <w:rFonts w:ascii="Arial" w:cs="Arial" w:eastAsia="Arial" w:hAnsi="Arial"/>
          <w:sz w:val="15"/>
          <w:szCs w:val="15"/>
          <w:color w:val="auto"/>
        </w:rPr>
        <w:t xml:space="preserve"> to this Report of Foreign Private Issuer on Form 6-K (this “</w:t>
      </w:r>
      <w:r>
        <w:rPr>
          <w:rFonts w:ascii="Arial" w:cs="Arial" w:eastAsia="Arial" w:hAnsi="Arial"/>
          <w:sz w:val="15"/>
          <w:szCs w:val="15"/>
          <w:b w:val="1"/>
          <w:bCs w:val="1"/>
          <w:color w:val="auto"/>
        </w:rPr>
        <w:t>Form 6-K</w:t>
      </w:r>
      <w:r>
        <w:rPr>
          <w:rFonts w:ascii="Arial" w:cs="Arial" w:eastAsia="Arial" w:hAnsi="Arial"/>
          <w:sz w:val="15"/>
          <w:szCs w:val="15"/>
          <w:color w:val="auto"/>
        </w:rPr>
        <w:t>”) and is incorporated herein by reference.</w:t>
      </w:r>
    </w:p>
    <w:p>
      <w:pPr>
        <w:spacing w:after="0" w:line="146" w:lineRule="exact"/>
        <w:rPr>
          <w:sz w:val="20"/>
          <w:szCs w:val="20"/>
          <w:color w:val="auto"/>
        </w:rPr>
      </w:pPr>
    </w:p>
    <w:p>
      <w:pPr>
        <w:ind w:right="80" w:firstLine="565"/>
        <w:spacing w:after="0" w:line="258" w:lineRule="auto"/>
        <w:rPr>
          <w:sz w:val="20"/>
          <w:szCs w:val="20"/>
          <w:color w:val="auto"/>
        </w:rPr>
      </w:pPr>
      <w:r>
        <w:rPr>
          <w:rFonts w:ascii="Arial" w:cs="Arial" w:eastAsia="Arial" w:hAnsi="Arial"/>
          <w:sz w:val="16"/>
          <w:szCs w:val="16"/>
          <w:color w:val="auto"/>
        </w:rPr>
        <w:t>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F-3 (File No. 333-248784) and Form S-8 (File No.’s 333-203970, 333-214015, 333-217039, 333-223794, 333-230567, 333-237346 and 333-254749).</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6"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10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7680" w:type="dxa"/>
            <w:vAlign w:val="bottom"/>
            <w:gridSpan w:val="2"/>
          </w:tcPr>
          <w:p>
            <w:pPr>
              <w:ind w:left="3180"/>
              <w:spacing w:after="0"/>
              <w:rPr>
                <w:sz w:val="20"/>
                <w:szCs w:val="20"/>
                <w:color w:val="auto"/>
              </w:rPr>
            </w:pPr>
            <w:r>
              <w:rPr>
                <w:rFonts w:ascii="Arial" w:cs="Arial" w:eastAsia="Arial" w:hAnsi="Arial"/>
                <w:sz w:val="16"/>
                <w:szCs w:val="16"/>
                <w:color w:val="auto"/>
              </w:rPr>
              <w:t>KORNIT DIGITAL LTD.</w:t>
            </w:r>
          </w:p>
        </w:tc>
      </w:tr>
      <w:tr>
        <w:trPr>
          <w:trHeight w:val="398"/>
        </w:trPr>
        <w:tc>
          <w:tcPr>
            <w:tcW w:w="3580" w:type="dxa"/>
            <w:vAlign w:val="bottom"/>
          </w:tcPr>
          <w:p>
            <w:pPr>
              <w:spacing w:after="0"/>
              <w:rPr>
                <w:sz w:val="20"/>
                <w:szCs w:val="20"/>
                <w:color w:val="auto"/>
              </w:rPr>
            </w:pPr>
            <w:r>
              <w:rPr>
                <w:rFonts w:ascii="Arial" w:cs="Arial" w:eastAsia="Arial" w:hAnsi="Arial"/>
                <w:sz w:val="16"/>
                <w:szCs w:val="16"/>
                <w:color w:val="auto"/>
              </w:rPr>
              <w:t>Date: February 15, 2022</w:t>
            </w:r>
          </w:p>
        </w:tc>
        <w:tc>
          <w:tcPr>
            <w:tcW w:w="3740" w:type="dxa"/>
            <w:vAlign w:val="bottom"/>
          </w:tcPr>
          <w:p>
            <w:pPr>
              <w:ind w:left="318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Alon Rozner</w:t>
            </w:r>
          </w:p>
        </w:tc>
      </w:tr>
      <w:tr>
        <w:trPr>
          <w:trHeight w:val="179"/>
        </w:trPr>
        <w:tc>
          <w:tcPr>
            <w:tcW w:w="3580" w:type="dxa"/>
            <w:vAlign w:val="bottom"/>
          </w:tcPr>
          <w:p>
            <w:pPr>
              <w:spacing w:after="0"/>
              <w:rPr>
                <w:sz w:val="15"/>
                <w:szCs w:val="15"/>
                <w:color w:val="auto"/>
              </w:rPr>
            </w:pPr>
          </w:p>
        </w:tc>
        <w:tc>
          <w:tcPr>
            <w:tcW w:w="3740" w:type="dxa"/>
            <w:vAlign w:val="bottom"/>
          </w:tcPr>
          <w:p>
            <w:pPr>
              <w:ind w:left="318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Alon Ronzer</w:t>
            </w:r>
          </w:p>
        </w:tc>
      </w:tr>
      <w:tr>
        <w:trPr>
          <w:trHeight w:val="204"/>
        </w:trPr>
        <w:tc>
          <w:tcPr>
            <w:tcW w:w="3580" w:type="dxa"/>
            <w:vAlign w:val="bottom"/>
          </w:tcPr>
          <w:p>
            <w:pPr>
              <w:spacing w:after="0"/>
              <w:rPr>
                <w:sz w:val="17"/>
                <w:szCs w:val="17"/>
                <w:color w:val="auto"/>
              </w:rPr>
            </w:pPr>
          </w:p>
        </w:tc>
        <w:tc>
          <w:tcPr>
            <w:tcW w:w="3740" w:type="dxa"/>
            <w:vAlign w:val="bottom"/>
          </w:tcPr>
          <w:p>
            <w:pPr>
              <w:ind w:left="318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577"/>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20"/>
              <w:spacing w:after="0"/>
              <w:rPr>
                <w:sz w:val="20"/>
                <w:szCs w:val="20"/>
                <w:color w:val="auto"/>
              </w:rPr>
            </w:pPr>
            <w:r>
              <w:rPr>
                <w:rFonts w:ascii="Arial" w:cs="Arial" w:eastAsia="Arial" w:hAnsi="Arial"/>
                <w:sz w:val="16"/>
                <w:szCs w:val="16"/>
                <w:color w:val="auto"/>
              </w:rPr>
              <w:t>2</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jc w:val="center"/>
              <w:ind w:right="1220"/>
              <w:spacing w:after="0"/>
              <w:rPr>
                <w:sz w:val="20"/>
                <w:szCs w:val="20"/>
                <w:color w:val="auto"/>
              </w:rPr>
            </w:pPr>
            <w:r>
              <w:rPr>
                <w:rFonts w:ascii="Arial" w:cs="Arial" w:eastAsia="Arial" w:hAnsi="Arial"/>
                <w:sz w:val="16"/>
                <w:szCs w:val="16"/>
                <w:b w:val="1"/>
                <w:bCs w:val="1"/>
                <w:color w:val="auto"/>
                <w:w w:val="94"/>
              </w:rPr>
              <w:t>Exhibit Index</w:t>
            </w:r>
          </w:p>
        </w:tc>
      </w:tr>
      <w:tr>
        <w:trPr>
          <w:trHeight w:val="398"/>
        </w:trPr>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320" w:type="dxa"/>
            <w:vAlign w:val="bottom"/>
          </w:tcPr>
          <w:p>
            <w:pPr>
              <w:spacing w:after="0"/>
              <w:rPr>
                <w:sz w:val="24"/>
                <w:szCs w:val="24"/>
                <w:color w:val="auto"/>
              </w:rPr>
            </w:pPr>
          </w:p>
        </w:tc>
        <w:tc>
          <w:tcPr>
            <w:tcW w:w="10040" w:type="dxa"/>
            <w:vAlign w:val="bottom"/>
            <w:gridSpan w:val="3"/>
          </w:tcPr>
          <w:p>
            <w:pPr>
              <w:ind w:left="446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8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00" w:type="dxa"/>
            <w:vAlign w:val="bottom"/>
            <w:tcBorders>
              <w:top w:val="single" w:sz="8" w:color="CCEEFF"/>
            </w:tcBorders>
            <w:shd w:val="clear" w:color="auto" w:fill="CCEEFF"/>
          </w:tcPr>
          <w:p>
            <w:pPr>
              <w:spacing w:after="0"/>
              <w:rPr>
                <w:sz w:val="14"/>
                <w:szCs w:val="14"/>
                <w:color w:val="auto"/>
              </w:rPr>
            </w:pPr>
          </w:p>
        </w:tc>
        <w:tc>
          <w:tcPr>
            <w:tcW w:w="10360" w:type="dxa"/>
            <w:vAlign w:val="bottom"/>
            <w:tcBorders>
              <w:top w:val="single" w:sz="8" w:color="auto"/>
            </w:tcBorders>
            <w:gridSpan w:val="4"/>
            <w:shd w:val="clear" w:color="auto" w:fill="CCEEFF"/>
          </w:tcPr>
          <w:p>
            <w:pP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Press release, dated February 15, 2022, titled “Kornit Digital Reports Record Fourth Quarter and Full-Year 2021 Results”</w:t>
              </w:r>
            </w:hyperlink>
          </w:p>
        </w:tc>
      </w:tr>
      <w:tr>
        <w:trPr>
          <w:trHeight w:val="191"/>
        </w:trPr>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7440" w:type="dxa"/>
            <w:vAlign w:val="bottom"/>
            <w:tcBorders>
              <w:top w:val="single" w:sz="8" w:color="0000EE"/>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55"/>
        </w:trPr>
        <w:tc>
          <w:tcPr>
            <w:tcW w:w="8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3"/>
                <w:szCs w:val="13"/>
                <w:color w:val="auto"/>
              </w:rPr>
            </w:pPr>
          </w:p>
        </w:tc>
        <w:tc>
          <w:tcPr>
            <w:tcW w:w="10360" w:type="dxa"/>
            <w:vAlign w:val="bottom"/>
            <w:gridSpan w:val="4"/>
            <w:shd w:val="clear" w:color="auto" w:fill="CCEEFF"/>
          </w:tcPr>
          <w:p>
            <w:pPr>
              <w:spacing w:after="0" w:line="155" w:lineRule="exact"/>
              <w:rPr>
                <w:rFonts w:ascii="Arial" w:cs="Arial" w:eastAsia="Arial" w:hAnsi="Arial"/>
                <w:sz w:val="16"/>
                <w:szCs w:val="16"/>
                <w:color w:val="0000EE"/>
                <w:w w:val="91"/>
              </w:rPr>
            </w:pPr>
            <w:hyperlink w:anchor="page13">
              <w:r>
                <w:rPr>
                  <w:rFonts w:ascii="Arial" w:cs="Arial" w:eastAsia="Arial" w:hAnsi="Arial"/>
                  <w:sz w:val="16"/>
                  <w:szCs w:val="16"/>
                  <w:color w:val="0000EE"/>
                  <w:w w:val="91"/>
                </w:rPr>
                <w:t>Slide presentation for conference call of Kornit held on February 15, 2022 discussing quarterly and annual financial results for the fourth quarter and year-end of</w:t>
              </w:r>
            </w:hyperlink>
          </w:p>
        </w:tc>
      </w:tr>
      <w:tr>
        <w:trPr>
          <w:trHeight w:val="187"/>
        </w:trPr>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0000EE"/>
              <w:bottom w:val="single" w:sz="8" w:color="0000EE"/>
            </w:tcBorders>
            <w:shd w:val="clear" w:color="auto" w:fill="CCEEFF"/>
          </w:tcPr>
          <w:p>
            <w:pPr>
              <w:spacing w:after="0" w:line="171" w:lineRule="exact"/>
              <w:rPr>
                <w:rFonts w:ascii="Arial" w:cs="Arial" w:eastAsia="Arial" w:hAnsi="Arial"/>
                <w:sz w:val="16"/>
                <w:szCs w:val="16"/>
                <w:color w:val="0000EE"/>
                <w:w w:val="84"/>
              </w:rPr>
            </w:pPr>
            <w:hyperlink w:anchor="page13">
              <w:r>
                <w:rPr>
                  <w:rFonts w:ascii="Arial" w:cs="Arial" w:eastAsia="Arial" w:hAnsi="Arial"/>
                  <w:sz w:val="16"/>
                  <w:szCs w:val="16"/>
                  <w:color w:val="0000EE"/>
                  <w:w w:val="84"/>
                </w:rPr>
                <w:t>2021</w:t>
              </w:r>
            </w:hyperlink>
          </w:p>
        </w:tc>
        <w:tc>
          <w:tcPr>
            <w:tcW w:w="7440" w:type="dxa"/>
            <w:vAlign w:val="bottom"/>
            <w:tcBorders>
              <w:top w:val="single" w:sz="8" w:color="0000EE"/>
              <w:bottom w:val="single" w:sz="8" w:color="CCEEFF"/>
            </w:tcBorders>
            <w:shd w:val="clear" w:color="auto" w:fill="CCEEFF"/>
          </w:tcPr>
          <w:p>
            <w:pPr>
              <w:spacing w:after="0"/>
              <w:rPr>
                <w:sz w:val="16"/>
                <w:szCs w:val="16"/>
                <w:color w:val="auto"/>
              </w:rPr>
            </w:pPr>
          </w:p>
        </w:tc>
        <w:tc>
          <w:tcPr>
            <w:tcW w:w="2500" w:type="dxa"/>
            <w:vAlign w:val="bottom"/>
            <w:tcBorders>
              <w:top w:val="single" w:sz="8" w:color="0000EE"/>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89"/>
        </w:trPr>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jc w:val="right"/>
              <w:ind w:right="2920"/>
              <w:spacing w:after="0"/>
              <w:rPr>
                <w:sz w:val="20"/>
                <w:szCs w:val="20"/>
                <w:color w:val="auto"/>
              </w:rPr>
            </w:pPr>
            <w:r>
              <w:rPr>
                <w:rFonts w:ascii="Arial" w:cs="Arial" w:eastAsia="Arial" w:hAnsi="Arial"/>
                <w:sz w:val="16"/>
                <w:szCs w:val="16"/>
                <w:color w:val="auto"/>
              </w:rPr>
              <w:t>3</w:t>
            </w: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 G. Backman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Global Head of Investor Relations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andrew.backman@kornit.com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69975" cy="645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Kornit Digital Reports Record Fourth Quarter and Full-Year 2021 Results</w:t>
      </w:r>
    </w:p>
    <w:p>
      <w:pPr>
        <w:spacing w:after="0" w:line="202" w:lineRule="exact"/>
        <w:rPr>
          <w:sz w:val="20"/>
          <w:szCs w:val="20"/>
          <w:color w:val="auto"/>
        </w:rPr>
      </w:pPr>
    </w:p>
    <w:p>
      <w:pPr>
        <w:ind w:left="284" w:right="200" w:hanging="284"/>
        <w:spacing w:after="0" w:line="275" w:lineRule="auto"/>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fourth quarter revenue of $87.5 million, net of non-cash warrants impact of $7.9 million; Full-Year 2021 revenue up 67% year-over-year to $322.0 million, net of non-cash warrants impact of $25.4 million</w:t>
      </w:r>
    </w:p>
    <w:p>
      <w:pPr>
        <w:spacing w:after="0" w:line="175"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quarter GAAP net income of $1.0 million; Full-Year 2021 GAAP net income of $15.5 million</w:t>
      </w:r>
    </w:p>
    <w:p>
      <w:pPr>
        <w:spacing w:after="0" w:line="222" w:lineRule="exact"/>
        <w:rPr>
          <w:rFonts w:ascii="Arial" w:cs="Arial" w:eastAsia="Arial" w:hAnsi="Arial"/>
          <w:sz w:val="16"/>
          <w:szCs w:val="16"/>
          <w:color w:val="auto"/>
        </w:rPr>
      </w:pPr>
    </w:p>
    <w:p>
      <w:pPr>
        <w:ind w:left="284" w:right="60" w:hanging="284"/>
        <w:spacing w:after="0" w:line="275" w:lineRule="auto"/>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quarter Non-GAAP net income of $6.4million, net of non-cash warrants impact of $7.9 million; Full-Year 2021 Non-GAAP net income of $36.1million, net of non-cash warrants impact of $25.4 million</w:t>
      </w:r>
    </w:p>
    <w:p>
      <w:pPr>
        <w:spacing w:after="0" w:line="175"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quarter cash from operations of $9.3 million; Full-Year 2021 cash from operations of $52.5 million</w:t>
      </w:r>
    </w:p>
    <w:p>
      <w:pPr>
        <w:spacing w:after="0" w:line="222"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quarter for consumables and services, driven by a strong peak season</w:t>
      </w:r>
    </w:p>
    <w:p>
      <w:pPr>
        <w:spacing w:after="0" w:line="222"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Strong system sales in fourth quarter with ATLAS MAX exceeding expectations</w:t>
      </w:r>
    </w:p>
    <w:p>
      <w:pPr>
        <w:spacing w:after="0" w:line="222"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Entering 2022 with very strong backlog and visibility</w:t>
      </w:r>
    </w:p>
    <w:p>
      <w:pPr>
        <w:spacing w:after="0" w:line="222"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Major new product introductions starting in first quarter 2022</w:t>
      </w:r>
    </w:p>
    <w:p>
      <w:pPr>
        <w:spacing w:after="0" w:line="202" w:lineRule="exact"/>
        <w:rPr>
          <w:sz w:val="20"/>
          <w:szCs w:val="20"/>
          <w:color w:val="auto"/>
        </w:rPr>
      </w:pPr>
    </w:p>
    <w:p>
      <w:pPr>
        <w:ind w:left="4" w:right="480"/>
        <w:spacing w:after="0" w:line="212" w:lineRule="auto"/>
        <w:rPr>
          <w:sz w:val="20"/>
          <w:szCs w:val="20"/>
          <w:color w:val="auto"/>
        </w:rPr>
      </w:pPr>
      <w:r>
        <w:rPr>
          <w:rFonts w:ascii="Arial" w:cs="Arial" w:eastAsia="Arial" w:hAnsi="Arial"/>
          <w:sz w:val="16"/>
          <w:szCs w:val="16"/>
          <w:b w:val="1"/>
          <w:bCs w:val="1"/>
          <w:color w:val="auto"/>
        </w:rPr>
        <w:t xml:space="preserve">Rosh-Ha’Ayin, Israel – February 15, 2022 – </w:t>
      </w:r>
      <w:r>
        <w:rPr>
          <w:rFonts w:ascii="Arial" w:cs="Arial" w:eastAsia="Arial" w:hAnsi="Arial"/>
          <w:sz w:val="16"/>
          <w:szCs w:val="16"/>
          <w:color w:val="auto"/>
        </w:rPr>
        <w:t>Kornit Digital Ltd. (NASDAQ: KRNT), a worldwide market leader in sustainable, on-demand, digital fashion</w:t>
      </w:r>
      <w:r>
        <w:rPr>
          <w:rFonts w:ascii="Arial" w:cs="Arial" w:eastAsia="Arial" w:hAnsi="Arial"/>
          <w:sz w:val="26"/>
          <w:szCs w:val="26"/>
          <w:color w:val="auto"/>
          <w:vertAlign w:val="superscript"/>
        </w:rPr>
        <w:t>x</w:t>
      </w:r>
      <w:r>
        <w:rPr>
          <w:rFonts w:ascii="Arial" w:cs="Arial" w:eastAsia="Arial" w:hAnsi="Arial"/>
          <w:sz w:val="16"/>
          <w:szCs w:val="16"/>
          <w:b w:val="1"/>
          <w:bCs w:val="1"/>
          <w:color w:val="auto"/>
        </w:rPr>
        <w:t xml:space="preserve"> </w:t>
      </w:r>
      <w:r>
        <w:rPr>
          <w:rFonts w:ascii="Arial" w:cs="Arial" w:eastAsia="Arial" w:hAnsi="Arial"/>
          <w:sz w:val="16"/>
          <w:szCs w:val="16"/>
          <w:color w:val="auto"/>
        </w:rPr>
        <w:t>and textile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technologies, reported today results for the fourth quarter and full year ended December 31, 2021.</w:t>
      </w:r>
    </w:p>
    <w:p>
      <w:pPr>
        <w:spacing w:after="0" w:line="179" w:lineRule="exact"/>
        <w:rPr>
          <w:sz w:val="20"/>
          <w:szCs w:val="20"/>
          <w:color w:val="auto"/>
        </w:rPr>
      </w:pPr>
    </w:p>
    <w:p>
      <w:pPr>
        <w:jc w:val="both"/>
        <w:ind w:left="4" w:right="120"/>
        <w:spacing w:after="0" w:line="317" w:lineRule="auto"/>
        <w:rPr>
          <w:sz w:val="20"/>
          <w:szCs w:val="20"/>
          <w:color w:val="auto"/>
        </w:rPr>
      </w:pPr>
      <w:r>
        <w:rPr>
          <w:rFonts w:ascii="Arial" w:cs="Arial" w:eastAsia="Arial" w:hAnsi="Arial"/>
          <w:sz w:val="14"/>
          <w:szCs w:val="14"/>
          <w:color w:val="auto"/>
        </w:rPr>
        <w:t>“2021 was a pivotal year for Kornit,” said Ronen Samuel, Kornit Digital’s Chief Executive Officer. “What we accomplished this past quarter, and over the entire year, reflects outstanding execution on the huge market opportunity we are pursuing and the strength of our unique business model. The mega trends that have been fueling our business are intensifying, traditional textile supply chains are completely broken at this point, and the need for digital on-demand, sustainable production continues accelerating.”</w:t>
      </w:r>
    </w:p>
    <w:p>
      <w:pPr>
        <w:spacing w:after="0" w:line="127" w:lineRule="exact"/>
        <w:rPr>
          <w:sz w:val="20"/>
          <w:szCs w:val="20"/>
          <w:color w:val="auto"/>
        </w:rPr>
      </w:pPr>
    </w:p>
    <w:p>
      <w:pPr>
        <w:ind w:left="4" w:right="180"/>
        <w:spacing w:after="0" w:line="262" w:lineRule="auto"/>
        <w:rPr>
          <w:sz w:val="20"/>
          <w:szCs w:val="20"/>
          <w:color w:val="auto"/>
        </w:rPr>
      </w:pPr>
      <w:r>
        <w:rPr>
          <w:rFonts w:ascii="Arial" w:cs="Arial" w:eastAsia="Arial" w:hAnsi="Arial"/>
          <w:sz w:val="16"/>
          <w:szCs w:val="16"/>
          <w:color w:val="auto"/>
        </w:rPr>
        <w:t>Mr. Samuel added, “We enter 2022 for what will be one of the busiest and most exciting years in the history of Kornit; a year with strong growth and a remarkable pipeline of ground-breaking new product introductions, starting already in the first quarter. We have never been in a better position as a company and we are extremely confident in our ability to meet our $1B revenue goal by 2026, if not before.”</w:t>
      </w:r>
    </w:p>
    <w:p>
      <w:pPr>
        <w:spacing w:after="0" w:line="162" w:lineRule="exact"/>
        <w:rPr>
          <w:sz w:val="20"/>
          <w:szCs w:val="20"/>
          <w:color w:val="auto"/>
        </w:rPr>
      </w:pPr>
    </w:p>
    <w:p>
      <w:pPr>
        <w:ind w:left="4" w:right="180"/>
        <w:spacing w:after="0" w:line="275" w:lineRule="auto"/>
        <w:rPr>
          <w:sz w:val="20"/>
          <w:szCs w:val="20"/>
          <w:color w:val="auto"/>
        </w:rPr>
      </w:pPr>
      <w:r>
        <w:rPr>
          <w:rFonts w:ascii="Arial" w:cs="Arial" w:eastAsia="Arial" w:hAnsi="Arial"/>
          <w:sz w:val="16"/>
          <w:szCs w:val="16"/>
          <w:color w:val="auto"/>
        </w:rPr>
        <w:t>The following table compares the adverse, non-cash impact that the Company’s outstanding warrants had on the Company’s results of operations during the fourth quarters of 2021 and 2020, respectively:</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3500" w:type="dxa"/>
            <w:vAlign w:val="bottom"/>
          </w:tcPr>
          <w:p>
            <w:pPr>
              <w:spacing w:after="0"/>
              <w:rPr>
                <w:sz w:val="18"/>
                <w:szCs w:val="18"/>
                <w:color w:val="auto"/>
              </w:rPr>
            </w:pPr>
          </w:p>
        </w:tc>
        <w:tc>
          <w:tcPr>
            <w:tcW w:w="372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Fourth Quarter Warrants 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8"/>
        </w:trPr>
        <w:tc>
          <w:tcPr>
            <w:tcW w:w="3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3"/>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5"/>
        </w:trPr>
        <w:tc>
          <w:tcPr>
            <w:tcW w:w="3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Net of Warrants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Warrants</w:t>
            </w:r>
          </w:p>
        </w:tc>
        <w:tc>
          <w:tcPr>
            <w:tcW w:w="26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Net of Warrants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Warrants</w:t>
            </w:r>
          </w:p>
        </w:tc>
        <w:tc>
          <w:tcPr>
            <w:tcW w:w="160" w:type="dxa"/>
            <w:vAlign w:val="bottom"/>
          </w:tcPr>
          <w:p>
            <w:pPr>
              <w:spacing w:after="0"/>
              <w:rPr>
                <w:sz w:val="15"/>
                <w:szCs w:val="15"/>
                <w:color w:val="auto"/>
              </w:rPr>
            </w:pPr>
          </w:p>
        </w:tc>
      </w:tr>
      <w:tr>
        <w:trPr>
          <w:trHeight w:val="212"/>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Impact</w:t>
            </w:r>
          </w:p>
        </w:tc>
        <w:tc>
          <w:tcPr>
            <w:tcW w:w="820" w:type="dxa"/>
            <w:vAlign w:val="bottom"/>
          </w:tcPr>
          <w:p>
            <w:pPr>
              <w:ind w:left="300"/>
              <w:spacing w:after="0"/>
              <w:rPr>
                <w:sz w:val="20"/>
                <w:szCs w:val="20"/>
                <w:color w:val="auto"/>
              </w:rPr>
            </w:pPr>
            <w:r>
              <w:rPr>
                <w:rFonts w:ascii="Arial" w:cs="Arial" w:eastAsia="Arial" w:hAnsi="Arial"/>
                <w:sz w:val="16"/>
                <w:szCs w:val="16"/>
                <w:b w:val="1"/>
                <w:bCs w:val="1"/>
                <w:color w:val="auto"/>
                <w:w w:val="96"/>
              </w:rPr>
              <w:t>Impact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Impact</w:t>
            </w:r>
          </w:p>
        </w:tc>
      </w:tr>
      <w:tr>
        <w:trPr>
          <w:trHeight w:val="191"/>
        </w:trPr>
        <w:tc>
          <w:tcPr>
            <w:tcW w:w="3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0" w:type="dxa"/>
            <w:vAlign w:val="bottom"/>
            <w:gridSpan w:val="2"/>
            <w:shd w:val="clear" w:color="auto" w:fill="CCEEFF"/>
          </w:tcPr>
          <w:p>
            <w:pPr>
              <w:ind w:left="24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87.5M</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7.9M</w:t>
            </w:r>
          </w:p>
        </w:tc>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72.3M</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w w:val="89"/>
              </w:rPr>
              <w:t>1.8M</w:t>
            </w:r>
          </w:p>
        </w:tc>
      </w:tr>
      <w:tr>
        <w:trPr>
          <w:trHeight w:val="191"/>
        </w:trPr>
        <w:tc>
          <w:tcPr>
            <w:tcW w:w="3500" w:type="dxa"/>
            <w:vAlign w:val="bottom"/>
          </w:tcPr>
          <w:p>
            <w:pPr>
              <w:spacing w:after="0"/>
              <w:rPr>
                <w:sz w:val="20"/>
                <w:szCs w:val="20"/>
                <w:color w:val="auto"/>
              </w:rPr>
            </w:pPr>
            <w:r>
              <w:rPr>
                <w:rFonts w:ascii="Arial" w:cs="Arial" w:eastAsia="Arial" w:hAnsi="Arial"/>
                <w:sz w:val="16"/>
                <w:szCs w:val="16"/>
                <w:color w:val="auto"/>
              </w:rPr>
              <w:t>Non-GAAP Gross Margin</w:t>
            </w:r>
          </w:p>
        </w:tc>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49.6%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4.2%</w:t>
            </w:r>
          </w:p>
        </w:tc>
        <w:tc>
          <w:tcPr>
            <w:tcW w:w="82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51.8%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w w:val="87"/>
              </w:rPr>
              <w:t>1.2%</w:t>
            </w: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2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7.7%</w:t>
            </w:r>
          </w:p>
        </w:tc>
        <w:tc>
          <w:tcPr>
            <w:tcW w:w="8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16.3%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w w:val="87"/>
              </w:rPr>
              <w:t>2.1%</w:t>
            </w:r>
          </w:p>
        </w:tc>
      </w:tr>
      <w:tr>
        <w:trPr>
          <w:trHeight w:val="191"/>
        </w:trPr>
        <w:tc>
          <w:tcPr>
            <w:tcW w:w="3500" w:type="dxa"/>
            <w:vAlign w:val="bottom"/>
          </w:tcPr>
          <w:p>
            <w:pPr>
              <w:spacing w:after="0"/>
              <w:rPr>
                <w:sz w:val="20"/>
                <w:szCs w:val="20"/>
                <w:color w:val="auto"/>
              </w:rPr>
            </w:pPr>
            <w:r>
              <w:rPr>
                <w:rFonts w:ascii="Arial" w:cs="Arial" w:eastAsia="Arial" w:hAnsi="Arial"/>
                <w:sz w:val="16"/>
                <w:szCs w:val="16"/>
                <w:color w:val="auto"/>
              </w:rPr>
              <w:t>Non-GAAP Net Margin</w:t>
            </w:r>
          </w:p>
        </w:tc>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7.6%</w:t>
            </w:r>
          </w:p>
        </w:tc>
        <w:tc>
          <w:tcPr>
            <w:tcW w:w="82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16.0%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w w:val="87"/>
              </w:rPr>
              <w:t>2.0%</w:t>
            </w: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Per Share</w:t>
            </w:r>
          </w:p>
        </w:tc>
        <w:tc>
          <w:tcPr>
            <w:tcW w:w="2600" w:type="dxa"/>
            <w:vAlign w:val="bottom"/>
            <w:gridSpan w:val="2"/>
            <w:shd w:val="clear" w:color="auto" w:fill="CCEEFF"/>
          </w:tcPr>
          <w:p>
            <w:pPr>
              <w:ind w:left="24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0.16</w:t>
            </w:r>
          </w:p>
        </w:tc>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0.24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0.04</w:t>
            </w:r>
          </w:p>
        </w:tc>
      </w:tr>
      <w:tr>
        <w:trPr>
          <w:trHeight w:val="577"/>
        </w:trPr>
        <w:tc>
          <w:tcPr>
            <w:tcW w:w="3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123" w:right="319" w:bottom="1440" w:gutter="0" w:footer="0" w:header="0"/>
        </w:sectPr>
      </w:pPr>
    </w:p>
    <w:bookmarkStart w:id="5" w:name="page6"/>
    <w:bookmarkEnd w:id="5"/>
    <w:p>
      <w:pPr>
        <w:ind w:left="4" w:right="60"/>
        <w:spacing w:after="0" w:line="275" w:lineRule="auto"/>
        <w:rPr>
          <w:sz w:val="20"/>
          <w:szCs w:val="20"/>
          <w:color w:val="auto"/>
        </w:rPr>
      </w:pPr>
      <w:r>
        <w:rPr>
          <w:rFonts w:ascii="Arial" w:cs="Arial" w:eastAsia="Arial" w:hAnsi="Arial"/>
          <w:sz w:val="16"/>
          <w:szCs w:val="16"/>
          <w:color w:val="auto"/>
        </w:rPr>
        <w:t>The following table compares the adverse, non-cash impact that the Company’s outstanding warrants had on the Company’s results of operations during the full-years 2021 and 2020, respectively:</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36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Full-Year Warrants 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8"/>
        </w:trPr>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ind w:left="680"/>
              <w:spacing w:after="0"/>
              <w:rPr>
                <w:sz w:val="20"/>
                <w:szCs w:val="20"/>
                <w:color w:val="auto"/>
              </w:rPr>
            </w:pPr>
            <w:r>
              <w:rPr>
                <w:rFonts w:ascii="Arial" w:cs="Arial" w:eastAsia="Arial" w:hAnsi="Arial"/>
                <w:sz w:val="16"/>
                <w:szCs w:val="16"/>
                <w:b w:val="1"/>
                <w:bCs w:val="1"/>
                <w:color w:val="auto"/>
                <w:w w:val="90"/>
              </w:rPr>
              <w:t>Year Ended</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5"/>
        </w:trPr>
        <w:tc>
          <w:tcPr>
            <w:tcW w:w="36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Net of Warrants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Warrants</w:t>
            </w:r>
          </w:p>
        </w:tc>
        <w:tc>
          <w:tcPr>
            <w:tcW w:w="26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Net of Warrants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Warrants</w:t>
            </w:r>
          </w:p>
        </w:tc>
        <w:tc>
          <w:tcPr>
            <w:tcW w:w="160" w:type="dxa"/>
            <w:vAlign w:val="bottom"/>
          </w:tcPr>
          <w:p>
            <w:pPr>
              <w:spacing w:after="0"/>
              <w:rPr>
                <w:sz w:val="15"/>
                <w:szCs w:val="15"/>
                <w:color w:val="auto"/>
              </w:rPr>
            </w:pPr>
          </w:p>
        </w:tc>
      </w:tr>
      <w:tr>
        <w:trPr>
          <w:trHeight w:val="212"/>
        </w:trPr>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Impact</w:t>
            </w:r>
          </w:p>
        </w:tc>
        <w:tc>
          <w:tcPr>
            <w:tcW w:w="2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6"/>
              </w:rPr>
              <w:t>Impact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Impact</w:t>
            </w:r>
          </w:p>
        </w:tc>
      </w:tr>
      <w:tr>
        <w:trPr>
          <w:trHeight w:val="191"/>
        </w:trPr>
        <w:tc>
          <w:tcPr>
            <w:tcW w:w="3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322.0M</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25.4M</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193.3M</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w w:val="89"/>
              </w:rPr>
              <w:t>5.4M</w:t>
            </w:r>
          </w:p>
        </w:tc>
      </w:tr>
      <w:tr>
        <w:trPr>
          <w:trHeight w:val="191"/>
        </w:trPr>
        <w:tc>
          <w:tcPr>
            <w:tcW w:w="3620" w:type="dxa"/>
            <w:vAlign w:val="bottom"/>
          </w:tcPr>
          <w:p>
            <w:pPr>
              <w:spacing w:after="0"/>
              <w:rPr>
                <w:sz w:val="20"/>
                <w:szCs w:val="20"/>
                <w:color w:val="auto"/>
              </w:rPr>
            </w:pPr>
            <w:r>
              <w:rPr>
                <w:rFonts w:ascii="Arial" w:cs="Arial" w:eastAsia="Arial" w:hAnsi="Arial"/>
                <w:sz w:val="16"/>
                <w:szCs w:val="16"/>
                <w:color w:val="auto"/>
              </w:rPr>
              <w:t>Non-GAAP Gross Margin</w:t>
            </w: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48.2%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46.7%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w w:val="87"/>
              </w:rPr>
              <w:t>1.4%</w:t>
            </w: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2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w w:val="87"/>
              </w:rPr>
              <w:t>2.6%</w:t>
            </w:r>
          </w:p>
        </w:tc>
      </w:tr>
      <w:tr>
        <w:trPr>
          <w:trHeight w:val="191"/>
        </w:trPr>
        <w:tc>
          <w:tcPr>
            <w:tcW w:w="3620" w:type="dxa"/>
            <w:vAlign w:val="bottom"/>
          </w:tcPr>
          <w:p>
            <w:pPr>
              <w:spacing w:after="0"/>
              <w:rPr>
                <w:sz w:val="20"/>
                <w:szCs w:val="20"/>
                <w:color w:val="auto"/>
              </w:rPr>
            </w:pPr>
            <w:r>
              <w:rPr>
                <w:rFonts w:ascii="Arial" w:cs="Arial" w:eastAsia="Arial" w:hAnsi="Arial"/>
                <w:sz w:val="16"/>
                <w:szCs w:val="16"/>
                <w:color w:val="auto"/>
              </w:rPr>
              <w:t>Non-GAAP Net Margin</w:t>
            </w: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w w:val="87"/>
              </w:rPr>
              <w:t>2.5%</w:t>
            </w: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Per Share</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0.51</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0.21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0.12</w:t>
            </w:r>
          </w:p>
        </w:tc>
      </w:tr>
    </w:tbl>
    <w:p>
      <w:pPr>
        <w:spacing w:after="0" w:line="179" w:lineRule="exact"/>
        <w:rPr>
          <w:sz w:val="20"/>
          <w:szCs w:val="20"/>
          <w:color w:val="auto"/>
        </w:rPr>
      </w:pPr>
    </w:p>
    <w:p>
      <w:pPr>
        <w:ind w:left="4" w:right="100"/>
        <w:spacing w:after="0" w:line="258" w:lineRule="auto"/>
        <w:rPr>
          <w:sz w:val="20"/>
          <w:szCs w:val="20"/>
          <w:color w:val="auto"/>
        </w:rPr>
      </w:pPr>
      <w:r>
        <w:rPr>
          <w:rFonts w:ascii="Arial" w:cs="Arial" w:eastAsia="Arial" w:hAnsi="Arial"/>
          <w:sz w:val="16"/>
          <w:szCs w:val="16"/>
          <w:color w:val="auto"/>
        </w:rPr>
        <w:t>“We ended 2021 with an outstanding fourth quarter and entered 2022 with a strong backlog and pipeline,” said Alon Rozner, Kornit Digital’s Chief Financial Officer. “We generated record cash flow from operations in 2021, successfully navigated global supply chain pressures, and delivered on our commitments to our customers. We continue to invest in the business to capitalize on the enormous opportunities we see and to accelerate growth. Our good visibility into the business, combined with our experienced team, gives us the confidence that we can deliver on our commitments for the balance of 2022 and into 2023.”</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Fourth Quarter 2021 Results of Operations</w:t>
      </w:r>
    </w:p>
    <w:p>
      <w:pPr>
        <w:spacing w:after="0" w:line="202" w:lineRule="exact"/>
        <w:rPr>
          <w:sz w:val="20"/>
          <w:szCs w:val="20"/>
          <w:color w:val="auto"/>
        </w:rPr>
      </w:pPr>
    </w:p>
    <w:p>
      <w:pPr>
        <w:ind w:left="284" w:right="32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for the fourth quarter of 2021 was $87.5 million, net of $7.9 million attributed to the non-cash impact of warrants, compared to $72.3 million, net of $1.8 million attributed to the non-cash impact of warrants in the prior year period.</w:t>
      </w:r>
    </w:p>
    <w:p>
      <w:pPr>
        <w:spacing w:after="0" w:line="151"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4"/>
          <w:szCs w:val="14"/>
          <w:color w:val="auto"/>
        </w:rPr>
      </w:pPr>
      <w:r>
        <w:rPr>
          <w:rFonts w:ascii="Arial" w:cs="Arial" w:eastAsia="Arial" w:hAnsi="Arial"/>
          <w:sz w:val="14"/>
          <w:szCs w:val="14"/>
          <w:color w:val="auto"/>
        </w:rPr>
        <w:t>GAAP net income for the fourth quarter of 2021 was $1.0 million, or $0.02 per diluted share, compared to $5.9 million, or $0.12 per share, for the fourth quarter of 2020.</w:t>
      </w:r>
    </w:p>
    <w:p>
      <w:pPr>
        <w:spacing w:after="0" w:line="221" w:lineRule="exact"/>
        <w:rPr>
          <w:rFonts w:ascii="Arial" w:cs="Arial" w:eastAsia="Arial" w:hAnsi="Arial"/>
          <w:sz w:val="14"/>
          <w:szCs w:val="14"/>
          <w:color w:val="auto"/>
        </w:rPr>
      </w:pPr>
    </w:p>
    <w:p>
      <w:pPr>
        <w:ind w:left="284" w:right="40" w:hanging="284"/>
        <w:spacing w:after="0" w:line="262"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Non-GAAP net income for the fourth quarter of 2021 was $6.4 million, or $0.13 per diluted share, net of $0.16 per diluted share attributed to the non-cash impact of warrants, compared to non-GAAP net profit of $11.5 million, or $0.24 per diluted share, net of $0.04 per diluted share attributed to the non-cash impact of warrants, for the fourth quarter of 2020.</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Full-Year 2021 Results of Operations</w:t>
      </w:r>
    </w:p>
    <w:p>
      <w:pPr>
        <w:spacing w:after="0" w:line="202" w:lineRule="exact"/>
        <w:rPr>
          <w:sz w:val="20"/>
          <w:szCs w:val="20"/>
          <w:color w:val="auto"/>
        </w:rPr>
      </w:pPr>
    </w:p>
    <w:p>
      <w:pPr>
        <w:ind w:left="284" w:right="40" w:hanging="284"/>
        <w:spacing w:after="0" w:line="275"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 for the full-year 2021 revenue was $322.0 million, net of $25.4 million attributed to the non-cash impact of warrants, compared to $193.3 million, net of $5.4 million attributed to the non-cash impact of warrants in the prior year period.</w:t>
      </w:r>
    </w:p>
    <w:p>
      <w:pPr>
        <w:spacing w:after="0" w:line="175"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4"/>
          <w:szCs w:val="14"/>
          <w:color w:val="auto"/>
        </w:rPr>
      </w:pPr>
      <w:r>
        <w:rPr>
          <w:rFonts w:ascii="Arial" w:cs="Arial" w:eastAsia="Arial" w:hAnsi="Arial"/>
          <w:sz w:val="14"/>
          <w:szCs w:val="14"/>
          <w:color w:val="auto"/>
        </w:rPr>
        <w:t>GAAP net income for the full-year 2021 was $15.5 million, or $0.32 per diluted share, compared to net loss of $4.8 million, or $0.11 per basic share, for the full-year 2020.</w:t>
      </w:r>
    </w:p>
    <w:p>
      <w:pPr>
        <w:spacing w:after="0" w:line="245" w:lineRule="exact"/>
        <w:rPr>
          <w:rFonts w:ascii="Arial" w:cs="Arial" w:eastAsia="Arial" w:hAnsi="Arial"/>
          <w:sz w:val="14"/>
          <w:szCs w:val="14"/>
          <w:color w:val="auto"/>
        </w:rPr>
      </w:pPr>
    </w:p>
    <w:p>
      <w:pPr>
        <w:ind w:left="284" w:right="280" w:hanging="284"/>
        <w:spacing w:after="0" w:line="309" w:lineRule="auto"/>
        <w:tabs>
          <w:tab w:leader="none" w:pos="284" w:val="left"/>
        </w:tabs>
        <w:numPr>
          <w:ilvl w:val="0"/>
          <w:numId w:val="3"/>
        </w:numPr>
        <w:rPr>
          <w:rFonts w:ascii="Arial" w:cs="Arial" w:eastAsia="Arial" w:hAnsi="Arial"/>
          <w:sz w:val="15"/>
          <w:szCs w:val="15"/>
          <w:color w:val="auto"/>
        </w:rPr>
      </w:pPr>
      <w:r>
        <w:rPr>
          <w:rFonts w:ascii="Arial" w:cs="Arial" w:eastAsia="Arial" w:hAnsi="Arial"/>
          <w:sz w:val="15"/>
          <w:szCs w:val="15"/>
          <w:color w:val="auto"/>
        </w:rPr>
        <w:t>Non-GAAP net income for the full-year 2021 was $36.1 million, or $0.74 per diluted share, net of $0.51 per diluted share attributed to the non-cash impact of warrants, compared to $9.0 million, or $0.21 per diluted share, net of $0.12 per diluted share attributed to the non-cash impact of warrants, for the full-year 2020.</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First Quarter 2022 Guidance</w:t>
      </w:r>
    </w:p>
    <w:p>
      <w:pPr>
        <w:spacing w:after="0" w:line="202" w:lineRule="exact"/>
        <w:rPr>
          <w:sz w:val="20"/>
          <w:szCs w:val="20"/>
          <w:color w:val="auto"/>
        </w:rPr>
      </w:pPr>
    </w:p>
    <w:p>
      <w:pPr>
        <w:ind w:left="4" w:right="80"/>
        <w:spacing w:after="0" w:line="262" w:lineRule="auto"/>
        <w:rPr>
          <w:sz w:val="20"/>
          <w:szCs w:val="20"/>
          <w:color w:val="auto"/>
        </w:rPr>
      </w:pPr>
      <w:r>
        <w:rPr>
          <w:rFonts w:ascii="Arial" w:cs="Arial" w:eastAsia="Arial" w:hAnsi="Arial"/>
          <w:sz w:val="16"/>
          <w:szCs w:val="16"/>
          <w:color w:val="auto"/>
        </w:rPr>
        <w:t>For the first quarter of 2022, the Company expects revenue to be in the range of $87 million to $91 million, and non-GAAP operating income to be in the range of 7% to 9% of revenue, and EBITDA Margins to be in the range of 9% to 11%. Consistent with past practice, this guidance excludes the impact of the fair value of issued warrants in the quarter.</w:t>
      </w:r>
    </w:p>
    <w:p>
      <w:pPr>
        <w:spacing w:after="0" w:line="162" w:lineRule="exact"/>
        <w:rPr>
          <w:sz w:val="20"/>
          <w:szCs w:val="20"/>
          <w:color w:val="auto"/>
        </w:rPr>
      </w:pPr>
    </w:p>
    <w:p>
      <w:pPr>
        <w:ind w:left="4" w:right="460"/>
        <w:spacing w:after="0" w:line="275" w:lineRule="auto"/>
        <w:rPr>
          <w:sz w:val="20"/>
          <w:szCs w:val="20"/>
          <w:color w:val="auto"/>
        </w:rPr>
      </w:pPr>
      <w:r>
        <w:rPr>
          <w:rFonts w:ascii="Arial" w:cs="Arial" w:eastAsia="Arial" w:hAnsi="Arial"/>
          <w:sz w:val="16"/>
          <w:szCs w:val="16"/>
          <w:color w:val="auto"/>
        </w:rPr>
        <w:t>The Company noted it expects higher operating margins in the second, third, and fourth quarters of 2022 versus the first quarter, and operating margins in the second half quarters to be in the mid-teens.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Fourth Quarter and Full-Year 2021 Earnings Conference Call Information</w:t>
      </w:r>
    </w:p>
    <w:p>
      <w:pPr>
        <w:spacing w:after="0" w:line="202" w:lineRule="exact"/>
        <w:rPr>
          <w:sz w:val="20"/>
          <w:szCs w:val="20"/>
          <w:color w:val="auto"/>
        </w:rPr>
      </w:pPr>
    </w:p>
    <w:p>
      <w:pPr>
        <w:ind w:left="4" w:right="160"/>
        <w:spacing w:after="0" w:line="275" w:lineRule="auto"/>
        <w:rPr>
          <w:sz w:val="20"/>
          <w:szCs w:val="20"/>
          <w:color w:val="auto"/>
        </w:rPr>
      </w:pPr>
      <w:r>
        <w:rPr>
          <w:rFonts w:ascii="Arial" w:cs="Arial" w:eastAsia="Arial" w:hAnsi="Arial"/>
          <w:sz w:val="16"/>
          <w:szCs w:val="16"/>
          <w:color w:val="auto"/>
        </w:rPr>
        <w:t>The Company will host a conference call today at 8:30 a.m. ET, or 3:30 p.m. Israel time, to discuss the results, followed by a question-and-answer session with the investment community.</w:t>
      </w:r>
    </w:p>
    <w:p>
      <w:pPr>
        <w:spacing w:after="0" w:line="148" w:lineRule="exact"/>
        <w:rPr>
          <w:sz w:val="20"/>
          <w:szCs w:val="20"/>
          <w:color w:val="auto"/>
        </w:rPr>
      </w:pPr>
    </w:p>
    <w:p>
      <w:pPr>
        <w:ind w:left="4" w:right="480"/>
        <w:spacing w:after="0" w:line="280" w:lineRule="auto"/>
        <w:rPr>
          <w:sz w:val="20"/>
          <w:szCs w:val="20"/>
          <w:color w:val="auto"/>
        </w:rPr>
      </w:pPr>
      <w:r>
        <w:rPr>
          <w:rFonts w:ascii="Arial" w:cs="Arial" w:eastAsia="Arial" w:hAnsi="Arial"/>
          <w:sz w:val="16"/>
          <w:szCs w:val="16"/>
          <w:b w:val="1"/>
          <w:bCs w:val="1"/>
          <w:color w:val="auto"/>
        </w:rPr>
        <w:t xml:space="preserve">A live webcast of the call </w:t>
      </w:r>
      <w:r>
        <w:rPr>
          <w:rFonts w:ascii="Arial" w:cs="Arial" w:eastAsia="Arial" w:hAnsi="Arial"/>
          <w:sz w:val="16"/>
          <w:szCs w:val="16"/>
          <w:color w:val="auto"/>
        </w:rPr>
        <w:t>can be accessed at ir.kornit.com. To access the call, participants may dial toll-free at 1-877-407-0792 or +1-201-689-8263. The toll-free Israeli</w:t>
      </w:r>
      <w:r>
        <w:rPr>
          <w:rFonts w:ascii="Arial" w:cs="Arial" w:eastAsia="Arial" w:hAnsi="Arial"/>
          <w:sz w:val="16"/>
          <w:szCs w:val="16"/>
          <w:b w:val="1"/>
          <w:bCs w:val="1"/>
          <w:color w:val="auto"/>
        </w:rPr>
        <w:t xml:space="preserve"> </w:t>
      </w:r>
      <w:r>
        <w:rPr>
          <w:rFonts w:ascii="Arial" w:cs="Arial" w:eastAsia="Arial" w:hAnsi="Arial"/>
          <w:sz w:val="16"/>
          <w:szCs w:val="16"/>
          <w:color w:val="auto"/>
        </w:rPr>
        <w:t>number is 1-809-406-247. The confirmation code is 13726556.</w:t>
      </w:r>
    </w:p>
    <w:p>
      <w:pPr>
        <w:spacing w:after="0" w:line="33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 w:name="page7"/>
    <w:bookmarkEnd w:id="6"/>
    <w:p>
      <w:pPr>
        <w:spacing w:after="0" w:line="265" w:lineRule="auto"/>
        <w:rPr>
          <w:sz w:val="20"/>
          <w:szCs w:val="20"/>
          <w:color w:val="auto"/>
        </w:rPr>
      </w:pPr>
      <w:r>
        <w:rPr>
          <w:rFonts w:ascii="Arial" w:cs="Arial" w:eastAsia="Arial" w:hAnsi="Arial"/>
          <w:sz w:val="16"/>
          <w:szCs w:val="16"/>
          <w:b w:val="1"/>
          <w:bCs w:val="1"/>
          <w:color w:val="auto"/>
        </w:rPr>
        <w:t xml:space="preserve">To listen to a replay </w:t>
      </w:r>
      <w:r>
        <w:rPr>
          <w:rFonts w:ascii="Arial" w:cs="Arial" w:eastAsia="Arial" w:hAnsi="Arial"/>
          <w:sz w:val="16"/>
          <w:szCs w:val="16"/>
          <w:color w:val="auto"/>
        </w:rPr>
        <w:t>of the conference call, dial toll-free 1-844-512-2921 or +1-412-317-6671 (international) and enter confirmation code 13726556. The telephonic replay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available beginning at 11:30 a.m. ET on Tuesday, February 15, 2022, until 11:59 p.m. ET on Tuesday, March 1, 2022. The call will also be available for replay via the webcast link on Kornit’s Investor Relations website.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continue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the duration and severity of, and the degree of recovery from, the global COVID-19 pandemic, which could potentially impact once again, in a material adverse manner, the Company’s operations, financial position and cash flows, and those of the Company’s customers and suppliers; and those additional factors referred to under “Risk Factors” in Item 3.D of the Company’s Annual Report on Form 20-F for the year ended December 31, 2020, filed with the U.S. Securities and Exchange Commission, or SEC, on March 25, 2021, and to be described in Item 3.D of the Company’s Annual Report on Form 20-F for the year ended December 31, 2021, which is expected to be filed with the SEC in March 2022. Any forward-looking statements in this press release are made as of the date hereof, whether as a result of new information, future events or otherwise, except as required by law.</w:t>
      </w:r>
    </w:p>
    <w:p>
      <w:pPr>
        <w:spacing w:after="0" w:line="155"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The presentation of non-GAAP financial information is not meant to be considered in isolation or as a substitute for the directly comparable financial measures prepared in accordance with GAAP. Kornit urges investors to review the reconciliation of non-GAAP financial measures to the comparable GAAP financial measures included below, and not to rely on any single financial measures to evaluate its business. A reconciliation for non-GAAP operating income guidance set forth above is not provided because, as forward-looking statements, such reconciliation is not available without unreasonable effort due to the high variability, complexity, and difficulty of estimating certain items such as charges to share-based compensation expense and currency fluctuations which could have an impact on its consolidated results. Kornit believes the information provided is useful to investors because it can be considered in the context of Kornit’s historical disclosures of this measure.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Non-GAAP financial measures consist of GAAP financial measures adjusted to exclude the impact of share-based compensation expenses, acquisition related expenses, foreign exchange differences associated with ASC 842, amortization of acquired intangible assets, and the related tax effect of the foregoing. The purpose of such adjustments is to provide an indication of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However,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Kornit</w:t>
      </w:r>
    </w:p>
    <w:p>
      <w:pPr>
        <w:spacing w:after="0" w:line="202" w:lineRule="exact"/>
        <w:rPr>
          <w:sz w:val="20"/>
          <w:szCs w:val="20"/>
          <w:color w:val="auto"/>
        </w:rPr>
      </w:pPr>
    </w:p>
    <w:p>
      <w:pPr>
        <w:ind w:right="240"/>
        <w:spacing w:after="0" w:line="280" w:lineRule="auto"/>
        <w:rPr>
          <w:sz w:val="20"/>
          <w:szCs w:val="20"/>
          <w:color w:val="auto"/>
        </w:rPr>
      </w:pPr>
      <w:r>
        <w:rPr>
          <w:rFonts w:ascii="Arial" w:cs="Arial" w:eastAsia="Arial" w:hAnsi="Arial"/>
          <w:sz w:val="15"/>
          <w:szCs w:val="15"/>
          <w:color w:val="auto"/>
        </w:rPr>
        <w:t>Kornit Digital (NASDAQ: KRNT) is a worldwide market leader in sustainable, on-demand, digital fashionx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and cash equivalents</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Short-term bank deposit</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Trade receivables, net</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Inventory</w:t>
      </w:r>
    </w:p>
    <w:p>
      <w:pPr>
        <w:spacing w:after="0" w:line="7" w:lineRule="exact"/>
        <w:rPr>
          <w:sz w:val="20"/>
          <w:szCs w:val="20"/>
          <w:color w:val="auto"/>
        </w:rPr>
      </w:pPr>
    </w:p>
    <w:p>
      <w:pPr>
        <w:ind w:right="220" w:firstLine="287"/>
        <w:spacing w:after="0" w:line="289" w:lineRule="auto"/>
        <w:rPr>
          <w:sz w:val="20"/>
          <w:szCs w:val="20"/>
          <w:color w:val="auto"/>
        </w:rPr>
      </w:pPr>
      <w:r>
        <w:rPr>
          <w:rFonts w:ascii="Arial" w:cs="Arial" w:eastAsia="Arial" w:hAnsi="Arial"/>
          <w:sz w:val="16"/>
          <w:szCs w:val="16"/>
          <w:color w:val="auto"/>
        </w:rPr>
        <w:t>Other accounts receivable and prepaid expenses Total current assets</w:t>
      </w:r>
    </w:p>
    <w:p>
      <w:pPr>
        <w:spacing w:after="0" w:line="178" w:lineRule="exact"/>
        <w:rPr>
          <w:sz w:val="20"/>
          <w:szCs w:val="20"/>
          <w:color w:val="auto"/>
        </w:rPr>
      </w:pPr>
    </w:p>
    <w:p>
      <w:pPr>
        <w:jc w:val="right"/>
        <w:ind w:right="1960"/>
        <w:spacing w:after="0"/>
        <w:rPr>
          <w:sz w:val="20"/>
          <w:szCs w:val="20"/>
          <w:color w:val="auto"/>
        </w:rPr>
      </w:pPr>
      <w:r>
        <w:rPr>
          <w:rFonts w:ascii="Arial" w:cs="Arial" w:eastAsia="Arial" w:hAnsi="Arial"/>
          <w:sz w:val="15"/>
          <w:szCs w:val="15"/>
          <w:color w:val="auto"/>
        </w:rPr>
        <w:t>LONG-TERM ASSETS:</w:t>
      </w:r>
    </w:p>
    <w:p>
      <w:pPr>
        <w:spacing w:after="0" w:line="31" w:lineRule="exact"/>
        <w:rPr>
          <w:sz w:val="20"/>
          <w:szCs w:val="20"/>
          <w:color w:val="auto"/>
        </w:rPr>
      </w:pPr>
    </w:p>
    <w:p>
      <w:pPr>
        <w:jc w:val="right"/>
        <w:ind w:right="1920"/>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Deposits and other long-term assets</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Severance pay fund</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taxes</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Property,plant and equipment, net</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 lease right-of-use assets</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Intangible assets, net</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Total long-term assets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42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4220"/>
        <w:spacing w:after="0"/>
        <w:rPr>
          <w:sz w:val="20"/>
          <w:szCs w:val="20"/>
          <w:color w:val="auto"/>
        </w:rPr>
      </w:pPr>
      <w:r>
        <w:rPr>
          <w:rFonts w:ascii="Arial" w:cs="Arial" w:eastAsia="Arial" w:hAnsi="Arial"/>
          <w:sz w:val="15"/>
          <w:szCs w:val="15"/>
          <w:b w:val="1"/>
          <w:bCs w:val="1"/>
          <w:color w:val="auto"/>
        </w:rPr>
        <w:t>CONSOLIDATED BALANCE SHEETS</w:t>
      </w:r>
    </w:p>
    <w:p>
      <w:pPr>
        <w:spacing w:after="0" w:line="19" w:lineRule="exact"/>
        <w:rPr>
          <w:sz w:val="20"/>
          <w:szCs w:val="20"/>
          <w:color w:val="auto"/>
        </w:rPr>
      </w:pPr>
    </w:p>
    <w:p>
      <w:pPr>
        <w:jc w:val="center"/>
        <w:ind w:right="42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440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88"/>
              </w:rPr>
              <w:t>December 31,</w:t>
            </w:r>
          </w:p>
        </w:tc>
      </w:tr>
      <w:tr>
        <w:trPr>
          <w:trHeight w:val="212"/>
        </w:trPr>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r>
      <w:tr>
        <w:trPr>
          <w:trHeight w:val="195"/>
        </w:trPr>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61"/>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611,551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125,777</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9,168</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224,804</w:t>
            </w:r>
          </w:p>
        </w:tc>
      </w:tr>
      <w:tr>
        <w:trPr>
          <w:trHeight w:val="191"/>
        </w:trPr>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28,116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13,718</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49,797</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51,566</w:t>
            </w:r>
          </w:p>
        </w:tc>
      </w:tr>
      <w:tr>
        <w:trPr>
          <w:trHeight w:val="203"/>
        </w:trPr>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63,017</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52,487</w:t>
            </w:r>
          </w:p>
        </w:tc>
      </w:tr>
      <w:tr>
        <w:trPr>
          <w:trHeight w:val="208"/>
        </w:trPr>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14,863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9,178</w:t>
            </w:r>
          </w:p>
        </w:tc>
      </w:tr>
      <w:tr>
        <w:trPr>
          <w:trHeight w:val="195"/>
        </w:trPr>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776,512</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477,530</w:t>
            </w:r>
          </w:p>
        </w:tc>
      </w:tr>
      <w:tr>
        <w:trPr>
          <w:trHeight w:val="561"/>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149,269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71,636</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856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9,551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5,096</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45,046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29,255</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25,155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21,053</w:t>
            </w:r>
          </w:p>
        </w:tc>
      </w:tr>
      <w:tr>
        <w:trPr>
          <w:trHeight w:val="203"/>
        </w:trPr>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10,063</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7,221</w:t>
            </w:r>
          </w:p>
        </w:tc>
      </w:tr>
      <w:tr>
        <w:trPr>
          <w:trHeight w:val="208"/>
        </w:trPr>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25,447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16,466</w:t>
            </w:r>
          </w:p>
        </w:tc>
      </w:tr>
      <w:tr>
        <w:trPr>
          <w:trHeight w:val="195"/>
        </w:trPr>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265,744</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151,459</w:t>
            </w:r>
          </w:p>
        </w:tc>
      </w:tr>
      <w:tr>
        <w:trPr>
          <w:trHeight w:val="422"/>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1,042,256</w:t>
            </w:r>
          </w:p>
        </w:tc>
        <w:tc>
          <w:tcPr>
            <w:tcW w:w="24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628,989</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-2564130</wp:posOffset>
            </wp:positionV>
            <wp:extent cx="7148195" cy="121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-2321560</wp:posOffset>
            </wp:positionV>
            <wp:extent cx="7148195" cy="121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-2078355</wp:posOffset>
            </wp:positionV>
            <wp:extent cx="7148195" cy="121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-1820545</wp:posOffset>
            </wp:positionV>
            <wp:extent cx="714819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-1555115</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-1311910</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-1069340</wp:posOffset>
            </wp:positionV>
            <wp:extent cx="7148195" cy="12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-826770</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-583565</wp:posOffset>
            </wp:positionV>
            <wp:extent cx="7148195" cy="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-310515</wp:posOffset>
            </wp:positionV>
            <wp:extent cx="714819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60" w:space="720"/>
            <w:col w:w="6980"/>
          </w:cols>
          <w:pgMar w:left="320" w:top="816"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452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80"/>
              <w:spacing w:after="0"/>
              <w:rPr>
                <w:sz w:val="20"/>
                <w:szCs w:val="20"/>
                <w:color w:val="auto"/>
              </w:rPr>
            </w:pPr>
            <w:r>
              <w:rPr>
                <w:rFonts w:ascii="Arial" w:cs="Arial" w:eastAsia="Arial" w:hAnsi="Arial"/>
                <w:sz w:val="16"/>
                <w:szCs w:val="16"/>
                <w:color w:val="auto"/>
              </w:rPr>
              <w:t>Trade payables</w:t>
            </w:r>
          </w:p>
        </w:tc>
        <w:tc>
          <w:tcPr>
            <w:tcW w:w="4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47,617</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32,016</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Employees and payroll accruals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22,482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15,022</w:t>
            </w:r>
          </w:p>
        </w:tc>
        <w:tc>
          <w:tcPr>
            <w:tcW w:w="0" w:type="dxa"/>
            <w:vAlign w:val="bottom"/>
          </w:tcPr>
          <w:p>
            <w:pPr>
              <w:spacing w:after="0"/>
              <w:rPr>
                <w:sz w:val="1"/>
                <w:szCs w:val="1"/>
                <w:color w:val="auto"/>
              </w:rPr>
            </w:pPr>
          </w:p>
        </w:tc>
      </w:tr>
      <w:tr>
        <w:trPr>
          <w:trHeight w:val="191"/>
        </w:trPr>
        <w:tc>
          <w:tcPr>
            <w:tcW w:w="4520" w:type="dxa"/>
            <w:vAlign w:val="bottom"/>
          </w:tcPr>
          <w:p>
            <w:pPr>
              <w:ind w:left="280"/>
              <w:spacing w:after="0"/>
              <w:rPr>
                <w:sz w:val="20"/>
                <w:szCs w:val="20"/>
                <w:color w:val="auto"/>
              </w:rPr>
            </w:pPr>
            <w:r>
              <w:rPr>
                <w:rFonts w:ascii="Arial" w:cs="Arial" w:eastAsia="Arial" w:hAnsi="Arial"/>
                <w:sz w:val="16"/>
                <w:szCs w:val="16"/>
                <w:color w:val="auto"/>
              </w:rPr>
              <w:t>Deferred revenues and advances from customers</w:t>
            </w:r>
          </w:p>
        </w:tc>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5,401</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27,019</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5,058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3,957</w:t>
            </w:r>
          </w:p>
        </w:tc>
        <w:tc>
          <w:tcPr>
            <w:tcW w:w="0" w:type="dxa"/>
            <w:vAlign w:val="bottom"/>
          </w:tcPr>
          <w:p>
            <w:pPr>
              <w:spacing w:after="0"/>
              <w:rPr>
                <w:sz w:val="1"/>
                <w:szCs w:val="1"/>
                <w:color w:val="auto"/>
              </w:rPr>
            </w:pPr>
          </w:p>
        </w:tc>
      </w:tr>
      <w:tr>
        <w:trPr>
          <w:trHeight w:val="207"/>
        </w:trPr>
        <w:tc>
          <w:tcPr>
            <w:tcW w:w="4520" w:type="dxa"/>
            <w:vAlign w:val="bottom"/>
          </w:tcPr>
          <w:p>
            <w:pPr>
              <w:ind w:left="280"/>
              <w:spacing w:after="0"/>
              <w:rPr>
                <w:sz w:val="20"/>
                <w:szCs w:val="20"/>
                <w:color w:val="auto"/>
              </w:rPr>
            </w:pPr>
            <w:r>
              <w:rPr>
                <w:rFonts w:ascii="Arial" w:cs="Arial" w:eastAsia="Arial" w:hAnsi="Arial"/>
                <w:sz w:val="16"/>
                <w:szCs w:val="16"/>
                <w:color w:val="auto"/>
              </w:rPr>
              <w:t>Other payables and accrued expenses</w:t>
            </w:r>
          </w:p>
        </w:tc>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17,499</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98,057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89,627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80"/>
              <w:spacing w:after="0"/>
              <w:rPr>
                <w:sz w:val="20"/>
                <w:szCs w:val="20"/>
                <w:color w:val="auto"/>
              </w:rPr>
            </w:pPr>
            <w:r>
              <w:rPr>
                <w:rFonts w:ascii="Arial" w:cs="Arial" w:eastAsia="Arial" w:hAnsi="Arial"/>
                <w:sz w:val="16"/>
                <w:szCs w:val="16"/>
                <w:color w:val="auto"/>
              </w:rPr>
              <w:t>Accrued severance pay</w:t>
            </w:r>
          </w:p>
        </w:tc>
        <w:tc>
          <w:tcPr>
            <w:tcW w:w="4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1,543</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21,900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18,688</w:t>
            </w:r>
          </w:p>
        </w:tc>
        <w:tc>
          <w:tcPr>
            <w:tcW w:w="0" w:type="dxa"/>
            <w:vAlign w:val="bottom"/>
          </w:tcPr>
          <w:p>
            <w:pPr>
              <w:spacing w:after="0"/>
              <w:rPr>
                <w:sz w:val="1"/>
                <w:szCs w:val="1"/>
                <w:color w:val="auto"/>
              </w:rPr>
            </w:pPr>
          </w:p>
        </w:tc>
      </w:tr>
      <w:tr>
        <w:trPr>
          <w:trHeight w:val="207"/>
        </w:trPr>
        <w:tc>
          <w:tcPr>
            <w:tcW w:w="4520" w:type="dxa"/>
            <w:vAlign w:val="bottom"/>
          </w:tcPr>
          <w:p>
            <w:pPr>
              <w:ind w:left="280"/>
              <w:spacing w:after="0"/>
              <w:rPr>
                <w:sz w:val="20"/>
                <w:szCs w:val="20"/>
                <w:color w:val="auto"/>
              </w:rPr>
            </w:pPr>
            <w:r>
              <w:rPr>
                <w:rFonts w:ascii="Arial" w:cs="Arial" w:eastAsia="Arial" w:hAnsi="Arial"/>
                <w:sz w:val="16"/>
                <w:szCs w:val="16"/>
                <w:color w:val="auto"/>
              </w:rPr>
              <w:t>Other long-term liabilities</w:t>
            </w:r>
          </w:p>
        </w:tc>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1,203</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4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919,553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519,017</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4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1,042,256</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628,989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Arial" w:cs="Arial" w:eastAsia="Arial" w:hAnsi="Arial"/>
                <w:sz w:val="16"/>
                <w:szCs w:val="16"/>
                <w:color w:val="auto"/>
              </w:rPr>
              <w:t>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type w:val="continuous"/>
        </w:sectPr>
      </w:pPr>
    </w:p>
    <w:bookmarkStart w:id="8" w:name="page9"/>
    <w:bookmarkEnd w:id="8"/>
    <w:p>
      <w:pPr>
        <w:ind w:left="478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right"/>
              <w:ind w:right="26"/>
              <w:spacing w:after="0"/>
              <w:rPr>
                <w:sz w:val="20"/>
                <w:szCs w:val="20"/>
                <w:color w:val="auto"/>
              </w:rPr>
            </w:pPr>
            <w:r>
              <w:rPr>
                <w:rFonts w:ascii="Arial" w:cs="Arial" w:eastAsia="Arial" w:hAnsi="Arial"/>
                <w:sz w:val="16"/>
                <w:szCs w:val="16"/>
                <w:b w:val="1"/>
                <w:bCs w:val="1"/>
                <w:color w:val="auto"/>
              </w:rPr>
              <w:t>Year Ended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2"/>
              </w:rPr>
              <w:t>(Unaudited)</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98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282,637</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164,918</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75,955</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61,382</w:t>
            </w:r>
          </w:p>
        </w:tc>
        <w:tc>
          <w:tcPr>
            <w:tcW w:w="0" w:type="dxa"/>
            <w:vAlign w:val="bottom"/>
          </w:tcPr>
          <w:p>
            <w:pPr>
              <w:spacing w:after="0"/>
              <w:rPr>
                <w:sz w:val="1"/>
                <w:szCs w:val="1"/>
                <w:color w:val="auto"/>
              </w:rPr>
            </w:pPr>
          </w:p>
        </w:tc>
      </w:tr>
      <w:tr>
        <w:trPr>
          <w:trHeight w:val="207"/>
        </w:trPr>
        <w:tc>
          <w:tcPr>
            <w:tcW w:w="5980" w:type="dxa"/>
            <w:vAlign w:val="bottom"/>
            <w:gridSpan w:val="2"/>
          </w:tcPr>
          <w:p>
            <w:pPr>
              <w:ind w:left="280"/>
              <w:spacing w:after="0"/>
              <w:rPr>
                <w:sz w:val="20"/>
                <w:szCs w:val="20"/>
                <w:color w:val="auto"/>
              </w:rPr>
            </w:pPr>
            <w:r>
              <w:rPr>
                <w:rFonts w:ascii="Arial" w:cs="Arial" w:eastAsia="Arial" w:hAnsi="Arial"/>
                <w:sz w:val="16"/>
                <w:szCs w:val="16"/>
                <w:color w:val="auto"/>
              </w:rPr>
              <w:t>Services</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39,369</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28,413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11,593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10,909</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322,006</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193,331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87,548</w:t>
            </w: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72,291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ind w:left="280"/>
              <w:spacing w:after="0"/>
              <w:rPr>
                <w:sz w:val="20"/>
                <w:szCs w:val="20"/>
                <w:color w:val="auto"/>
              </w:rPr>
            </w:pPr>
            <w:r>
              <w:rPr>
                <w:rFonts w:ascii="Arial" w:cs="Arial" w:eastAsia="Arial" w:hAnsi="Arial"/>
                <w:sz w:val="16"/>
                <w:szCs w:val="16"/>
                <w:color w:val="auto"/>
              </w:rPr>
              <w:t>Products</w:t>
            </w: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132,730</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75,040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34,273</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24,923</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Services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37,365</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10,888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10,424</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color w:val="auto"/>
              </w:rPr>
              <w:t>Total cost of revenues</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170,095</w:t>
            </w:r>
          </w:p>
        </w:tc>
        <w:tc>
          <w:tcPr>
            <w:tcW w:w="24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105,530</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45,161</w:t>
            </w: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35,347</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80" w:type="dxa"/>
            <w:vAlign w:val="bottom"/>
            <w:tcBorders>
              <w:bottom w:val="single" w:sz="8" w:color="CCEEFF"/>
            </w:tcBorders>
            <w:gridSpan w:val="2"/>
          </w:tcPr>
          <w:p>
            <w:pPr>
              <w:spacing w:after="0" w:line="175" w:lineRule="exact"/>
              <w:rPr>
                <w:sz w:val="20"/>
                <w:szCs w:val="20"/>
                <w:color w:val="auto"/>
              </w:rPr>
            </w:pPr>
            <w:r>
              <w:rPr>
                <w:rFonts w:ascii="Arial" w:cs="Arial" w:eastAsia="Arial" w:hAnsi="Arial"/>
                <w:sz w:val="16"/>
                <w:szCs w:val="16"/>
                <w:color w:val="auto"/>
              </w:rPr>
              <w:t>Gross profit</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151,911</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87,801</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42,387</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36,944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 net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43,729</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31,464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12,993</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9,251</w:t>
            </w:r>
          </w:p>
        </w:tc>
        <w:tc>
          <w:tcPr>
            <w:tcW w:w="0" w:type="dxa"/>
            <w:vAlign w:val="bottom"/>
          </w:tcPr>
          <w:p>
            <w:pPr>
              <w:spacing w:after="0"/>
              <w:rPr>
                <w:sz w:val="1"/>
                <w:szCs w:val="1"/>
                <w:color w:val="auto"/>
              </w:rPr>
            </w:pPr>
          </w:p>
        </w:tc>
      </w:tr>
      <w:tr>
        <w:trPr>
          <w:trHeight w:val="191"/>
        </w:trPr>
        <w:tc>
          <w:tcPr>
            <w:tcW w:w="598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58,752</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36,405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18,036</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36,637</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26,661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139"/>
        </w:trPr>
        <w:tc>
          <w:tcPr>
            <w:tcW w:w="5980" w:type="dxa"/>
            <w:vAlign w:val="bottom"/>
            <w:tcBorders>
              <w:top w:val="single" w:sz="8" w:color="CCEEFF"/>
            </w:tcBorders>
            <w:gridSpan w:val="2"/>
          </w:tcPr>
          <w:p>
            <w:pPr>
              <w:spacing w:after="0" w:line="139" w:lineRule="exact"/>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6"/>
                <w:szCs w:val="16"/>
                <w:color w:val="auto"/>
              </w:rPr>
              <w:t>139,118</w:t>
            </w:r>
          </w:p>
        </w:tc>
        <w:tc>
          <w:tcPr>
            <w:tcW w:w="24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6"/>
                <w:szCs w:val="16"/>
                <w:color w:val="auto"/>
              </w:rPr>
              <w:t>94,530</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6"/>
                <w:szCs w:val="16"/>
                <w:color w:val="auto"/>
              </w:rPr>
              <w:t>42,694</w:t>
            </w: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6"/>
                <w:szCs w:val="16"/>
                <w:color w:val="auto"/>
              </w:rPr>
              <w:t>27,985</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20" w:type="dxa"/>
            <w:vAlign w:val="bottom"/>
            <w:shd w:val="clear" w:color="auto" w:fill="000000"/>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12,793</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8,959</w:t>
            </w: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6"/>
                <w:szCs w:val="16"/>
                <w:color w:val="auto"/>
              </w:rPr>
              <w:t>Financial income (expenses), net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2,599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(loss) before taxes on income (tax benefit)</w:t>
            </w: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15,392</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Taxes on income (benefit)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(1,297)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15,527</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(4,783</w:t>
            </w:r>
          </w:p>
        </w:tc>
        <w:tc>
          <w:tcPr>
            <w:tcW w:w="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954</w:t>
            </w:r>
          </w:p>
        </w:tc>
        <w:tc>
          <w:tcPr>
            <w:tcW w:w="3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Arial" w:cs="Arial" w:eastAsia="Arial" w:hAnsi="Arial"/>
                <w:sz w:val="16"/>
                <w:szCs w:val="16"/>
                <w:color w:val="auto"/>
              </w:rPr>
              <w:t>Basic net income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0.33</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0.02</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Arial" w:cs="Arial" w:eastAsia="Arial" w:hAnsi="Arial"/>
                <w:sz w:val="16"/>
                <w:szCs w:val="16"/>
                <w:color w:val="auto"/>
                <w:w w:val="94"/>
              </w:rPr>
              <w:t>Weighted average number of shares used in computing basic net income (loss) per share</w:t>
            </w:r>
          </w:p>
        </w:tc>
        <w:tc>
          <w:tcPr>
            <w:tcW w:w="10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47,079,358</w:t>
            </w:r>
          </w:p>
        </w:tc>
        <w:tc>
          <w:tcPr>
            <w:tcW w:w="38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42,286,275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47,778,868</w:t>
            </w:r>
          </w:p>
        </w:tc>
        <w:tc>
          <w:tcPr>
            <w:tcW w:w="36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45,941,153</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Diluted net income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0.32</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0.02</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gridSpan w:val="2"/>
          </w:tcPr>
          <w:p>
            <w:pPr>
              <w:spacing w:after="0"/>
              <w:rPr>
                <w:sz w:val="20"/>
                <w:szCs w:val="20"/>
                <w:color w:val="auto"/>
              </w:rPr>
            </w:pPr>
            <w:r>
              <w:rPr>
                <w:rFonts w:ascii="Arial" w:cs="Arial" w:eastAsia="Arial" w:hAnsi="Arial"/>
                <w:sz w:val="16"/>
                <w:szCs w:val="16"/>
                <w:color w:val="auto"/>
                <w:w w:val="92"/>
              </w:rPr>
              <w:t>Weighted average number of shares used in computing diluted net income (loss) per share</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48,600,095</w:t>
            </w:r>
          </w:p>
        </w:tc>
        <w:tc>
          <w:tcPr>
            <w:tcW w:w="3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42,286,275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48,926,240</w:t>
            </w:r>
          </w:p>
        </w:tc>
        <w:tc>
          <w:tcPr>
            <w:tcW w:w="3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47,226,835</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558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98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9" w:name="page10"/>
    <w:bookmarkEnd w:id="9"/>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RECONCILATION OF GAAP TO NON-GAAP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center"/>
              <w:ind w:left="420"/>
              <w:spacing w:after="0"/>
              <w:rPr>
                <w:sz w:val="20"/>
                <w:szCs w:val="20"/>
                <w:color w:val="auto"/>
              </w:rPr>
            </w:pPr>
            <w:r>
              <w:rPr>
                <w:rFonts w:ascii="Arial" w:cs="Arial" w:eastAsia="Arial" w:hAnsi="Arial"/>
                <w:sz w:val="16"/>
                <w:szCs w:val="16"/>
                <w:b w:val="1"/>
                <w:bCs w:val="1"/>
                <w:color w:val="auto"/>
                <w:w w:val="90"/>
              </w:rPr>
              <w:t>Year Ended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88"/>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2"/>
              </w:rPr>
              <w:t>(Unaudited)</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322,006</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193,331</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87,548</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72,291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170,095</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105,530</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45,161</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35,347</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(1,355)</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(1,056)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(355)</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(1,105)</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(355)</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on cost of product (3)</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(337)</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(176)</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on cost of service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(640)</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Coronavirus one time impact (4)</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cost of revenues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166,658</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103,083</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34,835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gross profit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151,911</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87,801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42,387</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36,944</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Gross profit adjustments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3,437</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155,348</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90,248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43,433</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37,456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operating expenses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139,118</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94,530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42,694</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27,985</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(12,673)</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(8,209)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(3,454)</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(960)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(766)</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(3)</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(433)</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(712)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(97)</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Coronavirus one time impact (4)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operating expenses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125,052</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85,030</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38,377</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25,656</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Financial income (expenses), net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2,599</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3,498</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336</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638</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Financial income,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2,935</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4,818</w:t>
            </w:r>
          </w:p>
        </w:tc>
        <w:tc>
          <w:tcPr>
            <w:tcW w:w="14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602</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Taxes on income (benefit)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(135)</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1,552</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(1,297)</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302</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Deferred tax benefit based on an Israeli statutory tax rate</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(3,035)</w:t>
            </w: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(1,259)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(1,675)</w:t>
            </w:r>
          </w:p>
        </w:tc>
        <w:tc>
          <w:tcPr>
            <w:tcW w:w="3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Taxes on income (benefit)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(2,868)</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(716)</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net income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15,527</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(4,783)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954</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15,133</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10,036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4,164</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766</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(3)</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1,410</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812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433</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Coronavirus one time impact (4)</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336</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638</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effect of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(302)</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(2,256)</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Deferred tax benefit at the Israeli statutory tax rate</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3,035</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net income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36,099</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 (loss)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0.32</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0.02</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0.74</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0.13</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GAAP diluted net earning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48,600,095</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42,286,275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48,926,240</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47,226,835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Non-GAAP diluted net earning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48,836,435</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43,712,110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49,163,475</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47,556,867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1,355</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1,056</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355</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1,105</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355</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2,685</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875</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5,005</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03"/>
        </w:trPr>
        <w:tc>
          <w:tcPr>
            <w:tcW w:w="59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4,983</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15,133</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(2) Acquisition related expenses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960</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766</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960</w:t>
            </w:r>
          </w:p>
        </w:tc>
        <w:tc>
          <w:tcPr>
            <w:tcW w:w="38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766</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(3) Intangible assets amortization</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337</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176</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640</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816" w:right="319" w:bottom="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8"/>
        </w:trPr>
        <w:tc>
          <w:tcPr>
            <w:tcW w:w="38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1,410</w:t>
            </w:r>
          </w:p>
        </w:tc>
        <w:tc>
          <w:tcPr>
            <w:tcW w:w="5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812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433</w:t>
            </w:r>
          </w:p>
        </w:tc>
        <w:tc>
          <w:tcPr>
            <w:tcW w:w="48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7"/>
        </w:trPr>
        <w:tc>
          <w:tcPr>
            <w:tcW w:w="38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tcPr>
          <w:p>
            <w:pPr>
              <w:spacing w:after="0"/>
              <w:rPr>
                <w:sz w:val="20"/>
                <w:szCs w:val="20"/>
                <w:color w:val="auto"/>
              </w:rPr>
            </w:pPr>
            <w:r>
              <w:rPr>
                <w:rFonts w:ascii="Arial" w:cs="Arial" w:eastAsia="Arial" w:hAnsi="Arial"/>
                <w:sz w:val="16"/>
                <w:szCs w:val="16"/>
                <w:color w:val="auto"/>
              </w:rPr>
              <w:t>(4) Coronavirus one time impact</w:t>
            </w: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25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527</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tcPr>
          <w:p>
            <w:pPr>
              <w:ind w:left="280"/>
              <w:spacing w:after="0"/>
              <w:rPr>
                <w:sz w:val="20"/>
                <w:szCs w:val="20"/>
                <w:color w:val="auto"/>
              </w:rPr>
            </w:pPr>
            <w:r>
              <w:rPr>
                <w:rFonts w:ascii="Arial" w:cs="Arial" w:eastAsia="Arial" w:hAnsi="Arial"/>
                <w:sz w:val="16"/>
                <w:szCs w:val="16"/>
                <w:color w:val="auto"/>
              </w:rPr>
              <w:t>Cost of service revenues</w:t>
            </w: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451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60" w:type="dxa"/>
            <w:vAlign w:val="bottom"/>
            <w:vMerge w:val="restart"/>
          </w:tcPr>
          <w:p>
            <w:pPr>
              <w:jc w:val="right"/>
              <w:ind w:right="240"/>
              <w:spacing w:after="0"/>
              <w:rPr>
                <w:sz w:val="20"/>
                <w:szCs w:val="20"/>
                <w:color w:val="auto"/>
              </w:rPr>
            </w:pPr>
            <w:r>
              <w:rPr>
                <w:rFonts w:ascii="Arial" w:cs="Arial" w:eastAsia="Arial" w:hAnsi="Arial"/>
                <w:sz w:val="16"/>
                <w:szCs w:val="16"/>
                <w:color w:val="auto"/>
              </w:rPr>
              <w:t>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5" w:right="3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Twelve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90"/>
              </w:rPr>
              <w:t>December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92"/>
              </w:rPr>
              <w:t>(Unaudited)</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560" w:type="dxa"/>
            <w:vAlign w:val="bottom"/>
            <w:gridSpan w:val="4"/>
          </w:tcPr>
          <w:p>
            <w:pPr>
              <w:spacing w:after="0" w:line="155" w:lineRule="exact"/>
              <w:rPr>
                <w:sz w:val="20"/>
                <w:szCs w:val="20"/>
                <w:color w:val="auto"/>
              </w:rPr>
            </w:pPr>
            <w:r>
              <w:rPr>
                <w:rFonts w:ascii="Arial" w:cs="Arial" w:eastAsia="Arial" w:hAnsi="Arial"/>
                <w:sz w:val="16"/>
                <w:szCs w:val="16"/>
                <w:color w:val="auto"/>
              </w:rPr>
              <w:t>Cash flows from operating activities: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15,527</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(4,783)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954</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w w:val="90"/>
              </w:rPr>
              <w:t>Adjustments to reconcile net income (loss) to net cash provided by operating activities: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6,967</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4,711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191"/>
        </w:trPr>
        <w:tc>
          <w:tcPr>
            <w:tcW w:w="5560" w:type="dxa"/>
            <w:vAlign w:val="bottom"/>
            <w:gridSpan w:val="4"/>
          </w:tcPr>
          <w:p>
            <w:pPr>
              <w:ind w:left="280"/>
              <w:spacing w:after="0"/>
              <w:rPr>
                <w:sz w:val="20"/>
                <w:szCs w:val="20"/>
                <w:color w:val="auto"/>
              </w:rPr>
            </w:pPr>
            <w:r>
              <w:rPr>
                <w:rFonts w:ascii="Arial" w:cs="Arial" w:eastAsia="Arial" w:hAnsi="Arial"/>
                <w:sz w:val="16"/>
                <w:szCs w:val="16"/>
                <w:color w:val="auto"/>
              </w:rPr>
              <w:t>Fair value of warrants deducted from revenues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25,423</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7,855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15,133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10,036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191"/>
        </w:trPr>
        <w:tc>
          <w:tcPr>
            <w:tcW w:w="5560" w:type="dxa"/>
            <w:vAlign w:val="bottom"/>
            <w:gridSpan w:val="4"/>
          </w:tcPr>
          <w:p>
            <w:pPr>
              <w:ind w:left="280"/>
              <w:spacing w:after="0"/>
              <w:rPr>
                <w:sz w:val="20"/>
                <w:szCs w:val="20"/>
                <w:color w:val="auto"/>
              </w:rPr>
            </w:pPr>
            <w:r>
              <w:rPr>
                <w:rFonts w:ascii="Arial" w:cs="Arial" w:eastAsia="Arial" w:hAnsi="Arial"/>
                <w:sz w:val="16"/>
                <w:szCs w:val="16"/>
                <w:color w:val="auto"/>
                <w:w w:val="93"/>
              </w:rPr>
              <w:t>Amortization of premium and accretion of discount on marketable securities, net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1,279</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2,899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Realized gain on sale of marketable securities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560" w:type="dxa"/>
            <w:vAlign w:val="bottom"/>
            <w:gridSpan w:val="4"/>
          </w:tcPr>
          <w:p>
            <w:pPr>
              <w:spacing w:after="0" w:line="155" w:lineRule="exact"/>
              <w:rPr>
                <w:sz w:val="20"/>
                <w:szCs w:val="20"/>
                <w:color w:val="auto"/>
              </w:rPr>
            </w:pPr>
            <w:r>
              <w:rPr>
                <w:rFonts w:ascii="Arial" w:cs="Arial" w:eastAsia="Arial" w:hAnsi="Arial"/>
                <w:sz w:val="16"/>
                <w:szCs w:val="16"/>
                <w:color w:val="auto"/>
              </w:rPr>
              <w:t>Change in operating assets and liabilities: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40" w:type="dxa"/>
            <w:vAlign w:val="bottom"/>
            <w:tcBorders>
              <w:top w:val="single" w:sz="8" w:color="auto"/>
            </w:tcBorders>
            <w:gridSpan w:val="3"/>
            <w:shd w:val="clear" w:color="auto" w:fill="CCEEFF"/>
          </w:tcPr>
          <w:p>
            <w:pPr>
              <w:ind w:left="280"/>
              <w:spacing w:after="0"/>
              <w:rPr>
                <w:sz w:val="20"/>
                <w:szCs w:val="20"/>
                <w:color w:val="auto"/>
              </w:rPr>
            </w:pPr>
            <w:r>
              <w:rPr>
                <w:rFonts w:ascii="Arial" w:cs="Arial" w:eastAsia="Arial" w:hAnsi="Arial"/>
                <w:sz w:val="16"/>
                <w:szCs w:val="16"/>
                <w:color w:val="auto"/>
              </w:rPr>
              <w:t>Trade receivables, net</w:t>
            </w:r>
          </w:p>
        </w:tc>
        <w:tc>
          <w:tcPr>
            <w:tcW w:w="2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1,782</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0" w:type="dxa"/>
            <w:vAlign w:val="bottom"/>
          </w:tcPr>
          <w:p>
            <w:pPr>
              <w:spacing w:after="0"/>
              <w:rPr>
                <w:sz w:val="1"/>
                <w:szCs w:val="1"/>
                <w:color w:val="auto"/>
              </w:rPr>
            </w:pPr>
          </w:p>
        </w:tc>
      </w:tr>
      <w:tr>
        <w:trPr>
          <w:trHeight w:val="191"/>
        </w:trPr>
        <w:tc>
          <w:tcPr>
            <w:tcW w:w="5560" w:type="dxa"/>
            <w:vAlign w:val="bottom"/>
            <w:gridSpan w:val="4"/>
          </w:tcPr>
          <w:p>
            <w:pPr>
              <w:ind w:left="280"/>
              <w:spacing w:after="0"/>
              <w:rPr>
                <w:sz w:val="20"/>
                <w:szCs w:val="20"/>
                <w:color w:val="auto"/>
              </w:rPr>
            </w:pPr>
            <w:r>
              <w:rPr>
                <w:rFonts w:ascii="Arial" w:cs="Arial" w:eastAsia="Arial" w:hAnsi="Arial"/>
                <w:sz w:val="16"/>
                <w:szCs w:val="16"/>
                <w:color w:val="auto"/>
              </w:rPr>
              <w:t>Other accounts receivables and prepaid expenses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(5,303)</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(2,333)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(3,450)</w:t>
            </w: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(13,128)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(15,827)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(9,363)</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(6,298)</w:t>
            </w:r>
          </w:p>
        </w:tc>
        <w:tc>
          <w:tcPr>
            <w:tcW w:w="0" w:type="dxa"/>
            <w:vAlign w:val="bottom"/>
          </w:tcPr>
          <w:p>
            <w:pPr>
              <w:spacing w:after="0"/>
              <w:rPr>
                <w:sz w:val="1"/>
                <w:szCs w:val="1"/>
                <w:color w:val="auto"/>
              </w:rPr>
            </w:pPr>
          </w:p>
        </w:tc>
      </w:tr>
      <w:tr>
        <w:trPr>
          <w:trHeight w:val="191"/>
        </w:trPr>
        <w:tc>
          <w:tcPr>
            <w:tcW w:w="5560" w:type="dxa"/>
            <w:vAlign w:val="bottom"/>
            <w:gridSpan w:val="4"/>
          </w:tcPr>
          <w:p>
            <w:pPr>
              <w:ind w:left="280"/>
              <w:spacing w:after="0"/>
              <w:rPr>
                <w:sz w:val="20"/>
                <w:szCs w:val="20"/>
                <w:color w:val="auto"/>
              </w:rPr>
            </w:pPr>
            <w:r>
              <w:rPr>
                <w:rFonts w:ascii="Arial" w:cs="Arial" w:eastAsia="Arial" w:hAnsi="Arial"/>
                <w:sz w:val="16"/>
                <w:szCs w:val="16"/>
                <w:color w:val="auto"/>
              </w:rPr>
              <w:t>Operating leases right-of-use assets and liabilities, net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211</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608</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Deferred taxes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(4,280)</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(2,414)</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191"/>
        </w:trPr>
        <w:tc>
          <w:tcPr>
            <w:tcW w:w="5560" w:type="dxa"/>
            <w:vAlign w:val="bottom"/>
            <w:gridSpan w:val="4"/>
          </w:tcPr>
          <w:p>
            <w:pPr>
              <w:ind w:left="280"/>
              <w:spacing w:after="0"/>
              <w:rPr>
                <w:sz w:val="20"/>
                <w:szCs w:val="20"/>
                <w:color w:val="auto"/>
              </w:rPr>
            </w:pPr>
            <w:r>
              <w:rPr>
                <w:rFonts w:ascii="Arial" w:cs="Arial" w:eastAsia="Arial" w:hAnsi="Arial"/>
                <w:sz w:val="16"/>
                <w:szCs w:val="16"/>
                <w:color w:val="auto"/>
              </w:rPr>
              <w:t>Deposits and other long term assets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(110)</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Trade payables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14,034</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16,434</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6,293</w:t>
            </w:r>
          </w:p>
        </w:tc>
        <w:tc>
          <w:tcPr>
            <w:tcW w:w="0" w:type="dxa"/>
            <w:vAlign w:val="bottom"/>
          </w:tcPr>
          <w:p>
            <w:pPr>
              <w:spacing w:after="0"/>
              <w:rPr>
                <w:sz w:val="1"/>
                <w:szCs w:val="1"/>
                <w:color w:val="auto"/>
              </w:rPr>
            </w:pPr>
          </w:p>
        </w:tc>
      </w:tr>
      <w:tr>
        <w:trPr>
          <w:trHeight w:val="191"/>
        </w:trPr>
        <w:tc>
          <w:tcPr>
            <w:tcW w:w="5560" w:type="dxa"/>
            <w:vAlign w:val="bottom"/>
            <w:gridSpan w:val="4"/>
          </w:tcPr>
          <w:p>
            <w:pPr>
              <w:ind w:left="280"/>
              <w:spacing w:after="0"/>
              <w:rPr>
                <w:sz w:val="20"/>
                <w:szCs w:val="20"/>
                <w:color w:val="auto"/>
              </w:rPr>
            </w:pPr>
            <w:r>
              <w:rPr>
                <w:rFonts w:ascii="Arial" w:cs="Arial" w:eastAsia="Arial" w:hAnsi="Arial"/>
                <w:sz w:val="16"/>
                <w:szCs w:val="16"/>
                <w:color w:val="auto"/>
              </w:rPr>
              <w:t>Employees and payroll accruals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9,698</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820</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Deferred revenues and advances from customers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(21,668)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24,286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(6,318)</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16,623</w:t>
            </w:r>
          </w:p>
        </w:tc>
        <w:tc>
          <w:tcPr>
            <w:tcW w:w="0" w:type="dxa"/>
            <w:vAlign w:val="bottom"/>
          </w:tcPr>
          <w:p>
            <w:pPr>
              <w:spacing w:after="0"/>
              <w:rPr>
                <w:sz w:val="1"/>
                <w:szCs w:val="1"/>
                <w:color w:val="auto"/>
              </w:rPr>
            </w:pPr>
          </w:p>
        </w:tc>
      </w:tr>
      <w:tr>
        <w:trPr>
          <w:trHeight w:val="191"/>
        </w:trPr>
        <w:tc>
          <w:tcPr>
            <w:tcW w:w="5560" w:type="dxa"/>
            <w:vAlign w:val="bottom"/>
            <w:gridSpan w:val="4"/>
          </w:tcPr>
          <w:p>
            <w:pPr>
              <w:ind w:left="280"/>
              <w:spacing w:after="0"/>
              <w:rPr>
                <w:sz w:val="20"/>
                <w:szCs w:val="20"/>
                <w:color w:val="auto"/>
              </w:rPr>
            </w:pPr>
            <w:r>
              <w:rPr>
                <w:rFonts w:ascii="Arial" w:cs="Arial" w:eastAsia="Arial" w:hAnsi="Arial"/>
                <w:sz w:val="16"/>
                <w:szCs w:val="16"/>
                <w:color w:val="auto"/>
              </w:rPr>
              <w:t>Other payables and accrued expenses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5,862</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(4,617)</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2,702</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Accrued severance pay, net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309</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tcPr>
          <w:p>
            <w:pPr>
              <w:ind w:left="280"/>
              <w:spacing w:after="0"/>
              <w:rPr>
                <w:sz w:val="20"/>
                <w:szCs w:val="20"/>
                <w:color w:val="auto"/>
              </w:rPr>
            </w:pPr>
            <w:r>
              <w:rPr>
                <w:rFonts w:ascii="Arial" w:cs="Arial" w:eastAsia="Arial" w:hAnsi="Arial"/>
                <w:sz w:val="16"/>
                <w:szCs w:val="16"/>
                <w:color w:val="auto"/>
              </w:rPr>
              <w:t>Other long - term liabilities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760</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(877)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(496)</w:t>
            </w: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Loss from sale and disposal of property, plant and Equipment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60" w:type="dxa"/>
            <w:vAlign w:val="bottom"/>
            <w:gridSpan w:val="4"/>
          </w:tcPr>
          <w:p>
            <w:pPr>
              <w:spacing w:after="0"/>
              <w:rPr>
                <w:sz w:val="20"/>
                <w:szCs w:val="20"/>
                <w:color w:val="auto"/>
              </w:rPr>
            </w:pPr>
            <w:r>
              <w:rPr>
                <w:rFonts w:ascii="Arial" w:cs="Arial" w:eastAsia="Arial" w:hAnsi="Arial"/>
                <w:sz w:val="16"/>
                <w:szCs w:val="16"/>
                <w:color w:val="auto"/>
                <w:w w:val="92"/>
              </w:rPr>
              <w:t>Foreign currency translation loss on inter company balances with foreign subsidiaries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60" w:type="dxa"/>
            <w:vAlign w:val="bottom"/>
            <w:gridSpan w:val="4"/>
          </w:tcPr>
          <w:p>
            <w:pPr>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52,464</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32,410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9,334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34,344</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560" w:type="dxa"/>
            <w:vAlign w:val="bottom"/>
            <w:gridSpan w:val="4"/>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rPr>
              <w:t>Purchase of property, plant and equipment</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(15,301)</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(13,489)</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(5,877)</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(2,731)</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(351)</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(351)</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w w:val="97"/>
              </w:rPr>
              <w:t>Acquisition of intangible assets and capitalization of software development costs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(130)</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(130)</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sale of property, plant and equipment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rPr>
              <w:t>Cash paid in connection with acquisition, net of cash acquired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(14,991)</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(15,535)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Investment in (proceeds from) bank deposits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215,636</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(129,804)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231,935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(172,996)</w:t>
            </w: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rPr>
              <w:t>Proceeds from sale of marketable securities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1,000</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58,532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maturity of marketable securities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13,526</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21,706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07"/>
        </w:trPr>
        <w:tc>
          <w:tcPr>
            <w:tcW w:w="5560" w:type="dxa"/>
            <w:vAlign w:val="bottom"/>
            <w:gridSpan w:val="4"/>
          </w:tcPr>
          <w:p>
            <w:pPr>
              <w:spacing w:after="0"/>
              <w:rPr>
                <w:sz w:val="20"/>
                <w:szCs w:val="20"/>
                <w:color w:val="auto"/>
              </w:rPr>
            </w:pPr>
            <w:r>
              <w:rPr>
                <w:rFonts w:ascii="Arial" w:cs="Arial" w:eastAsia="Arial" w:hAnsi="Arial"/>
                <w:sz w:val="16"/>
                <w:szCs w:val="16"/>
                <w:color w:val="auto"/>
              </w:rPr>
              <w:t>Investment in marketable securities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(110,458)</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(35,923)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(66,148)</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(17,381)</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60" w:type="dxa"/>
            <w:vAlign w:val="bottom"/>
            <w:gridSpan w:val="4"/>
          </w:tcPr>
          <w:p>
            <w:pPr>
              <w:spacing w:after="0"/>
              <w:rPr>
                <w:sz w:val="20"/>
                <w:szCs w:val="20"/>
                <w:color w:val="auto"/>
              </w:rPr>
            </w:pPr>
            <w:r>
              <w:rPr>
                <w:rFonts w:ascii="Arial" w:cs="Arial" w:eastAsia="Arial" w:hAnsi="Arial"/>
                <w:sz w:val="16"/>
                <w:szCs w:val="16"/>
                <w:color w:val="auto"/>
              </w:rPr>
              <w:t>Net cash provided by (used in) investing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88,931</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(114,630)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163,651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(191,884)</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560" w:type="dxa"/>
            <w:vAlign w:val="bottom"/>
            <w:gridSpan w:val="4"/>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rPr>
              <w:t>Proceeds from public offering, net of issuance cost</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341,799</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162,720</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341,799</w:t>
            </w:r>
          </w:p>
        </w:tc>
        <w:tc>
          <w:tcPr>
            <w:tcW w:w="220" w:type="dxa"/>
            <w:vAlign w:val="bottom"/>
          </w:tcPr>
          <w:p>
            <w:pPr>
              <w:spacing w:after="0"/>
              <w:rPr>
                <w:sz w:val="16"/>
                <w:szCs w:val="16"/>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Payment of deferred issuance cost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rPr>
              <w:t>Exercise of employee stock options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4,818</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677</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23"/>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Payments related to shares withheld for taxes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(2,238)</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(576)</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179"/>
        </w:trPr>
        <w:tc>
          <w:tcPr>
            <w:tcW w:w="5560" w:type="dxa"/>
            <w:vAlign w:val="bottom"/>
            <w:tcBorders>
              <w:top w:val="single" w:sz="8" w:color="CCEEFF"/>
              <w:bottom w:val="single" w:sz="8" w:color="CCEEFF"/>
            </w:tcBorders>
            <w:gridSpan w:val="4"/>
          </w:tcPr>
          <w:p>
            <w:pPr>
              <w:spacing w:after="0" w:line="175" w:lineRule="exact"/>
              <w:rPr>
                <w:sz w:val="20"/>
                <w:szCs w:val="20"/>
                <w:color w:val="auto"/>
              </w:rPr>
            </w:pPr>
            <w:r>
              <w:rPr>
                <w:rFonts w:ascii="Arial" w:cs="Arial" w:eastAsia="Arial" w:hAnsi="Arial"/>
                <w:sz w:val="16"/>
                <w:szCs w:val="16"/>
                <w:color w:val="auto"/>
              </w:rPr>
              <w:t>Net cash provided by financing activities</w:t>
            </w:r>
          </w:p>
        </w:tc>
        <w:tc>
          <w:tcPr>
            <w:tcW w:w="4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344,379</w:t>
            </w:r>
          </w:p>
        </w:tc>
        <w:tc>
          <w:tcPr>
            <w:tcW w:w="24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167,045</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341,900</w:t>
            </w:r>
          </w:p>
        </w:tc>
        <w:tc>
          <w:tcPr>
            <w:tcW w:w="22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(535</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rPr>
              <w:t>Foreign currency translation adjustments on cash and cash equivalents</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209</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(decrease) in cash and cash equivalents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485,774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85,034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514,885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(157,903)</w:t>
            </w:r>
          </w:p>
        </w:tc>
        <w:tc>
          <w:tcPr>
            <w:tcW w:w="0" w:type="dxa"/>
            <w:vAlign w:val="bottom"/>
          </w:tcPr>
          <w:p>
            <w:pPr>
              <w:spacing w:after="0"/>
              <w:rPr>
                <w:sz w:val="1"/>
                <w:szCs w:val="1"/>
                <w:color w:val="auto"/>
              </w:rPr>
            </w:pPr>
          </w:p>
        </w:tc>
      </w:tr>
      <w:tr>
        <w:trPr>
          <w:trHeight w:val="203"/>
        </w:trPr>
        <w:tc>
          <w:tcPr>
            <w:tcW w:w="5560" w:type="dxa"/>
            <w:vAlign w:val="bottom"/>
            <w:gridSpan w:val="4"/>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125,777</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40,743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96,668</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283,680</w:t>
            </w:r>
          </w:p>
        </w:tc>
        <w:tc>
          <w:tcPr>
            <w:tcW w:w="0" w:type="dxa"/>
            <w:vAlign w:val="bottom"/>
          </w:tcPr>
          <w:p>
            <w:pPr>
              <w:spacing w:after="0"/>
              <w:rPr>
                <w:sz w:val="1"/>
                <w:szCs w:val="1"/>
                <w:color w:val="auto"/>
              </w:rPr>
            </w:pPr>
          </w:p>
        </w:tc>
      </w:tr>
      <w:tr>
        <w:trPr>
          <w:trHeight w:val="24"/>
        </w:trPr>
        <w:tc>
          <w:tcPr>
            <w:tcW w:w="5560" w:type="dxa"/>
            <w:vAlign w:val="bottom"/>
            <w:gridSpan w:val="4"/>
            <w:vMerge w:val="restart"/>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period</w:t>
            </w:r>
          </w:p>
        </w:tc>
        <w:tc>
          <w:tcPr>
            <w:tcW w:w="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560" w:type="dxa"/>
            <w:vAlign w:val="bottom"/>
            <w:gridSpan w:val="4"/>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611,551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125,777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611,552</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125,777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Purchase of property and equipment on credit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2,461</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1,904</w:t>
            </w: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2,621</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Property, plant and equipment transferred to be used as inventory</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tcPr>
          <w:p>
            <w:pPr>
              <w:spacing w:after="0"/>
              <w:rPr>
                <w:sz w:val="20"/>
                <w:szCs w:val="20"/>
                <w:color w:val="auto"/>
              </w:rPr>
            </w:pPr>
            <w:r>
              <w:rPr>
                <w:rFonts w:ascii="Arial" w:cs="Arial" w:eastAsia="Arial" w:hAnsi="Arial"/>
                <w:sz w:val="16"/>
                <w:szCs w:val="16"/>
                <w:color w:val="auto"/>
              </w:rPr>
              <w:t>Acquisition costs on credit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73</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Receipt on account of shares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4"/>
        </w:trPr>
        <w:tc>
          <w:tcPr>
            <w:tcW w:w="5560" w:type="dxa"/>
            <w:vAlign w:val="bottom"/>
            <w:gridSpan w:val="4"/>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5,688</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4,170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7</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826" w:gutter="0" w:footer="0" w:header="0"/>
        </w:sectPr>
      </w:pPr>
    </w:p>
    <w:bookmarkStart w:id="12" w:name="page13"/>
    <w:bookmarkEnd w:id="12"/>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433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2022-02-15T07:46:48Z</dcterms:created>
  <dcterms:modified xsi:type="dcterms:W3CDTF">2022-02-15T07:46:48Z</dcterms:modified>
</cp:coreProperties>
</file>