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2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5955030</wp:posOffset>
            </wp:positionH>
            <wp:positionV relativeFrom="page">
              <wp:posOffset>294640</wp:posOffset>
            </wp:positionV>
            <wp:extent cx="1449070" cy="5657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49070" cy="565785"/>
                    </a:xfrm>
                    <a:prstGeom prst="rect">
                      <a:avLst/>
                    </a:prstGeom>
                    <a:noFill/>
                  </pic:spPr>
                </pic:pic>
              </a:graphicData>
            </a:graphic>
          </wp:anchor>
        </w:drawing>
        <w:t>UNITED STATES</w:t>
      </w:r>
    </w:p>
    <w:p>
      <w:pPr>
        <w:spacing w:after="0" w:line="27" w:lineRule="exact"/>
        <w:rPr>
          <w:sz w:val="24"/>
          <w:szCs w:val="24"/>
          <w:color w:val="auto"/>
        </w:rPr>
      </w:pPr>
    </w:p>
    <w:p>
      <w:pPr>
        <w:jc w:val="center"/>
        <w:ind w:right="2240"/>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2240"/>
        <w:spacing w:after="0"/>
        <w:rPr>
          <w:sz w:val="20"/>
          <w:szCs w:val="20"/>
          <w:color w:val="auto"/>
        </w:rPr>
      </w:pPr>
      <w:r>
        <w:rPr>
          <w:rFonts w:ascii="Arial" w:cs="Arial" w:eastAsia="Arial" w:hAnsi="Arial"/>
          <w:sz w:val="18"/>
          <w:szCs w:val="18"/>
          <w:b w:val="1"/>
          <w:bCs w:val="1"/>
          <w:color w:val="auto"/>
        </w:rPr>
        <w:t>Washington, D.C. 20549</w:t>
      </w:r>
    </w:p>
    <w:p>
      <w:pPr>
        <w:spacing w:after="0" w:line="22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SCHEDULE 13G</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(Amendment No. 1</w:t>
      </w:r>
      <w:r>
        <w:rPr>
          <w:rFonts w:ascii="Arial" w:cs="Arial" w:eastAsia="Arial" w:hAnsi="Arial"/>
          <w:sz w:val="18"/>
          <w:szCs w:val="18"/>
          <w:color w:val="auto"/>
        </w:rPr>
        <w:t>)*</w:t>
      </w:r>
    </w:p>
    <w:p>
      <w:pPr>
        <w:spacing w:after="0" w:line="22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KORNIT DIGITAL LTD.</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Ordinary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M6372Q113</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December 31, 2017</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4"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720" w:hanging="258"/>
        <w:spacing w:after="0"/>
        <w:tabs>
          <w:tab w:leader="none" w:pos="7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13d-l(b)</w:t>
      </w:r>
    </w:p>
    <w:p>
      <w:pPr>
        <w:spacing w:after="0" w:line="225" w:lineRule="exact"/>
        <w:rPr>
          <w:rFonts w:ascii="MS PGothic" w:cs="MS PGothic" w:eastAsia="MS PGothic" w:hAnsi="MS PGothic"/>
          <w:sz w:val="18"/>
          <w:szCs w:val="18"/>
          <w:color w:val="auto"/>
        </w:rPr>
      </w:pPr>
    </w:p>
    <w:p>
      <w:pPr>
        <w:ind w:left="720" w:hanging="258"/>
        <w:spacing w:after="0"/>
        <w:tabs>
          <w:tab w:leader="none" w:pos="7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13d-l(c)</w:t>
      </w:r>
    </w:p>
    <w:p>
      <w:pPr>
        <w:spacing w:after="0" w:line="225" w:lineRule="exact"/>
        <w:rPr>
          <w:sz w:val="24"/>
          <w:szCs w:val="24"/>
          <w:color w:val="auto"/>
        </w:rPr>
      </w:pPr>
    </w:p>
    <w:p>
      <w:pPr>
        <w:ind w:left="720" w:hanging="258"/>
        <w:spacing w:after="0"/>
        <w:tabs>
          <w:tab w:leader="none" w:pos="7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13d-l(d)</w:t>
      </w:r>
    </w:p>
    <w:p>
      <w:pPr>
        <w:spacing w:after="0" w:line="225" w:lineRule="exact"/>
        <w:rPr>
          <w:sz w:val="24"/>
          <w:szCs w:val="24"/>
          <w:color w:val="auto"/>
        </w:rPr>
      </w:pPr>
    </w:p>
    <w:p>
      <w:pPr>
        <w:ind w:right="160" w:firstLine="324"/>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4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Page 1 of 8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00"/>
          </w:cols>
          <w:pgMar w:left="240" w:top="675" w:right="259" w:bottom="1440" w:gutter="0" w:footer="0" w:header="0"/>
        </w:sectPr>
      </w:pPr>
    </w:p>
    <w:bookmarkStart w:id="1" w:name="page2"/>
    <w:bookmarkEnd w:id="1"/>
    <w:p>
      <w:pPr>
        <w:ind w:left="580"/>
        <w:spacing w:after="0"/>
        <w:rPr>
          <w:sz w:val="20"/>
          <w:szCs w:val="20"/>
          <w:color w:val="auto"/>
        </w:rPr>
      </w:pPr>
      <w:r>
        <w:rPr>
          <w:rFonts w:ascii="Arial" w:cs="Arial" w:eastAsia="Arial" w:hAnsi="Arial"/>
          <w:sz w:val="18"/>
          <w:szCs w:val="18"/>
          <w:color w:val="auto"/>
        </w:rPr>
        <w:t>CUSIP No. M6372Q113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14605</wp:posOffset>
            </wp:positionV>
            <wp:extent cx="687768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77685" cy="8890"/>
                    </a:xfrm>
                    <a:prstGeom prst="rect">
                      <a:avLst/>
                    </a:prstGeom>
                    <a:noFill/>
                  </pic:spPr>
                </pic:pic>
              </a:graphicData>
            </a:graphic>
          </wp:anchor>
        </w:drawing>
      </w:r>
    </w:p>
    <w:p>
      <w:pPr>
        <w:spacing w:after="0" w:line="219" w:lineRule="exact"/>
        <w:rPr>
          <w:sz w:val="20"/>
          <w:szCs w:val="20"/>
          <w:color w:val="auto"/>
        </w:rPr>
      </w:pPr>
    </w:p>
    <w:p>
      <w:pPr>
        <w:ind w:left="1220" w:hanging="317"/>
        <w:spacing w:after="0"/>
        <w:tabs>
          <w:tab w:leader="none" w:pos="1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25" w:lineRule="exact"/>
        <w:rPr>
          <w:rFonts w:ascii="Arial" w:cs="Arial" w:eastAsia="Arial" w:hAnsi="Arial"/>
          <w:sz w:val="18"/>
          <w:szCs w:val="18"/>
          <w:color w:val="auto"/>
        </w:rPr>
      </w:pPr>
    </w:p>
    <w:p>
      <w:pPr>
        <w:ind w:left="1220"/>
        <w:spacing w:after="0"/>
        <w:rPr>
          <w:rFonts w:ascii="Arial" w:cs="Arial" w:eastAsia="Arial" w:hAnsi="Arial"/>
          <w:sz w:val="18"/>
          <w:szCs w:val="18"/>
          <w:color w:val="auto"/>
        </w:rPr>
      </w:pPr>
      <w:r>
        <w:rPr>
          <w:rFonts w:ascii="Arial" w:cs="Arial" w:eastAsia="Arial" w:hAnsi="Arial"/>
          <w:sz w:val="18"/>
          <w:szCs w:val="18"/>
          <w:color w:val="auto"/>
        </w:rPr>
        <w:t>FORTISSIMO CAPITAL FUND II (Israel), LP</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220" w:right="5120" w:hanging="317"/>
        <w:spacing w:after="0" w:line="341" w:lineRule="exact"/>
        <w:tabs>
          <w:tab w:leader="none" w:pos="1211"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Check the Appropriate Box if a Member of a Group (See Instructions) </w:t>
      </w:r>
      <w:r>
        <w:rPr>
          <w:rFonts w:ascii="MS PGothic" w:cs="MS PGothic" w:eastAsia="MS PGothic" w:hAnsi="MS PGothic"/>
          <w:sz w:val="18"/>
          <w:szCs w:val="18"/>
          <w:color w:val="auto"/>
        </w:rPr>
        <w:t>☒</w:t>
      </w:r>
      <w:r>
        <w:rPr>
          <w:rFonts w:ascii="Arial" w:cs="Arial" w:eastAsia="Arial" w:hAnsi="Arial"/>
          <w:sz w:val="18"/>
          <w:szCs w:val="18"/>
          <w:color w:val="auto"/>
        </w:rPr>
        <w:t xml:space="preserve">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-568960</wp:posOffset>
            </wp:positionV>
            <wp:extent cx="687768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77685" cy="8890"/>
                    </a:xfrm>
                    <a:prstGeom prst="rect">
                      <a:avLst/>
                    </a:prstGeom>
                    <a:noFill/>
                  </pic:spPr>
                </pic:pic>
              </a:graphicData>
            </a:graphic>
          </wp:anchor>
        </w:drawing>
      </w:r>
    </w:p>
    <w:p>
      <w:pPr>
        <w:spacing w:after="0" w:line="130" w:lineRule="exact"/>
        <w:rPr>
          <w:sz w:val="20"/>
          <w:szCs w:val="20"/>
          <w:color w:val="auto"/>
        </w:rPr>
      </w:pPr>
    </w:p>
    <w:p>
      <w:pPr>
        <w:ind w:left="122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w:t>
      </w:r>
    </w:p>
    <w:p>
      <w:pPr>
        <w:spacing w:after="0" w:line="149" w:lineRule="exact"/>
        <w:rPr>
          <w:sz w:val="20"/>
          <w:szCs w:val="20"/>
          <w:color w:val="auto"/>
        </w:rPr>
      </w:pPr>
    </w:p>
    <w:p>
      <w:pPr>
        <w:ind w:left="1220" w:hanging="317"/>
        <w:spacing w:after="0"/>
        <w:tabs>
          <w:tab w:leader="none" w:pos="122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57785</wp:posOffset>
            </wp:positionV>
            <wp:extent cx="687768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77685" cy="8890"/>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-173355</wp:posOffset>
            </wp:positionV>
            <wp:extent cx="687768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77685" cy="8890"/>
                    </a:xfrm>
                    <a:prstGeom prst="rect">
                      <a:avLst/>
                    </a:prstGeom>
                    <a:noFill/>
                  </pic:spPr>
                </pic:pic>
              </a:graphicData>
            </a:graphic>
          </wp:anchor>
        </w:drawing>
      </w:r>
    </w:p>
    <w:p>
      <w:pPr>
        <w:spacing w:after="0" w:line="138" w:lineRule="exact"/>
        <w:rPr>
          <w:sz w:val="20"/>
          <w:szCs w:val="20"/>
          <w:color w:val="auto"/>
        </w:rPr>
      </w:pPr>
    </w:p>
    <w:p>
      <w:pPr>
        <w:ind w:left="900"/>
        <w:spacing w:after="0"/>
        <w:tabs>
          <w:tab w:leader="none" w:pos="1200" w:val="left"/>
          <w:tab w:leader="none" w:pos="4100" w:val="left"/>
        </w:tabs>
        <w:rPr>
          <w:sz w:val="20"/>
          <w:szCs w:val="20"/>
          <w:color w:val="auto"/>
        </w:rPr>
      </w:pPr>
      <w:r>
        <w:rPr>
          <w:rFonts w:ascii="Arial" w:cs="Arial" w:eastAsia="Arial" w:hAnsi="Arial"/>
          <w:sz w:val="18"/>
          <w:szCs w:val="18"/>
          <w:color w:val="auto"/>
        </w:rPr>
        <w:t>4.</w:t>
        <w:tab/>
        <w:t>Citizenship or Place of Organization</w:t>
      </w:r>
      <w:r>
        <w:rPr>
          <w:sz w:val="20"/>
          <w:szCs w:val="20"/>
          <w:color w:val="auto"/>
        </w:rPr>
        <w:tab/>
      </w:r>
      <w:r>
        <w:rPr>
          <w:rFonts w:ascii="Arial" w:cs="Arial" w:eastAsia="Arial" w:hAnsi="Arial"/>
          <w:sz w:val="15"/>
          <w:szCs w:val="15"/>
          <w:color w:val="auto"/>
        </w:rPr>
        <w:t>Cayman Islands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57785</wp:posOffset>
            </wp:positionV>
            <wp:extent cx="687768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77685" cy="8890"/>
                    </a:xfrm>
                    <a:prstGeom prst="rect">
                      <a:avLst/>
                    </a:prstGeom>
                    <a:noFill/>
                  </pic:spPr>
                </pic:pic>
              </a:graphicData>
            </a:graphic>
          </wp:anchor>
        </w:drawing>
      </w:r>
    </w:p>
    <w:p>
      <w:pPr>
        <w:spacing w:after="0" w:line="138"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1700" w:type="dxa"/>
            <w:vAlign w:val="bottom"/>
          </w:tcPr>
          <w:p>
            <w:pPr>
              <w:spacing w:after="0"/>
              <w:rPr>
                <w:sz w:val="20"/>
                <w:szCs w:val="20"/>
                <w:color w:val="auto"/>
              </w:rPr>
            </w:pPr>
            <w:r>
              <w:rPr>
                <w:rFonts w:ascii="Arial" w:cs="Arial" w:eastAsia="Arial" w:hAnsi="Arial"/>
                <w:sz w:val="18"/>
                <w:szCs w:val="18"/>
                <w:color w:val="auto"/>
              </w:rPr>
              <w:t>Number of</w:t>
            </w:r>
          </w:p>
        </w:tc>
        <w:tc>
          <w:tcPr>
            <w:tcW w:w="540" w:type="dxa"/>
            <w:vAlign w:val="bottom"/>
          </w:tcPr>
          <w:p>
            <w:pPr>
              <w:jc w:val="right"/>
              <w:spacing w:after="0"/>
              <w:rPr>
                <w:sz w:val="20"/>
                <w:szCs w:val="20"/>
                <w:color w:val="auto"/>
              </w:rPr>
            </w:pPr>
            <w:r>
              <w:rPr>
                <w:rFonts w:ascii="Arial" w:cs="Arial" w:eastAsia="Arial" w:hAnsi="Arial"/>
                <w:sz w:val="18"/>
                <w:szCs w:val="18"/>
                <w:color w:val="auto"/>
              </w:rPr>
              <w:t>5.</w:t>
            </w:r>
          </w:p>
        </w:tc>
        <w:tc>
          <w:tcPr>
            <w:tcW w:w="1680" w:type="dxa"/>
            <w:vAlign w:val="bottom"/>
          </w:tcPr>
          <w:p>
            <w:pPr>
              <w:ind w:left="100"/>
              <w:spacing w:after="0"/>
              <w:rPr>
                <w:sz w:val="20"/>
                <w:szCs w:val="20"/>
                <w:color w:val="auto"/>
              </w:rPr>
            </w:pPr>
            <w:r>
              <w:rPr>
                <w:rFonts w:ascii="Arial" w:cs="Arial" w:eastAsia="Arial" w:hAnsi="Arial"/>
                <w:sz w:val="18"/>
                <w:szCs w:val="18"/>
                <w:color w:val="auto"/>
              </w:rPr>
              <w:t>Sole Voting Power</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0*</w:t>
            </w:r>
          </w:p>
        </w:tc>
        <w:tc>
          <w:tcPr>
            <w:tcW w:w="6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2"/>
        </w:trPr>
        <w:tc>
          <w:tcPr>
            <w:tcW w:w="1700" w:type="dxa"/>
            <w:vAlign w:val="bottom"/>
            <w:vMerge w:val="restart"/>
          </w:tcPr>
          <w:p>
            <w:pPr>
              <w:spacing w:after="0"/>
              <w:rPr>
                <w:sz w:val="20"/>
                <w:szCs w:val="20"/>
                <w:color w:val="auto"/>
              </w:rPr>
            </w:pPr>
            <w:r>
              <w:rPr>
                <w:rFonts w:ascii="Arial" w:cs="Arial" w:eastAsia="Arial" w:hAnsi="Arial"/>
                <w:sz w:val="18"/>
                <w:szCs w:val="18"/>
                <w:color w:val="auto"/>
              </w:rPr>
              <w:t>Shares</w:t>
            </w:r>
          </w:p>
        </w:tc>
        <w:tc>
          <w:tcPr>
            <w:tcW w:w="540" w:type="dxa"/>
            <w:vAlign w:val="bottom"/>
            <w:tcBorders>
              <w:bottom w:val="single" w:sz="8" w:color="auto"/>
            </w:tcBorders>
          </w:tcPr>
          <w:p>
            <w:pPr>
              <w:spacing w:after="0"/>
              <w:rPr>
                <w:sz w:val="7"/>
                <w:szCs w:val="7"/>
                <w:color w:val="auto"/>
              </w:rPr>
            </w:pPr>
          </w:p>
        </w:tc>
        <w:tc>
          <w:tcPr>
            <w:tcW w:w="168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656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14"/>
        </w:trPr>
        <w:tc>
          <w:tcPr>
            <w:tcW w:w="1700" w:type="dxa"/>
            <w:vAlign w:val="bottom"/>
            <w:vMerge w:val="continue"/>
          </w:tcPr>
          <w:p>
            <w:pPr>
              <w:spacing w:after="0"/>
              <w:rPr>
                <w:sz w:val="9"/>
                <w:szCs w:val="9"/>
                <w:color w:val="auto"/>
              </w:rPr>
            </w:pPr>
          </w:p>
        </w:tc>
        <w:tc>
          <w:tcPr>
            <w:tcW w:w="54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1680" w:type="dxa"/>
            <w:vAlign w:val="bottom"/>
            <w:vMerge w:val="restart"/>
          </w:tcPr>
          <w:p>
            <w:pPr>
              <w:ind w:left="100"/>
              <w:spacing w:after="0"/>
              <w:rPr>
                <w:sz w:val="20"/>
                <w:szCs w:val="20"/>
                <w:color w:val="auto"/>
              </w:rPr>
            </w:pPr>
            <w:r>
              <w:rPr>
                <w:rFonts w:ascii="Arial" w:cs="Arial" w:eastAsia="Arial" w:hAnsi="Arial"/>
                <w:sz w:val="18"/>
                <w:szCs w:val="18"/>
                <w:color w:val="auto"/>
                <w:w w:val="91"/>
              </w:rPr>
              <w:t>Shared Voting Power</w:t>
            </w:r>
          </w:p>
        </w:tc>
        <w:tc>
          <w:tcPr>
            <w:tcW w:w="6900" w:type="dxa"/>
            <w:vAlign w:val="bottom"/>
            <w:gridSpan w:val="2"/>
            <w:vMerge w:val="restart"/>
          </w:tcPr>
          <w:p>
            <w:pPr>
              <w:jc w:val="right"/>
              <w:ind w:right="5730"/>
              <w:spacing w:after="0"/>
              <w:rPr>
                <w:sz w:val="20"/>
                <w:szCs w:val="20"/>
                <w:color w:val="auto"/>
              </w:rPr>
            </w:pPr>
            <w:r>
              <w:rPr>
                <w:rFonts w:ascii="Arial" w:cs="Arial" w:eastAsia="Arial" w:hAnsi="Arial"/>
                <w:sz w:val="18"/>
                <w:szCs w:val="18"/>
                <w:color w:val="auto"/>
              </w:rPr>
              <w:t>4,552,481 *</w:t>
            </w:r>
          </w:p>
        </w:tc>
        <w:tc>
          <w:tcPr>
            <w:tcW w:w="0" w:type="dxa"/>
            <w:vAlign w:val="bottom"/>
          </w:tcPr>
          <w:p>
            <w:pPr>
              <w:spacing w:after="0"/>
              <w:rPr>
                <w:sz w:val="1"/>
                <w:szCs w:val="1"/>
                <w:color w:val="auto"/>
              </w:rPr>
            </w:pPr>
          </w:p>
        </w:tc>
      </w:tr>
      <w:tr>
        <w:trPr>
          <w:trHeight w:val="163"/>
        </w:trPr>
        <w:tc>
          <w:tcPr>
            <w:tcW w:w="1700" w:type="dxa"/>
            <w:vAlign w:val="bottom"/>
            <w:vMerge w:val="restart"/>
          </w:tcPr>
          <w:p>
            <w:pPr>
              <w:spacing w:after="0"/>
              <w:rPr>
                <w:sz w:val="20"/>
                <w:szCs w:val="20"/>
                <w:color w:val="auto"/>
              </w:rPr>
            </w:pPr>
            <w:r>
              <w:rPr>
                <w:rFonts w:ascii="Arial" w:cs="Arial" w:eastAsia="Arial" w:hAnsi="Arial"/>
                <w:sz w:val="18"/>
                <w:szCs w:val="18"/>
                <w:color w:val="auto"/>
              </w:rPr>
              <w:t>Beneficially by</w:t>
            </w:r>
          </w:p>
        </w:tc>
        <w:tc>
          <w:tcPr>
            <w:tcW w:w="540" w:type="dxa"/>
            <w:vAlign w:val="bottom"/>
            <w:vMerge w:val="continue"/>
          </w:tcPr>
          <w:p>
            <w:pPr>
              <w:spacing w:after="0"/>
              <w:rPr>
                <w:sz w:val="14"/>
                <w:szCs w:val="14"/>
                <w:color w:val="auto"/>
              </w:rPr>
            </w:pPr>
          </w:p>
        </w:tc>
        <w:tc>
          <w:tcPr>
            <w:tcW w:w="1680" w:type="dxa"/>
            <w:vAlign w:val="bottom"/>
            <w:vMerge w:val="continue"/>
          </w:tcPr>
          <w:p>
            <w:pPr>
              <w:spacing w:after="0"/>
              <w:rPr>
                <w:sz w:val="14"/>
                <w:szCs w:val="14"/>
                <w:color w:val="auto"/>
              </w:rPr>
            </w:pPr>
          </w:p>
        </w:tc>
        <w:tc>
          <w:tcPr>
            <w:tcW w:w="69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1700" w:type="dxa"/>
            <w:vAlign w:val="bottom"/>
            <w:vMerge w:val="continue"/>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168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65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1700" w:type="dxa"/>
            <w:vAlign w:val="bottom"/>
          </w:tcPr>
          <w:p>
            <w:pPr>
              <w:spacing w:after="0" w:line="182" w:lineRule="exact"/>
              <w:rPr>
                <w:sz w:val="20"/>
                <w:szCs w:val="20"/>
                <w:color w:val="auto"/>
              </w:rPr>
            </w:pPr>
            <w:r>
              <w:rPr>
                <w:rFonts w:ascii="Arial" w:cs="Arial" w:eastAsia="Arial" w:hAnsi="Arial"/>
                <w:sz w:val="18"/>
                <w:szCs w:val="18"/>
                <w:color w:val="auto"/>
              </w:rPr>
              <w:t>Owned by Each</w:t>
            </w:r>
          </w:p>
        </w:tc>
        <w:tc>
          <w:tcPr>
            <w:tcW w:w="54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2020" w:type="dxa"/>
            <w:vAlign w:val="bottom"/>
            <w:gridSpan w:val="2"/>
            <w:vMerge w:val="restart"/>
          </w:tcPr>
          <w:p>
            <w:pPr>
              <w:ind w:left="100"/>
              <w:spacing w:after="0"/>
              <w:rPr>
                <w:sz w:val="20"/>
                <w:szCs w:val="20"/>
                <w:color w:val="auto"/>
              </w:rPr>
            </w:pPr>
            <w:r>
              <w:rPr>
                <w:rFonts w:ascii="Arial" w:cs="Arial" w:eastAsia="Arial" w:hAnsi="Arial"/>
                <w:sz w:val="18"/>
                <w:szCs w:val="18"/>
                <w:color w:val="auto"/>
              </w:rPr>
              <w:t>Sole Dispositive Power</w:t>
            </w:r>
          </w:p>
        </w:tc>
        <w:tc>
          <w:tcPr>
            <w:tcW w:w="6560" w:type="dxa"/>
            <w:vAlign w:val="bottom"/>
            <w:vMerge w:val="restart"/>
          </w:tcPr>
          <w:p>
            <w:pPr>
              <w:jc w:val="right"/>
              <w:ind w:right="625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95"/>
        </w:trPr>
        <w:tc>
          <w:tcPr>
            <w:tcW w:w="1700" w:type="dxa"/>
            <w:vAlign w:val="bottom"/>
            <w:vMerge w:val="restart"/>
          </w:tcPr>
          <w:p>
            <w:pPr>
              <w:spacing w:after="0" w:line="157" w:lineRule="exact"/>
              <w:rPr>
                <w:sz w:val="20"/>
                <w:szCs w:val="20"/>
                <w:color w:val="auto"/>
              </w:rPr>
            </w:pPr>
            <w:r>
              <w:rPr>
                <w:rFonts w:ascii="Arial" w:cs="Arial" w:eastAsia="Arial" w:hAnsi="Arial"/>
                <w:sz w:val="18"/>
                <w:szCs w:val="18"/>
                <w:color w:val="auto"/>
              </w:rPr>
              <w:t>Reporting</w:t>
            </w:r>
          </w:p>
        </w:tc>
        <w:tc>
          <w:tcPr>
            <w:tcW w:w="540" w:type="dxa"/>
            <w:vAlign w:val="bottom"/>
            <w:vMerge w:val="continue"/>
          </w:tcPr>
          <w:p>
            <w:pPr>
              <w:spacing w:after="0"/>
              <w:rPr>
                <w:sz w:val="8"/>
                <w:szCs w:val="8"/>
                <w:color w:val="auto"/>
              </w:rPr>
            </w:pPr>
          </w:p>
        </w:tc>
        <w:tc>
          <w:tcPr>
            <w:tcW w:w="2020" w:type="dxa"/>
            <w:vAlign w:val="bottom"/>
            <w:gridSpan w:val="2"/>
            <w:vMerge w:val="continue"/>
          </w:tcPr>
          <w:p>
            <w:pPr>
              <w:spacing w:after="0"/>
              <w:rPr>
                <w:sz w:val="8"/>
                <w:szCs w:val="8"/>
                <w:color w:val="auto"/>
              </w:rPr>
            </w:pPr>
          </w:p>
        </w:tc>
        <w:tc>
          <w:tcPr>
            <w:tcW w:w="65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1700" w:type="dxa"/>
            <w:vAlign w:val="bottom"/>
            <w:vMerge w:val="continue"/>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168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65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1700" w:type="dxa"/>
            <w:vAlign w:val="bottom"/>
          </w:tcPr>
          <w:p>
            <w:pPr>
              <w:spacing w:after="0"/>
              <w:rPr>
                <w:sz w:val="20"/>
                <w:szCs w:val="20"/>
                <w:color w:val="auto"/>
              </w:rPr>
            </w:pPr>
            <w:r>
              <w:rPr>
                <w:rFonts w:ascii="Arial" w:cs="Arial" w:eastAsia="Arial" w:hAnsi="Arial"/>
                <w:sz w:val="18"/>
                <w:szCs w:val="18"/>
                <w:color w:val="auto"/>
              </w:rPr>
              <w:t>Person With:</w:t>
            </w:r>
          </w:p>
        </w:tc>
        <w:tc>
          <w:tcPr>
            <w:tcW w:w="540" w:type="dxa"/>
            <w:vAlign w:val="bottom"/>
          </w:tcPr>
          <w:p>
            <w:pPr>
              <w:jc w:val="right"/>
              <w:spacing w:after="0"/>
              <w:rPr>
                <w:sz w:val="20"/>
                <w:szCs w:val="20"/>
                <w:color w:val="auto"/>
              </w:rPr>
            </w:pPr>
            <w:r>
              <w:rPr>
                <w:rFonts w:ascii="Arial" w:cs="Arial" w:eastAsia="Arial" w:hAnsi="Arial"/>
                <w:sz w:val="18"/>
                <w:szCs w:val="18"/>
                <w:color w:val="auto"/>
              </w:rPr>
              <w:t>8.</w:t>
            </w:r>
          </w:p>
        </w:tc>
        <w:tc>
          <w:tcPr>
            <w:tcW w:w="2020" w:type="dxa"/>
            <w:vAlign w:val="bottom"/>
            <w:gridSpan w:val="2"/>
          </w:tcPr>
          <w:p>
            <w:pPr>
              <w:ind w:left="100"/>
              <w:spacing w:after="0"/>
              <w:rPr>
                <w:sz w:val="20"/>
                <w:szCs w:val="20"/>
                <w:color w:val="auto"/>
              </w:rPr>
            </w:pPr>
            <w:r>
              <w:rPr>
                <w:rFonts w:ascii="Arial" w:cs="Arial" w:eastAsia="Arial" w:hAnsi="Arial"/>
                <w:sz w:val="18"/>
                <w:szCs w:val="18"/>
                <w:color w:val="auto"/>
                <w:w w:val="92"/>
              </w:rPr>
              <w:t>Shared Dispositive Power</w:t>
            </w:r>
          </w:p>
        </w:tc>
        <w:tc>
          <w:tcPr>
            <w:tcW w:w="6560" w:type="dxa"/>
            <w:vAlign w:val="bottom"/>
          </w:tcPr>
          <w:p>
            <w:pPr>
              <w:jc w:val="right"/>
              <w:ind w:right="5390"/>
              <w:spacing w:after="0"/>
              <w:rPr>
                <w:sz w:val="20"/>
                <w:szCs w:val="20"/>
                <w:color w:val="auto"/>
              </w:rPr>
            </w:pPr>
            <w:r>
              <w:rPr>
                <w:rFonts w:ascii="Arial" w:cs="Arial" w:eastAsia="Arial" w:hAnsi="Arial"/>
                <w:sz w:val="18"/>
                <w:szCs w:val="18"/>
                <w:color w:val="auto"/>
              </w:rPr>
              <w:t>4,552,481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43180</wp:posOffset>
            </wp:positionV>
            <wp:extent cx="687768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77685" cy="8890"/>
                    </a:xfrm>
                    <a:prstGeom prst="rect">
                      <a:avLst/>
                    </a:prstGeom>
                    <a:noFill/>
                  </pic:spPr>
                </pic:pic>
              </a:graphicData>
            </a:graphic>
          </wp:anchor>
        </w:drawing>
      </w:r>
    </w:p>
    <w:p>
      <w:pPr>
        <w:spacing w:after="0" w:line="114" w:lineRule="exact"/>
        <w:rPr>
          <w:sz w:val="20"/>
          <w:szCs w:val="20"/>
          <w:color w:val="auto"/>
        </w:rPr>
      </w:pPr>
    </w:p>
    <w:p>
      <w:pPr>
        <w:ind w:left="340"/>
        <w:spacing w:after="0"/>
        <w:tabs>
          <w:tab w:leader="none" w:pos="620" w:val="left"/>
          <w:tab w:leader="none" w:pos="5700" w:val="left"/>
        </w:tabs>
        <w:rPr>
          <w:sz w:val="20"/>
          <w:szCs w:val="20"/>
          <w:color w:val="auto"/>
        </w:rPr>
      </w:pPr>
      <w:r>
        <w:rPr>
          <w:rFonts w:ascii="Arial" w:cs="Arial" w:eastAsia="Arial" w:hAnsi="Arial"/>
          <w:sz w:val="18"/>
          <w:szCs w:val="18"/>
          <w:color w:val="auto"/>
        </w:rPr>
        <w:t>9.</w:t>
        <w:tab/>
        <w:t>Aggregate Amount Beneficially Owned by Each Reporting Person</w:t>
      </w:r>
      <w:r>
        <w:rPr>
          <w:sz w:val="20"/>
          <w:szCs w:val="20"/>
          <w:color w:val="auto"/>
        </w:rPr>
        <w:tab/>
      </w:r>
      <w:r>
        <w:rPr>
          <w:rFonts w:ascii="Arial" w:cs="Arial" w:eastAsia="Arial" w:hAnsi="Arial"/>
          <w:sz w:val="16"/>
          <w:szCs w:val="16"/>
          <w:color w:val="auto"/>
        </w:rPr>
        <w:t>4,552,481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10. Check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8" w:lineRule="exact"/>
        <w:rPr>
          <w:sz w:val="20"/>
          <w:szCs w:val="20"/>
          <w:color w:val="auto"/>
        </w:rPr>
      </w:pPr>
    </w:p>
    <w:p>
      <w:pPr>
        <w:ind w:left="340"/>
        <w:spacing w:after="0"/>
        <w:tabs>
          <w:tab w:leader="none" w:pos="4680" w:val="left"/>
        </w:tabs>
        <w:rPr>
          <w:sz w:val="20"/>
          <w:szCs w:val="20"/>
          <w:color w:val="auto"/>
        </w:rPr>
      </w:pPr>
      <w:r>
        <w:rPr>
          <w:rFonts w:ascii="Arial" w:cs="Arial" w:eastAsia="Arial" w:hAnsi="Arial"/>
          <w:sz w:val="18"/>
          <w:szCs w:val="18"/>
          <w:color w:val="auto"/>
        </w:rPr>
        <w:t>11. Percent of Class Represented by Amount in Row (9)</w:t>
      </w:r>
      <w:r>
        <w:rPr>
          <w:sz w:val="20"/>
          <w:szCs w:val="20"/>
          <w:color w:val="auto"/>
        </w:rPr>
        <w:tab/>
      </w:r>
      <w:r>
        <w:rPr>
          <w:rFonts w:ascii="Arial" w:cs="Arial" w:eastAsia="Arial" w:hAnsi="Arial"/>
          <w:sz w:val="16"/>
          <w:szCs w:val="16"/>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12. Type of Reporting Person (See Instructions) 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8"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*Calculations are based on 33,733,431 Ordinary Shares of the Issuer outstanding, in accordance with disclosure contained in the Issuer’s Proxy Statement dated July 3, 2017. This Amendment No. 1 to Schedule 13G is filed jointly by Fortissimo Capital Fund II (GP), L.P., Fortissimo Capital Fund II (Israel) and Fortissimo Capital 2 Management (GP) Ltd. (together, the “Fortissimo Entities”) acting as a “group” within the meaning of Rule 13d-5(b)(1) under the Securities Exchange Act of 1934, as amended (the “Exchange Act”), pursuant to the Joint Filing Agreement among the Fortissimo Entities filed as Exhibit 1 to the Schedule 13G filed by the Fortissimo Entities on February 18, 2016 and incorporated herein by reference (the “Joint Filing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Page 2 of 8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2" w:name="page3"/>
    <w:bookmarkEnd w:id="2"/>
    <w:p>
      <w:pPr>
        <w:ind w:left="580"/>
        <w:spacing w:after="0"/>
        <w:rPr>
          <w:sz w:val="20"/>
          <w:szCs w:val="20"/>
          <w:color w:val="auto"/>
        </w:rPr>
      </w:pPr>
      <w:r>
        <w:rPr>
          <w:rFonts w:ascii="Arial" w:cs="Arial" w:eastAsia="Arial" w:hAnsi="Arial"/>
          <w:sz w:val="18"/>
          <w:szCs w:val="18"/>
          <w:color w:val="auto"/>
        </w:rPr>
        <w:t>CUSIP No. M6372Q113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14605</wp:posOffset>
            </wp:positionV>
            <wp:extent cx="687768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77685" cy="8890"/>
                    </a:xfrm>
                    <a:prstGeom prst="rect">
                      <a:avLst/>
                    </a:prstGeom>
                    <a:noFill/>
                  </pic:spPr>
                </pic:pic>
              </a:graphicData>
            </a:graphic>
          </wp:anchor>
        </w:drawing>
      </w:r>
    </w:p>
    <w:p>
      <w:pPr>
        <w:spacing w:after="0" w:line="219" w:lineRule="exact"/>
        <w:rPr>
          <w:sz w:val="20"/>
          <w:szCs w:val="20"/>
          <w:color w:val="auto"/>
        </w:rPr>
      </w:pPr>
    </w:p>
    <w:p>
      <w:pPr>
        <w:ind w:left="1260" w:hanging="357"/>
        <w:spacing w:after="0"/>
        <w:tabs>
          <w:tab w:leader="none" w:pos="1260" w:val="left"/>
        </w:tabs>
        <w:numPr>
          <w:ilvl w:val="0"/>
          <w:numId w:val="5"/>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25" w:lineRule="exact"/>
        <w:rPr>
          <w:rFonts w:ascii="Arial" w:cs="Arial" w:eastAsia="Arial" w:hAnsi="Arial"/>
          <w:sz w:val="18"/>
          <w:szCs w:val="18"/>
          <w:color w:val="auto"/>
        </w:rPr>
      </w:pPr>
    </w:p>
    <w:p>
      <w:pPr>
        <w:ind w:left="1220"/>
        <w:spacing w:after="0"/>
        <w:rPr>
          <w:rFonts w:ascii="Arial" w:cs="Arial" w:eastAsia="Arial" w:hAnsi="Arial"/>
          <w:sz w:val="18"/>
          <w:szCs w:val="18"/>
          <w:color w:val="auto"/>
        </w:rPr>
      </w:pPr>
      <w:r>
        <w:rPr>
          <w:rFonts w:ascii="Arial" w:cs="Arial" w:eastAsia="Arial" w:hAnsi="Arial"/>
          <w:sz w:val="18"/>
          <w:szCs w:val="18"/>
          <w:color w:val="auto"/>
        </w:rPr>
        <w:t>FORTISSIMO CAPITAL FUND II (GP), LP</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260" w:hanging="357"/>
        <w:spacing w:after="0"/>
        <w:tabs>
          <w:tab w:leader="none" w:pos="12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25" w:lineRule="exact"/>
        <w:rPr>
          <w:rFonts w:ascii="Arial" w:cs="Arial" w:eastAsia="Arial" w:hAnsi="Arial"/>
          <w:sz w:val="18"/>
          <w:szCs w:val="18"/>
          <w:color w:val="auto"/>
        </w:rPr>
      </w:pPr>
    </w:p>
    <w:p>
      <w:pPr>
        <w:ind w:left="1480" w:hanging="253"/>
        <w:spacing w:after="0"/>
        <w:tabs>
          <w:tab w:leader="none" w:pos="1480" w:val="left"/>
        </w:tabs>
        <w:numPr>
          <w:ilvl w:val="1"/>
          <w:numId w:val="5"/>
        </w:numPr>
        <w:rPr>
          <w:rFonts w:ascii="MS PGothic" w:cs="MS PGothic" w:eastAsia="MS PGothic" w:hAnsi="MS PGothic"/>
          <w:sz w:val="18"/>
          <w:szCs w:val="18"/>
          <w:color w:val="auto"/>
        </w:rPr>
      </w:pPr>
      <w:r>
        <w:rPr>
          <w:rFonts w:ascii="Arial" w:cs="Arial" w:eastAsia="Arial" w:hAnsi="Arial"/>
          <w:sz w:val="18"/>
          <w:szCs w:val="18"/>
          <w:color w:val="auto"/>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-541655</wp:posOffset>
            </wp:positionV>
            <wp:extent cx="687768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77685" cy="8890"/>
                    </a:xfrm>
                    <a:prstGeom prst="rect">
                      <a:avLst/>
                    </a:prstGeom>
                    <a:noFill/>
                  </pic:spPr>
                </pic:pic>
              </a:graphicData>
            </a:graphic>
          </wp:anchor>
        </w:drawing>
      </w:r>
    </w:p>
    <w:p>
      <w:pPr>
        <w:spacing w:after="0" w:line="205" w:lineRule="exact"/>
        <w:rPr>
          <w:sz w:val="20"/>
          <w:szCs w:val="20"/>
          <w:color w:val="auto"/>
        </w:rPr>
      </w:pPr>
    </w:p>
    <w:p>
      <w:pPr>
        <w:ind w:left="1440" w:hanging="213"/>
        <w:spacing w:after="0"/>
        <w:tabs>
          <w:tab w:leader="none" w:pos="1440" w:val="left"/>
        </w:tabs>
        <w:numPr>
          <w:ilvl w:val="1"/>
          <w:numId w:val="6"/>
        </w:numPr>
        <w:rPr>
          <w:rFonts w:ascii="MS PGothic" w:cs="MS PGothic" w:eastAsia="MS PGothic" w:hAnsi="MS PGothic"/>
          <w:sz w:val="18"/>
          <w:szCs w:val="18"/>
          <w:color w:val="auto"/>
        </w:rPr>
      </w:pPr>
      <w:r>
        <w:rPr>
          <w:rFonts w:ascii="Arial" w:cs="Arial" w:eastAsia="Arial" w:hAnsi="Arial"/>
          <w:sz w:val="18"/>
          <w:szCs w:val="18"/>
          <w:color w:val="auto"/>
        </w:rPr>
        <w:t>(b)</w:t>
      </w:r>
    </w:p>
    <w:p>
      <w:pPr>
        <w:spacing w:after="0" w:line="90" w:lineRule="exact"/>
        <w:rPr>
          <w:rFonts w:ascii="MS PGothic" w:cs="MS PGothic" w:eastAsia="MS PGothic" w:hAnsi="MS PGothic"/>
          <w:sz w:val="18"/>
          <w:szCs w:val="18"/>
          <w:color w:val="auto"/>
        </w:rPr>
      </w:pPr>
    </w:p>
    <w:p>
      <w:pPr>
        <w:ind w:left="1260" w:hanging="357"/>
        <w:spacing w:after="0"/>
        <w:tabs>
          <w:tab w:leader="none" w:pos="12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57785</wp:posOffset>
            </wp:positionV>
            <wp:extent cx="687768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77685" cy="8890"/>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-173355</wp:posOffset>
            </wp:positionV>
            <wp:extent cx="687768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77685" cy="8890"/>
                    </a:xfrm>
                    <a:prstGeom prst="rect">
                      <a:avLst/>
                    </a:prstGeom>
                    <a:noFill/>
                  </pic:spPr>
                </pic:pic>
              </a:graphicData>
            </a:graphic>
          </wp:anchor>
        </w:drawing>
      </w:r>
    </w:p>
    <w:p>
      <w:pPr>
        <w:spacing w:after="0" w:line="138" w:lineRule="exact"/>
        <w:rPr>
          <w:sz w:val="20"/>
          <w:szCs w:val="20"/>
          <w:color w:val="auto"/>
        </w:rPr>
      </w:pPr>
    </w:p>
    <w:tbl>
      <w:tblPr>
        <w:tblLayout w:type="fixed"/>
        <w:tblInd w:w="580" w:type="dxa"/>
        <w:tblCellMar>
          <w:top w:w="0" w:type="dxa"/>
          <w:left w:w="0" w:type="dxa"/>
          <w:bottom w:w="0" w:type="dxa"/>
          <w:right w:w="0" w:type="dxa"/>
        </w:tblCellMar>
      </w:tblPr>
      <w:tr>
        <w:trPr>
          <w:trHeight w:val="230"/>
        </w:trPr>
        <w:tc>
          <w:tcPr>
            <w:tcW w:w="3560" w:type="dxa"/>
            <w:vAlign w:val="bottom"/>
            <w:gridSpan w:val="3"/>
          </w:tcPr>
          <w:p>
            <w:pPr>
              <w:ind w:left="320"/>
              <w:spacing w:after="0"/>
              <w:rPr>
                <w:sz w:val="20"/>
                <w:szCs w:val="20"/>
                <w:color w:val="auto"/>
              </w:rPr>
            </w:pPr>
            <w:r>
              <w:rPr>
                <w:rFonts w:ascii="Arial" w:cs="Arial" w:eastAsia="Arial" w:hAnsi="Arial"/>
                <w:sz w:val="18"/>
                <w:szCs w:val="18"/>
                <w:color w:val="auto"/>
              </w:rPr>
              <w:t>4.   Citizenship or Place of Organization</w:t>
            </w:r>
          </w:p>
        </w:tc>
        <w:tc>
          <w:tcPr>
            <w:tcW w:w="540" w:type="dxa"/>
            <w:vAlign w:val="bottom"/>
          </w:tcPr>
          <w:p>
            <w:pPr>
              <w:jc w:val="right"/>
              <w:ind w:right="30"/>
              <w:spacing w:after="0"/>
              <w:rPr>
                <w:sz w:val="20"/>
                <w:szCs w:val="20"/>
                <w:color w:val="auto"/>
              </w:rPr>
            </w:pPr>
            <w:r>
              <w:rPr>
                <w:rFonts w:ascii="Arial" w:cs="Arial" w:eastAsia="Arial" w:hAnsi="Arial"/>
                <w:sz w:val="18"/>
                <w:szCs w:val="18"/>
                <w:color w:val="auto"/>
                <w:w w:val="90"/>
              </w:rPr>
              <w:t>Israel</w:t>
            </w:r>
          </w:p>
        </w:tc>
        <w:tc>
          <w:tcPr>
            <w:tcW w:w="6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8"/>
        </w:trPr>
        <w:tc>
          <w:tcPr>
            <w:tcW w:w="170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48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67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63"/>
        </w:trPr>
        <w:tc>
          <w:tcPr>
            <w:tcW w:w="1700" w:type="dxa"/>
            <w:vAlign w:val="bottom"/>
          </w:tcPr>
          <w:p>
            <w:pPr>
              <w:spacing w:after="0"/>
              <w:rPr>
                <w:sz w:val="20"/>
                <w:szCs w:val="20"/>
                <w:color w:val="auto"/>
              </w:rPr>
            </w:pPr>
            <w:r>
              <w:rPr>
                <w:rFonts w:ascii="Arial" w:cs="Arial" w:eastAsia="Arial" w:hAnsi="Arial"/>
                <w:sz w:val="18"/>
                <w:szCs w:val="18"/>
                <w:color w:val="auto"/>
              </w:rPr>
              <w:t>Number of</w:t>
            </w:r>
          </w:p>
        </w:tc>
        <w:tc>
          <w:tcPr>
            <w:tcW w:w="380" w:type="dxa"/>
            <w:vAlign w:val="bottom"/>
          </w:tcPr>
          <w:p>
            <w:pPr>
              <w:jc w:val="right"/>
              <w:spacing w:after="0"/>
              <w:rPr>
                <w:sz w:val="20"/>
                <w:szCs w:val="20"/>
                <w:color w:val="auto"/>
              </w:rPr>
            </w:pPr>
            <w:r>
              <w:rPr>
                <w:rFonts w:ascii="Arial" w:cs="Arial" w:eastAsia="Arial" w:hAnsi="Arial"/>
                <w:sz w:val="18"/>
                <w:szCs w:val="18"/>
                <w:color w:val="auto"/>
              </w:rPr>
              <w:t>5.</w:t>
            </w:r>
          </w:p>
        </w:tc>
        <w:tc>
          <w:tcPr>
            <w:tcW w:w="1480" w:type="dxa"/>
            <w:vAlign w:val="bottom"/>
          </w:tcPr>
          <w:p>
            <w:pPr>
              <w:ind w:left="100"/>
              <w:spacing w:after="0"/>
              <w:rPr>
                <w:sz w:val="20"/>
                <w:szCs w:val="20"/>
                <w:color w:val="auto"/>
              </w:rPr>
            </w:pPr>
            <w:r>
              <w:rPr>
                <w:rFonts w:ascii="Arial" w:cs="Arial" w:eastAsia="Arial" w:hAnsi="Arial"/>
                <w:sz w:val="18"/>
                <w:szCs w:val="18"/>
                <w:color w:val="auto"/>
                <w:w w:val="91"/>
              </w:rPr>
              <w:t>Sole Voting Power</w:t>
            </w: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0*</w:t>
            </w:r>
          </w:p>
        </w:tc>
        <w:tc>
          <w:tcPr>
            <w:tcW w:w="6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82"/>
        </w:trPr>
        <w:tc>
          <w:tcPr>
            <w:tcW w:w="1700" w:type="dxa"/>
            <w:vAlign w:val="bottom"/>
            <w:vMerge w:val="restart"/>
          </w:tcPr>
          <w:p>
            <w:pPr>
              <w:spacing w:after="0"/>
              <w:rPr>
                <w:sz w:val="20"/>
                <w:szCs w:val="20"/>
                <w:color w:val="auto"/>
              </w:rPr>
            </w:pPr>
            <w:r>
              <w:rPr>
                <w:rFonts w:ascii="Arial" w:cs="Arial" w:eastAsia="Arial" w:hAnsi="Arial"/>
                <w:sz w:val="18"/>
                <w:szCs w:val="18"/>
                <w:color w:val="auto"/>
              </w:rPr>
              <w:t>Shares</w:t>
            </w:r>
          </w:p>
        </w:tc>
        <w:tc>
          <w:tcPr>
            <w:tcW w:w="380" w:type="dxa"/>
            <w:vAlign w:val="bottom"/>
            <w:tcBorders>
              <w:bottom w:val="single" w:sz="8" w:color="auto"/>
            </w:tcBorders>
          </w:tcPr>
          <w:p>
            <w:pPr>
              <w:spacing w:after="0"/>
              <w:rPr>
                <w:sz w:val="7"/>
                <w:szCs w:val="7"/>
                <w:color w:val="auto"/>
              </w:rPr>
            </w:pPr>
          </w:p>
        </w:tc>
        <w:tc>
          <w:tcPr>
            <w:tcW w:w="148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67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14"/>
        </w:trPr>
        <w:tc>
          <w:tcPr>
            <w:tcW w:w="1700" w:type="dxa"/>
            <w:vAlign w:val="bottom"/>
            <w:vMerge w:val="continue"/>
          </w:tcPr>
          <w:p>
            <w:pPr>
              <w:spacing w:after="0"/>
              <w:rPr>
                <w:sz w:val="9"/>
                <w:szCs w:val="9"/>
                <w:color w:val="auto"/>
              </w:rPr>
            </w:pPr>
          </w:p>
        </w:tc>
        <w:tc>
          <w:tcPr>
            <w:tcW w:w="38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8740" w:type="dxa"/>
            <w:vAlign w:val="bottom"/>
            <w:gridSpan w:val="3"/>
            <w:vMerge w:val="restart"/>
          </w:tcPr>
          <w:p>
            <w:pPr>
              <w:ind w:left="100"/>
              <w:spacing w:after="0"/>
              <w:rPr>
                <w:sz w:val="20"/>
                <w:szCs w:val="20"/>
                <w:color w:val="auto"/>
              </w:rPr>
            </w:pPr>
            <w:r>
              <w:rPr>
                <w:rFonts w:ascii="Arial" w:cs="Arial" w:eastAsia="Arial" w:hAnsi="Arial"/>
                <w:sz w:val="18"/>
                <w:szCs w:val="18"/>
                <w:color w:val="auto"/>
              </w:rPr>
              <w:t>Shared Voting Power   4,552,481*</w:t>
            </w:r>
          </w:p>
        </w:tc>
        <w:tc>
          <w:tcPr>
            <w:tcW w:w="0" w:type="dxa"/>
            <w:vAlign w:val="bottom"/>
          </w:tcPr>
          <w:p>
            <w:pPr>
              <w:spacing w:after="0"/>
              <w:rPr>
                <w:sz w:val="1"/>
                <w:szCs w:val="1"/>
                <w:color w:val="auto"/>
              </w:rPr>
            </w:pPr>
          </w:p>
        </w:tc>
      </w:tr>
      <w:tr>
        <w:trPr>
          <w:trHeight w:val="163"/>
        </w:trPr>
        <w:tc>
          <w:tcPr>
            <w:tcW w:w="1700" w:type="dxa"/>
            <w:vAlign w:val="bottom"/>
            <w:vMerge w:val="restart"/>
          </w:tcPr>
          <w:p>
            <w:pPr>
              <w:spacing w:after="0"/>
              <w:rPr>
                <w:sz w:val="20"/>
                <w:szCs w:val="20"/>
                <w:color w:val="auto"/>
              </w:rPr>
            </w:pPr>
            <w:r>
              <w:rPr>
                <w:rFonts w:ascii="Arial" w:cs="Arial" w:eastAsia="Arial" w:hAnsi="Arial"/>
                <w:sz w:val="18"/>
                <w:szCs w:val="18"/>
                <w:color w:val="auto"/>
              </w:rPr>
              <w:t>Beneficially by</w:t>
            </w:r>
          </w:p>
        </w:tc>
        <w:tc>
          <w:tcPr>
            <w:tcW w:w="380" w:type="dxa"/>
            <w:vAlign w:val="bottom"/>
            <w:vMerge w:val="continue"/>
          </w:tcPr>
          <w:p>
            <w:pPr>
              <w:spacing w:after="0"/>
              <w:rPr>
                <w:sz w:val="14"/>
                <w:szCs w:val="14"/>
                <w:color w:val="auto"/>
              </w:rPr>
            </w:pPr>
          </w:p>
        </w:tc>
        <w:tc>
          <w:tcPr>
            <w:tcW w:w="874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1700" w:type="dxa"/>
            <w:vAlign w:val="bottom"/>
            <w:vMerge w:val="continue"/>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48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67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1700" w:type="dxa"/>
            <w:vAlign w:val="bottom"/>
          </w:tcPr>
          <w:p>
            <w:pPr>
              <w:spacing w:after="0" w:line="182" w:lineRule="exact"/>
              <w:rPr>
                <w:sz w:val="20"/>
                <w:szCs w:val="20"/>
                <w:color w:val="auto"/>
              </w:rPr>
            </w:pPr>
            <w:r>
              <w:rPr>
                <w:rFonts w:ascii="Arial" w:cs="Arial" w:eastAsia="Arial" w:hAnsi="Arial"/>
                <w:sz w:val="18"/>
                <w:szCs w:val="18"/>
                <w:color w:val="auto"/>
              </w:rPr>
              <w:t>Owned by Each</w:t>
            </w:r>
          </w:p>
        </w:tc>
        <w:tc>
          <w:tcPr>
            <w:tcW w:w="38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2020" w:type="dxa"/>
            <w:vAlign w:val="bottom"/>
            <w:gridSpan w:val="2"/>
            <w:vMerge w:val="restart"/>
          </w:tcPr>
          <w:p>
            <w:pPr>
              <w:ind w:left="100"/>
              <w:spacing w:after="0"/>
              <w:rPr>
                <w:sz w:val="20"/>
                <w:szCs w:val="20"/>
                <w:color w:val="auto"/>
              </w:rPr>
            </w:pPr>
            <w:r>
              <w:rPr>
                <w:rFonts w:ascii="Arial" w:cs="Arial" w:eastAsia="Arial" w:hAnsi="Arial"/>
                <w:sz w:val="18"/>
                <w:szCs w:val="18"/>
                <w:color w:val="auto"/>
              </w:rPr>
              <w:t>Sole Dispositive Power</w:t>
            </w:r>
          </w:p>
        </w:tc>
        <w:tc>
          <w:tcPr>
            <w:tcW w:w="6720" w:type="dxa"/>
            <w:vAlign w:val="bottom"/>
            <w:vMerge w:val="restart"/>
          </w:tcPr>
          <w:p>
            <w:pPr>
              <w:jc w:val="right"/>
              <w:ind w:right="641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95"/>
        </w:trPr>
        <w:tc>
          <w:tcPr>
            <w:tcW w:w="1700" w:type="dxa"/>
            <w:vAlign w:val="bottom"/>
            <w:vMerge w:val="restart"/>
          </w:tcPr>
          <w:p>
            <w:pPr>
              <w:spacing w:after="0" w:line="157" w:lineRule="exact"/>
              <w:rPr>
                <w:sz w:val="20"/>
                <w:szCs w:val="20"/>
                <w:color w:val="auto"/>
              </w:rPr>
            </w:pPr>
            <w:r>
              <w:rPr>
                <w:rFonts w:ascii="Arial" w:cs="Arial" w:eastAsia="Arial" w:hAnsi="Arial"/>
                <w:sz w:val="18"/>
                <w:szCs w:val="18"/>
                <w:color w:val="auto"/>
              </w:rPr>
              <w:t>Reporting</w:t>
            </w:r>
          </w:p>
        </w:tc>
        <w:tc>
          <w:tcPr>
            <w:tcW w:w="380" w:type="dxa"/>
            <w:vAlign w:val="bottom"/>
            <w:vMerge w:val="continue"/>
          </w:tcPr>
          <w:p>
            <w:pPr>
              <w:spacing w:after="0"/>
              <w:rPr>
                <w:sz w:val="8"/>
                <w:szCs w:val="8"/>
                <w:color w:val="auto"/>
              </w:rPr>
            </w:pPr>
          </w:p>
        </w:tc>
        <w:tc>
          <w:tcPr>
            <w:tcW w:w="2020" w:type="dxa"/>
            <w:vAlign w:val="bottom"/>
            <w:gridSpan w:val="2"/>
            <w:vMerge w:val="continue"/>
          </w:tcPr>
          <w:p>
            <w:pPr>
              <w:spacing w:after="0"/>
              <w:rPr>
                <w:sz w:val="8"/>
                <w:szCs w:val="8"/>
                <w:color w:val="auto"/>
              </w:rPr>
            </w:pPr>
          </w:p>
        </w:tc>
        <w:tc>
          <w:tcPr>
            <w:tcW w:w="67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1700" w:type="dxa"/>
            <w:vAlign w:val="bottom"/>
            <w:vMerge w:val="continue"/>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48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67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1700" w:type="dxa"/>
            <w:vAlign w:val="bottom"/>
          </w:tcPr>
          <w:p>
            <w:pPr>
              <w:spacing w:after="0"/>
              <w:rPr>
                <w:sz w:val="20"/>
                <w:szCs w:val="20"/>
                <w:color w:val="auto"/>
              </w:rPr>
            </w:pPr>
            <w:r>
              <w:rPr>
                <w:rFonts w:ascii="Arial" w:cs="Arial" w:eastAsia="Arial" w:hAnsi="Arial"/>
                <w:sz w:val="18"/>
                <w:szCs w:val="18"/>
                <w:color w:val="auto"/>
              </w:rPr>
              <w:t>Person With:</w:t>
            </w:r>
          </w:p>
        </w:tc>
        <w:tc>
          <w:tcPr>
            <w:tcW w:w="380" w:type="dxa"/>
            <w:vAlign w:val="bottom"/>
          </w:tcPr>
          <w:p>
            <w:pPr>
              <w:jc w:val="right"/>
              <w:spacing w:after="0"/>
              <w:rPr>
                <w:sz w:val="20"/>
                <w:szCs w:val="20"/>
                <w:color w:val="auto"/>
              </w:rPr>
            </w:pPr>
            <w:r>
              <w:rPr>
                <w:rFonts w:ascii="Arial" w:cs="Arial" w:eastAsia="Arial" w:hAnsi="Arial"/>
                <w:sz w:val="18"/>
                <w:szCs w:val="18"/>
                <w:color w:val="auto"/>
              </w:rPr>
              <w:t>8.</w:t>
            </w:r>
          </w:p>
        </w:tc>
        <w:tc>
          <w:tcPr>
            <w:tcW w:w="2020" w:type="dxa"/>
            <w:vAlign w:val="bottom"/>
            <w:gridSpan w:val="2"/>
          </w:tcPr>
          <w:p>
            <w:pPr>
              <w:ind w:left="100"/>
              <w:spacing w:after="0"/>
              <w:rPr>
                <w:sz w:val="20"/>
                <w:szCs w:val="20"/>
                <w:color w:val="auto"/>
              </w:rPr>
            </w:pPr>
            <w:r>
              <w:rPr>
                <w:rFonts w:ascii="Arial" w:cs="Arial" w:eastAsia="Arial" w:hAnsi="Arial"/>
                <w:sz w:val="18"/>
                <w:szCs w:val="18"/>
                <w:color w:val="auto"/>
                <w:w w:val="92"/>
              </w:rPr>
              <w:t>Shared Dispositive Power</w:t>
            </w:r>
          </w:p>
        </w:tc>
        <w:tc>
          <w:tcPr>
            <w:tcW w:w="6720" w:type="dxa"/>
            <w:vAlign w:val="bottom"/>
          </w:tcPr>
          <w:p>
            <w:pPr>
              <w:jc w:val="right"/>
              <w:ind w:right="5610"/>
              <w:spacing w:after="0"/>
              <w:rPr>
                <w:sz w:val="20"/>
                <w:szCs w:val="20"/>
                <w:color w:val="auto"/>
              </w:rPr>
            </w:pPr>
            <w:r>
              <w:rPr>
                <w:rFonts w:ascii="Arial" w:cs="Arial" w:eastAsia="Arial" w:hAnsi="Arial"/>
                <w:sz w:val="18"/>
                <w:szCs w:val="18"/>
                <w:color w:val="auto"/>
              </w:rPr>
              <w:t>4,552,481*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43180</wp:posOffset>
            </wp:positionV>
            <wp:extent cx="687768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77685" cy="8890"/>
                    </a:xfrm>
                    <a:prstGeom prst="rect">
                      <a:avLst/>
                    </a:prstGeom>
                    <a:noFill/>
                  </pic:spPr>
                </pic:pic>
              </a:graphicData>
            </a:graphic>
          </wp:anchor>
        </w:drawing>
      </w:r>
    </w:p>
    <w:p>
      <w:pPr>
        <w:spacing w:after="0" w:line="114" w:lineRule="exact"/>
        <w:rPr>
          <w:sz w:val="20"/>
          <w:szCs w:val="20"/>
          <w:color w:val="auto"/>
        </w:rPr>
      </w:pPr>
    </w:p>
    <w:p>
      <w:pPr>
        <w:ind w:left="180"/>
        <w:spacing w:after="0"/>
        <w:tabs>
          <w:tab w:leader="none" w:pos="460" w:val="left"/>
          <w:tab w:leader="none" w:pos="5520" w:val="left"/>
        </w:tabs>
        <w:rPr>
          <w:sz w:val="20"/>
          <w:szCs w:val="20"/>
          <w:color w:val="auto"/>
        </w:rPr>
      </w:pPr>
      <w:r>
        <w:rPr>
          <w:rFonts w:ascii="Arial" w:cs="Arial" w:eastAsia="Arial" w:hAnsi="Arial"/>
          <w:sz w:val="18"/>
          <w:szCs w:val="18"/>
          <w:color w:val="auto"/>
        </w:rPr>
        <w:t>9.</w:t>
        <w:tab/>
        <w:t>Aggregate Amount Beneficially Owned by Each Reporting Person</w:t>
      </w:r>
      <w:r>
        <w:rPr>
          <w:sz w:val="20"/>
          <w:szCs w:val="20"/>
          <w:color w:val="auto"/>
        </w:rPr>
        <w:tab/>
      </w:r>
      <w:r>
        <w:rPr>
          <w:rFonts w:ascii="Arial" w:cs="Arial" w:eastAsia="Arial" w:hAnsi="Arial"/>
          <w:sz w:val="16"/>
          <w:szCs w:val="16"/>
          <w:color w:val="auto"/>
        </w:rPr>
        <w:t>4,552,481*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8" w:lineRule="exact"/>
        <w:rPr>
          <w:sz w:val="20"/>
          <w:szCs w:val="20"/>
          <w:color w:val="auto"/>
        </w:rPr>
      </w:pPr>
    </w:p>
    <w:p>
      <w:pPr>
        <w:ind w:left="180"/>
        <w:spacing w:after="0"/>
        <w:rPr>
          <w:sz w:val="20"/>
          <w:szCs w:val="20"/>
          <w:color w:val="auto"/>
        </w:rPr>
      </w:pPr>
      <w:r>
        <w:rPr>
          <w:rFonts w:ascii="Arial" w:cs="Arial" w:eastAsia="Arial" w:hAnsi="Arial"/>
          <w:sz w:val="18"/>
          <w:szCs w:val="18"/>
          <w:color w:val="auto"/>
        </w:rPr>
        <w:t>10. Check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8" w:lineRule="exact"/>
        <w:rPr>
          <w:sz w:val="20"/>
          <w:szCs w:val="20"/>
          <w:color w:val="auto"/>
        </w:rPr>
      </w:pPr>
    </w:p>
    <w:p>
      <w:pPr>
        <w:ind w:left="180"/>
        <w:spacing w:after="0"/>
        <w:tabs>
          <w:tab w:leader="none" w:pos="4520" w:val="left"/>
        </w:tabs>
        <w:rPr>
          <w:sz w:val="20"/>
          <w:szCs w:val="20"/>
          <w:color w:val="auto"/>
        </w:rPr>
      </w:pPr>
      <w:r>
        <w:rPr>
          <w:rFonts w:ascii="Arial" w:cs="Arial" w:eastAsia="Arial" w:hAnsi="Arial"/>
          <w:sz w:val="18"/>
          <w:szCs w:val="18"/>
          <w:color w:val="auto"/>
        </w:rPr>
        <w:t>11. Percent of Class Represented by Amount in Row (9)</w:t>
      </w:r>
      <w:r>
        <w:rPr>
          <w:sz w:val="20"/>
          <w:szCs w:val="20"/>
          <w:color w:val="auto"/>
        </w:rPr>
        <w:tab/>
      </w:r>
      <w:r>
        <w:rPr>
          <w:rFonts w:ascii="Arial" w:cs="Arial" w:eastAsia="Arial" w:hAnsi="Arial"/>
          <w:sz w:val="16"/>
          <w:szCs w:val="16"/>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8" w:lineRule="exact"/>
        <w:rPr>
          <w:sz w:val="20"/>
          <w:szCs w:val="20"/>
          <w:color w:val="auto"/>
        </w:rPr>
      </w:pPr>
    </w:p>
    <w:p>
      <w:pPr>
        <w:ind w:left="480" w:hanging="310"/>
        <w:spacing w:after="0"/>
        <w:tabs>
          <w:tab w:leader="none" w:pos="480" w:val="left"/>
        </w:tabs>
        <w:numPr>
          <w:ilvl w:val="1"/>
          <w:numId w:val="7"/>
        </w:numPr>
        <w:rPr>
          <w:rFonts w:ascii="Arial" w:cs="Arial" w:eastAsia="Arial" w:hAnsi="Arial"/>
          <w:sz w:val="18"/>
          <w:szCs w:val="18"/>
          <w:color w:val="auto"/>
        </w:rPr>
      </w:pPr>
      <w:r>
        <w:rPr>
          <w:rFonts w:ascii="Arial" w:cs="Arial" w:eastAsia="Arial" w:hAnsi="Arial"/>
          <w:sz w:val="18"/>
          <w:szCs w:val="18"/>
          <w:color w:val="auto"/>
        </w:rPr>
        <w:t>Type of Reporting Person (See Instructions) PN</w:t>
      </w:r>
    </w:p>
    <w:p>
      <w:pPr>
        <w:spacing w:after="0" w:line="157" w:lineRule="exact"/>
        <w:rPr>
          <w:rFonts w:ascii="Arial" w:cs="Arial" w:eastAsia="Arial" w:hAnsi="Arial"/>
          <w:sz w:val="18"/>
          <w:szCs w:val="18"/>
          <w:color w:val="auto"/>
        </w:rPr>
      </w:pPr>
    </w:p>
    <w:p>
      <w:pPr>
        <w:jc w:val="both"/>
        <w:ind w:right="260"/>
        <w:spacing w:after="0" w:line="264" w:lineRule="auto"/>
        <w:rPr>
          <w:rFonts w:ascii="Arial" w:cs="Arial" w:eastAsia="Arial" w:hAnsi="Arial"/>
          <w:sz w:val="18"/>
          <w:szCs w:val="18"/>
          <w:color w:val="auto"/>
        </w:rPr>
      </w:pPr>
      <w:r>
        <w:rPr>
          <w:rFonts w:ascii="Arial" w:cs="Arial" w:eastAsia="Arial" w:hAnsi="Arial"/>
          <w:sz w:val="18"/>
          <w:szCs w:val="18"/>
          <w:color w:val="auto"/>
        </w:rPr>
        <w:t>* Calculations are based on 33,733,431 Ordinary Shares of the Issuer outstanding, in accordance with disclosure contained in the Issuer’s Proxy Statement dated July 3, 2017. This Amendment No. 1 to Schedule 13G is filed jointly by the Fortissimo Entities acting as a “group” within the meaning of Rule 13d-5(b)(1) under the Exchange Act, pursuant to the Joint Filing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-475615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3 of 8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00"/>
          </w:cols>
          <w:pgMar w:left="240" w:top="368" w:right="259" w:bottom="1440" w:gutter="0" w:footer="0" w:header="0"/>
        </w:sectPr>
      </w:pPr>
    </w:p>
    <w:bookmarkStart w:id="3" w:name="page4"/>
    <w:bookmarkEnd w:id="3"/>
    <w:p>
      <w:pPr>
        <w:ind w:left="580"/>
        <w:spacing w:after="0"/>
        <w:rPr>
          <w:sz w:val="20"/>
          <w:szCs w:val="20"/>
          <w:color w:val="auto"/>
        </w:rPr>
      </w:pPr>
      <w:r>
        <w:rPr>
          <w:rFonts w:ascii="Arial" w:cs="Arial" w:eastAsia="Arial" w:hAnsi="Arial"/>
          <w:sz w:val="18"/>
          <w:szCs w:val="18"/>
          <w:color w:val="auto"/>
        </w:rPr>
        <w:t>CUSIP No. M6372Q113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14605</wp:posOffset>
            </wp:positionV>
            <wp:extent cx="687768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77685" cy="8890"/>
                    </a:xfrm>
                    <a:prstGeom prst="rect">
                      <a:avLst/>
                    </a:prstGeom>
                    <a:noFill/>
                  </pic:spPr>
                </pic:pic>
              </a:graphicData>
            </a:graphic>
          </wp:anchor>
        </w:drawing>
      </w:r>
    </w:p>
    <w:p>
      <w:pPr>
        <w:spacing w:after="0" w:line="219" w:lineRule="exact"/>
        <w:rPr>
          <w:sz w:val="20"/>
          <w:szCs w:val="20"/>
          <w:color w:val="auto"/>
        </w:rPr>
      </w:pPr>
    </w:p>
    <w:p>
      <w:pPr>
        <w:ind w:left="1260" w:hanging="357"/>
        <w:spacing w:after="0"/>
        <w:tabs>
          <w:tab w:leader="none" w:pos="1260" w:val="left"/>
        </w:tabs>
        <w:numPr>
          <w:ilvl w:val="0"/>
          <w:numId w:val="8"/>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25"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FORTISSIMO CAPITAL 2 MANAGEMENT (GP)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152400</wp:posOffset>
            </wp:positionV>
            <wp:extent cx="687768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7768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1260" w:hanging="357"/>
        <w:spacing w:after="0"/>
        <w:tabs>
          <w:tab w:leader="none" w:pos="12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25" w:lineRule="exact"/>
        <w:rPr>
          <w:rFonts w:ascii="Arial" w:cs="Arial" w:eastAsia="Arial" w:hAnsi="Arial"/>
          <w:sz w:val="18"/>
          <w:szCs w:val="18"/>
          <w:color w:val="auto"/>
        </w:rPr>
      </w:pPr>
    </w:p>
    <w:p>
      <w:pPr>
        <w:ind w:left="1480" w:hanging="253"/>
        <w:spacing w:after="0"/>
        <w:tabs>
          <w:tab w:leader="none" w:pos="1480" w:val="left"/>
        </w:tabs>
        <w:numPr>
          <w:ilvl w:val="1"/>
          <w:numId w:val="9"/>
        </w:numPr>
        <w:rPr>
          <w:rFonts w:ascii="MS PGothic" w:cs="MS PGothic" w:eastAsia="MS PGothic" w:hAnsi="MS PGothic"/>
          <w:sz w:val="18"/>
          <w:szCs w:val="18"/>
          <w:color w:val="auto"/>
        </w:rPr>
      </w:pPr>
      <w:r>
        <w:rPr>
          <w:rFonts w:ascii="Arial" w:cs="Arial" w:eastAsia="Arial" w:hAnsi="Arial"/>
          <w:sz w:val="18"/>
          <w:szCs w:val="18"/>
          <w:color w:val="auto"/>
        </w:rPr>
        <w:t>(a)</w:t>
      </w:r>
    </w:p>
    <w:p>
      <w:pPr>
        <w:spacing w:after="0" w:line="225" w:lineRule="exact"/>
        <w:rPr>
          <w:sz w:val="20"/>
          <w:szCs w:val="20"/>
          <w:color w:val="auto"/>
        </w:rPr>
      </w:pPr>
    </w:p>
    <w:p>
      <w:pPr>
        <w:ind w:left="1480" w:hanging="253"/>
        <w:spacing w:after="0"/>
        <w:tabs>
          <w:tab w:leader="none" w:pos="1480" w:val="left"/>
        </w:tabs>
        <w:numPr>
          <w:ilvl w:val="1"/>
          <w:numId w:val="10"/>
        </w:numPr>
        <w:rPr>
          <w:rFonts w:ascii="MS PGothic" w:cs="MS PGothic" w:eastAsia="MS PGothic" w:hAnsi="MS PGothic"/>
          <w:sz w:val="18"/>
          <w:szCs w:val="18"/>
          <w:color w:val="auto"/>
        </w:rPr>
      </w:pPr>
      <w:r>
        <w:rPr>
          <w:rFonts w:ascii="Arial" w:cs="Arial" w:eastAsia="Arial" w:hAnsi="Arial"/>
          <w:sz w:val="18"/>
          <w:szCs w:val="18"/>
          <w:color w:val="auto"/>
        </w:rPr>
        <w:t>(b)</w:t>
      </w:r>
    </w:p>
    <w:p>
      <w:pPr>
        <w:spacing w:after="0" w:line="90" w:lineRule="exact"/>
        <w:rPr>
          <w:rFonts w:ascii="MS PGothic" w:cs="MS PGothic" w:eastAsia="MS PGothic" w:hAnsi="MS PGothic"/>
          <w:sz w:val="18"/>
          <w:szCs w:val="18"/>
          <w:color w:val="auto"/>
        </w:rPr>
      </w:pPr>
    </w:p>
    <w:p>
      <w:pPr>
        <w:ind w:left="1260" w:hanging="357"/>
        <w:spacing w:after="0"/>
        <w:tabs>
          <w:tab w:leader="none" w:pos="12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57785</wp:posOffset>
            </wp:positionV>
            <wp:extent cx="687768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77685" cy="8890"/>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-173355</wp:posOffset>
            </wp:positionV>
            <wp:extent cx="687768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77685" cy="8890"/>
                    </a:xfrm>
                    <a:prstGeom prst="rect">
                      <a:avLst/>
                    </a:prstGeom>
                    <a:noFill/>
                  </pic:spPr>
                </pic:pic>
              </a:graphicData>
            </a:graphic>
          </wp:anchor>
        </w:drawing>
      </w:r>
    </w:p>
    <w:p>
      <w:pPr>
        <w:spacing w:after="0" w:line="138" w:lineRule="exact"/>
        <w:rPr>
          <w:sz w:val="20"/>
          <w:szCs w:val="20"/>
          <w:color w:val="auto"/>
        </w:rPr>
      </w:pPr>
    </w:p>
    <w:tbl>
      <w:tblPr>
        <w:tblLayout w:type="fixed"/>
        <w:tblInd w:w="580" w:type="dxa"/>
        <w:tblCellMar>
          <w:top w:w="0" w:type="dxa"/>
          <w:left w:w="0" w:type="dxa"/>
          <w:bottom w:w="0" w:type="dxa"/>
          <w:right w:w="0" w:type="dxa"/>
        </w:tblCellMar>
      </w:tblPr>
      <w:tr>
        <w:trPr>
          <w:trHeight w:val="230"/>
        </w:trPr>
        <w:tc>
          <w:tcPr>
            <w:tcW w:w="3560" w:type="dxa"/>
            <w:vAlign w:val="bottom"/>
            <w:gridSpan w:val="3"/>
          </w:tcPr>
          <w:p>
            <w:pPr>
              <w:ind w:left="320"/>
              <w:spacing w:after="0"/>
              <w:rPr>
                <w:sz w:val="20"/>
                <w:szCs w:val="20"/>
                <w:color w:val="auto"/>
              </w:rPr>
            </w:pPr>
            <w:r>
              <w:rPr>
                <w:rFonts w:ascii="Arial" w:cs="Arial" w:eastAsia="Arial" w:hAnsi="Arial"/>
                <w:sz w:val="18"/>
                <w:szCs w:val="18"/>
                <w:color w:val="auto"/>
              </w:rPr>
              <w:t>4.   Citizenship or Place of Organization</w:t>
            </w:r>
          </w:p>
        </w:tc>
        <w:tc>
          <w:tcPr>
            <w:tcW w:w="540" w:type="dxa"/>
            <w:vAlign w:val="bottom"/>
          </w:tcPr>
          <w:p>
            <w:pPr>
              <w:jc w:val="right"/>
              <w:ind w:right="30"/>
              <w:spacing w:after="0"/>
              <w:rPr>
                <w:sz w:val="20"/>
                <w:szCs w:val="20"/>
                <w:color w:val="auto"/>
              </w:rPr>
            </w:pPr>
            <w:r>
              <w:rPr>
                <w:rFonts w:ascii="Arial" w:cs="Arial" w:eastAsia="Arial" w:hAnsi="Arial"/>
                <w:sz w:val="18"/>
                <w:szCs w:val="18"/>
                <w:color w:val="auto"/>
                <w:w w:val="90"/>
              </w:rPr>
              <w:t>Israel</w:t>
            </w:r>
          </w:p>
        </w:tc>
        <w:tc>
          <w:tcPr>
            <w:tcW w:w="6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8"/>
        </w:trPr>
        <w:tc>
          <w:tcPr>
            <w:tcW w:w="170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48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67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63"/>
        </w:trPr>
        <w:tc>
          <w:tcPr>
            <w:tcW w:w="1700" w:type="dxa"/>
            <w:vAlign w:val="bottom"/>
          </w:tcPr>
          <w:p>
            <w:pPr>
              <w:spacing w:after="0"/>
              <w:rPr>
                <w:sz w:val="20"/>
                <w:szCs w:val="20"/>
                <w:color w:val="auto"/>
              </w:rPr>
            </w:pPr>
            <w:r>
              <w:rPr>
                <w:rFonts w:ascii="Arial" w:cs="Arial" w:eastAsia="Arial" w:hAnsi="Arial"/>
                <w:sz w:val="18"/>
                <w:szCs w:val="18"/>
                <w:color w:val="auto"/>
              </w:rPr>
              <w:t>Number of</w:t>
            </w:r>
          </w:p>
        </w:tc>
        <w:tc>
          <w:tcPr>
            <w:tcW w:w="380" w:type="dxa"/>
            <w:vAlign w:val="bottom"/>
          </w:tcPr>
          <w:p>
            <w:pPr>
              <w:jc w:val="right"/>
              <w:spacing w:after="0"/>
              <w:rPr>
                <w:sz w:val="20"/>
                <w:szCs w:val="20"/>
                <w:color w:val="auto"/>
              </w:rPr>
            </w:pPr>
            <w:r>
              <w:rPr>
                <w:rFonts w:ascii="Arial" w:cs="Arial" w:eastAsia="Arial" w:hAnsi="Arial"/>
                <w:sz w:val="18"/>
                <w:szCs w:val="18"/>
                <w:color w:val="auto"/>
              </w:rPr>
              <w:t>5.</w:t>
            </w:r>
          </w:p>
        </w:tc>
        <w:tc>
          <w:tcPr>
            <w:tcW w:w="1480" w:type="dxa"/>
            <w:vAlign w:val="bottom"/>
          </w:tcPr>
          <w:p>
            <w:pPr>
              <w:ind w:left="100"/>
              <w:spacing w:after="0"/>
              <w:rPr>
                <w:sz w:val="20"/>
                <w:szCs w:val="20"/>
                <w:color w:val="auto"/>
              </w:rPr>
            </w:pPr>
            <w:r>
              <w:rPr>
                <w:rFonts w:ascii="Arial" w:cs="Arial" w:eastAsia="Arial" w:hAnsi="Arial"/>
                <w:sz w:val="18"/>
                <w:szCs w:val="18"/>
                <w:color w:val="auto"/>
                <w:w w:val="91"/>
              </w:rPr>
              <w:t>Sole Voting Power</w:t>
            </w: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0*</w:t>
            </w:r>
          </w:p>
        </w:tc>
        <w:tc>
          <w:tcPr>
            <w:tcW w:w="6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82"/>
        </w:trPr>
        <w:tc>
          <w:tcPr>
            <w:tcW w:w="1700" w:type="dxa"/>
            <w:vAlign w:val="bottom"/>
            <w:vMerge w:val="restart"/>
          </w:tcPr>
          <w:p>
            <w:pPr>
              <w:spacing w:after="0"/>
              <w:rPr>
                <w:sz w:val="20"/>
                <w:szCs w:val="20"/>
                <w:color w:val="auto"/>
              </w:rPr>
            </w:pPr>
            <w:r>
              <w:rPr>
                <w:rFonts w:ascii="Arial" w:cs="Arial" w:eastAsia="Arial" w:hAnsi="Arial"/>
                <w:sz w:val="18"/>
                <w:szCs w:val="18"/>
                <w:color w:val="auto"/>
              </w:rPr>
              <w:t>Shares</w:t>
            </w:r>
          </w:p>
        </w:tc>
        <w:tc>
          <w:tcPr>
            <w:tcW w:w="380" w:type="dxa"/>
            <w:vAlign w:val="bottom"/>
            <w:tcBorders>
              <w:bottom w:val="single" w:sz="8" w:color="auto"/>
            </w:tcBorders>
          </w:tcPr>
          <w:p>
            <w:pPr>
              <w:spacing w:after="0"/>
              <w:rPr>
                <w:sz w:val="7"/>
                <w:szCs w:val="7"/>
                <w:color w:val="auto"/>
              </w:rPr>
            </w:pPr>
          </w:p>
        </w:tc>
        <w:tc>
          <w:tcPr>
            <w:tcW w:w="148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67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14"/>
        </w:trPr>
        <w:tc>
          <w:tcPr>
            <w:tcW w:w="1700" w:type="dxa"/>
            <w:vAlign w:val="bottom"/>
            <w:vMerge w:val="continue"/>
          </w:tcPr>
          <w:p>
            <w:pPr>
              <w:spacing w:after="0"/>
              <w:rPr>
                <w:sz w:val="9"/>
                <w:szCs w:val="9"/>
                <w:color w:val="auto"/>
              </w:rPr>
            </w:pPr>
          </w:p>
        </w:tc>
        <w:tc>
          <w:tcPr>
            <w:tcW w:w="38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8740" w:type="dxa"/>
            <w:vAlign w:val="bottom"/>
            <w:gridSpan w:val="3"/>
            <w:vMerge w:val="restart"/>
          </w:tcPr>
          <w:p>
            <w:pPr>
              <w:ind w:left="100"/>
              <w:spacing w:after="0"/>
              <w:rPr>
                <w:sz w:val="20"/>
                <w:szCs w:val="20"/>
                <w:color w:val="auto"/>
              </w:rPr>
            </w:pPr>
            <w:r>
              <w:rPr>
                <w:rFonts w:ascii="Arial" w:cs="Arial" w:eastAsia="Arial" w:hAnsi="Arial"/>
                <w:sz w:val="18"/>
                <w:szCs w:val="18"/>
                <w:color w:val="auto"/>
              </w:rPr>
              <w:t>Shared Voting Power   4,552,481*</w:t>
            </w:r>
          </w:p>
        </w:tc>
        <w:tc>
          <w:tcPr>
            <w:tcW w:w="0" w:type="dxa"/>
            <w:vAlign w:val="bottom"/>
          </w:tcPr>
          <w:p>
            <w:pPr>
              <w:spacing w:after="0"/>
              <w:rPr>
                <w:sz w:val="1"/>
                <w:szCs w:val="1"/>
                <w:color w:val="auto"/>
              </w:rPr>
            </w:pPr>
          </w:p>
        </w:tc>
      </w:tr>
      <w:tr>
        <w:trPr>
          <w:trHeight w:val="163"/>
        </w:trPr>
        <w:tc>
          <w:tcPr>
            <w:tcW w:w="1700" w:type="dxa"/>
            <w:vAlign w:val="bottom"/>
            <w:vMerge w:val="restart"/>
          </w:tcPr>
          <w:p>
            <w:pPr>
              <w:spacing w:after="0"/>
              <w:rPr>
                <w:sz w:val="20"/>
                <w:szCs w:val="20"/>
                <w:color w:val="auto"/>
              </w:rPr>
            </w:pPr>
            <w:r>
              <w:rPr>
                <w:rFonts w:ascii="Arial" w:cs="Arial" w:eastAsia="Arial" w:hAnsi="Arial"/>
                <w:sz w:val="18"/>
                <w:szCs w:val="18"/>
                <w:color w:val="auto"/>
              </w:rPr>
              <w:t>Beneficially by</w:t>
            </w:r>
          </w:p>
        </w:tc>
        <w:tc>
          <w:tcPr>
            <w:tcW w:w="380" w:type="dxa"/>
            <w:vAlign w:val="bottom"/>
            <w:vMerge w:val="continue"/>
          </w:tcPr>
          <w:p>
            <w:pPr>
              <w:spacing w:after="0"/>
              <w:rPr>
                <w:sz w:val="14"/>
                <w:szCs w:val="14"/>
                <w:color w:val="auto"/>
              </w:rPr>
            </w:pPr>
          </w:p>
        </w:tc>
        <w:tc>
          <w:tcPr>
            <w:tcW w:w="874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1700" w:type="dxa"/>
            <w:vAlign w:val="bottom"/>
            <w:vMerge w:val="continue"/>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48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67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1700" w:type="dxa"/>
            <w:vAlign w:val="bottom"/>
          </w:tcPr>
          <w:p>
            <w:pPr>
              <w:spacing w:after="0" w:line="182" w:lineRule="exact"/>
              <w:rPr>
                <w:sz w:val="20"/>
                <w:szCs w:val="20"/>
                <w:color w:val="auto"/>
              </w:rPr>
            </w:pPr>
            <w:r>
              <w:rPr>
                <w:rFonts w:ascii="Arial" w:cs="Arial" w:eastAsia="Arial" w:hAnsi="Arial"/>
                <w:sz w:val="18"/>
                <w:szCs w:val="18"/>
                <w:color w:val="auto"/>
              </w:rPr>
              <w:t>Owned by Each</w:t>
            </w:r>
          </w:p>
        </w:tc>
        <w:tc>
          <w:tcPr>
            <w:tcW w:w="38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2020" w:type="dxa"/>
            <w:vAlign w:val="bottom"/>
            <w:gridSpan w:val="2"/>
            <w:vMerge w:val="restart"/>
          </w:tcPr>
          <w:p>
            <w:pPr>
              <w:ind w:left="100"/>
              <w:spacing w:after="0"/>
              <w:rPr>
                <w:sz w:val="20"/>
                <w:szCs w:val="20"/>
                <w:color w:val="auto"/>
              </w:rPr>
            </w:pPr>
            <w:r>
              <w:rPr>
                <w:rFonts w:ascii="Arial" w:cs="Arial" w:eastAsia="Arial" w:hAnsi="Arial"/>
                <w:sz w:val="18"/>
                <w:szCs w:val="18"/>
                <w:color w:val="auto"/>
              </w:rPr>
              <w:t>Sole Dispositive Power</w:t>
            </w:r>
          </w:p>
        </w:tc>
        <w:tc>
          <w:tcPr>
            <w:tcW w:w="6720" w:type="dxa"/>
            <w:vAlign w:val="bottom"/>
            <w:vMerge w:val="restart"/>
          </w:tcPr>
          <w:p>
            <w:pPr>
              <w:jc w:val="right"/>
              <w:ind w:right="641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95"/>
        </w:trPr>
        <w:tc>
          <w:tcPr>
            <w:tcW w:w="1700" w:type="dxa"/>
            <w:vAlign w:val="bottom"/>
            <w:vMerge w:val="restart"/>
          </w:tcPr>
          <w:p>
            <w:pPr>
              <w:spacing w:after="0" w:line="157" w:lineRule="exact"/>
              <w:rPr>
                <w:sz w:val="20"/>
                <w:szCs w:val="20"/>
                <w:color w:val="auto"/>
              </w:rPr>
            </w:pPr>
            <w:r>
              <w:rPr>
                <w:rFonts w:ascii="Arial" w:cs="Arial" w:eastAsia="Arial" w:hAnsi="Arial"/>
                <w:sz w:val="18"/>
                <w:szCs w:val="18"/>
                <w:color w:val="auto"/>
              </w:rPr>
              <w:t>Reporting</w:t>
            </w:r>
          </w:p>
        </w:tc>
        <w:tc>
          <w:tcPr>
            <w:tcW w:w="380" w:type="dxa"/>
            <w:vAlign w:val="bottom"/>
            <w:vMerge w:val="continue"/>
          </w:tcPr>
          <w:p>
            <w:pPr>
              <w:spacing w:after="0"/>
              <w:rPr>
                <w:sz w:val="8"/>
                <w:szCs w:val="8"/>
                <w:color w:val="auto"/>
              </w:rPr>
            </w:pPr>
          </w:p>
        </w:tc>
        <w:tc>
          <w:tcPr>
            <w:tcW w:w="2020" w:type="dxa"/>
            <w:vAlign w:val="bottom"/>
            <w:gridSpan w:val="2"/>
            <w:vMerge w:val="continue"/>
          </w:tcPr>
          <w:p>
            <w:pPr>
              <w:spacing w:after="0"/>
              <w:rPr>
                <w:sz w:val="8"/>
                <w:szCs w:val="8"/>
                <w:color w:val="auto"/>
              </w:rPr>
            </w:pPr>
          </w:p>
        </w:tc>
        <w:tc>
          <w:tcPr>
            <w:tcW w:w="67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1700" w:type="dxa"/>
            <w:vAlign w:val="bottom"/>
            <w:vMerge w:val="continue"/>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48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67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1700" w:type="dxa"/>
            <w:vAlign w:val="bottom"/>
          </w:tcPr>
          <w:p>
            <w:pPr>
              <w:spacing w:after="0"/>
              <w:rPr>
                <w:sz w:val="20"/>
                <w:szCs w:val="20"/>
                <w:color w:val="auto"/>
              </w:rPr>
            </w:pPr>
            <w:r>
              <w:rPr>
                <w:rFonts w:ascii="Arial" w:cs="Arial" w:eastAsia="Arial" w:hAnsi="Arial"/>
                <w:sz w:val="18"/>
                <w:szCs w:val="18"/>
                <w:color w:val="auto"/>
              </w:rPr>
              <w:t>Person With:</w:t>
            </w:r>
          </w:p>
        </w:tc>
        <w:tc>
          <w:tcPr>
            <w:tcW w:w="380" w:type="dxa"/>
            <w:vAlign w:val="bottom"/>
          </w:tcPr>
          <w:p>
            <w:pPr>
              <w:jc w:val="right"/>
              <w:spacing w:after="0"/>
              <w:rPr>
                <w:sz w:val="20"/>
                <w:szCs w:val="20"/>
                <w:color w:val="auto"/>
              </w:rPr>
            </w:pPr>
            <w:r>
              <w:rPr>
                <w:rFonts w:ascii="Arial" w:cs="Arial" w:eastAsia="Arial" w:hAnsi="Arial"/>
                <w:sz w:val="18"/>
                <w:szCs w:val="18"/>
                <w:color w:val="auto"/>
              </w:rPr>
              <w:t>8.</w:t>
            </w:r>
          </w:p>
        </w:tc>
        <w:tc>
          <w:tcPr>
            <w:tcW w:w="2020" w:type="dxa"/>
            <w:vAlign w:val="bottom"/>
            <w:gridSpan w:val="2"/>
          </w:tcPr>
          <w:p>
            <w:pPr>
              <w:ind w:left="100"/>
              <w:spacing w:after="0"/>
              <w:rPr>
                <w:sz w:val="20"/>
                <w:szCs w:val="20"/>
                <w:color w:val="auto"/>
              </w:rPr>
            </w:pPr>
            <w:r>
              <w:rPr>
                <w:rFonts w:ascii="Arial" w:cs="Arial" w:eastAsia="Arial" w:hAnsi="Arial"/>
                <w:sz w:val="18"/>
                <w:szCs w:val="18"/>
                <w:color w:val="auto"/>
                <w:w w:val="92"/>
              </w:rPr>
              <w:t>Shared Dispositive Power</w:t>
            </w:r>
          </w:p>
        </w:tc>
        <w:tc>
          <w:tcPr>
            <w:tcW w:w="6720" w:type="dxa"/>
            <w:vAlign w:val="bottom"/>
          </w:tcPr>
          <w:p>
            <w:pPr>
              <w:jc w:val="right"/>
              <w:ind w:right="5610"/>
              <w:spacing w:after="0"/>
              <w:rPr>
                <w:sz w:val="20"/>
                <w:szCs w:val="20"/>
                <w:color w:val="auto"/>
              </w:rPr>
            </w:pPr>
            <w:r>
              <w:rPr>
                <w:rFonts w:ascii="Arial" w:cs="Arial" w:eastAsia="Arial" w:hAnsi="Arial"/>
                <w:sz w:val="18"/>
                <w:szCs w:val="18"/>
                <w:color w:val="auto"/>
              </w:rPr>
              <w:t>4,552,481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43180</wp:posOffset>
            </wp:positionV>
            <wp:extent cx="687768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77685" cy="8890"/>
                    </a:xfrm>
                    <a:prstGeom prst="rect">
                      <a:avLst/>
                    </a:prstGeom>
                    <a:noFill/>
                  </pic:spPr>
                </pic:pic>
              </a:graphicData>
            </a:graphic>
          </wp:anchor>
        </w:drawing>
      </w:r>
    </w:p>
    <w:p>
      <w:pPr>
        <w:spacing w:after="0" w:line="114" w:lineRule="exact"/>
        <w:rPr>
          <w:sz w:val="20"/>
          <w:szCs w:val="20"/>
          <w:color w:val="auto"/>
        </w:rPr>
      </w:pPr>
    </w:p>
    <w:p>
      <w:pPr>
        <w:ind w:left="180"/>
        <w:spacing w:after="0"/>
        <w:tabs>
          <w:tab w:leader="none" w:pos="460" w:val="left"/>
          <w:tab w:leader="none" w:pos="5520" w:val="left"/>
        </w:tabs>
        <w:rPr>
          <w:sz w:val="20"/>
          <w:szCs w:val="20"/>
          <w:color w:val="auto"/>
        </w:rPr>
      </w:pPr>
      <w:r>
        <w:rPr>
          <w:rFonts w:ascii="Arial" w:cs="Arial" w:eastAsia="Arial" w:hAnsi="Arial"/>
          <w:sz w:val="18"/>
          <w:szCs w:val="18"/>
          <w:color w:val="auto"/>
        </w:rPr>
        <w:t>9.</w:t>
        <w:tab/>
        <w:t>Aggregate Amount Beneficially Owned by Each Reporting Person</w:t>
      </w:r>
      <w:r>
        <w:rPr>
          <w:sz w:val="20"/>
          <w:szCs w:val="20"/>
          <w:color w:val="auto"/>
        </w:rPr>
        <w:tab/>
      </w:r>
      <w:r>
        <w:rPr>
          <w:rFonts w:ascii="Arial" w:cs="Arial" w:eastAsia="Arial" w:hAnsi="Arial"/>
          <w:sz w:val="16"/>
          <w:szCs w:val="16"/>
          <w:color w:val="auto"/>
        </w:rPr>
        <w:t>4,552,481*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8" w:lineRule="exact"/>
        <w:rPr>
          <w:sz w:val="20"/>
          <w:szCs w:val="20"/>
          <w:color w:val="auto"/>
        </w:rPr>
      </w:pPr>
    </w:p>
    <w:p>
      <w:pPr>
        <w:ind w:left="180"/>
        <w:spacing w:after="0"/>
        <w:rPr>
          <w:sz w:val="20"/>
          <w:szCs w:val="20"/>
          <w:color w:val="auto"/>
        </w:rPr>
      </w:pPr>
      <w:r>
        <w:rPr>
          <w:rFonts w:ascii="Arial" w:cs="Arial" w:eastAsia="Arial" w:hAnsi="Arial"/>
          <w:sz w:val="18"/>
          <w:szCs w:val="18"/>
          <w:color w:val="auto"/>
        </w:rPr>
        <w:t>10. Check if the Aggregate Amount in Row (9) Excludes Certain Shares (See Instructions).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8" w:lineRule="exact"/>
        <w:rPr>
          <w:sz w:val="20"/>
          <w:szCs w:val="20"/>
          <w:color w:val="auto"/>
        </w:rPr>
      </w:pPr>
    </w:p>
    <w:p>
      <w:pPr>
        <w:ind w:left="180"/>
        <w:spacing w:after="0"/>
        <w:tabs>
          <w:tab w:leader="none" w:pos="4520" w:val="left"/>
        </w:tabs>
        <w:rPr>
          <w:sz w:val="20"/>
          <w:szCs w:val="20"/>
          <w:color w:val="auto"/>
        </w:rPr>
      </w:pPr>
      <w:r>
        <w:rPr>
          <w:rFonts w:ascii="Arial" w:cs="Arial" w:eastAsia="Arial" w:hAnsi="Arial"/>
          <w:sz w:val="18"/>
          <w:szCs w:val="18"/>
          <w:color w:val="auto"/>
        </w:rPr>
        <w:t>11. Percent of Class Represented by Amount in Row (9)</w:t>
      </w:r>
      <w:r>
        <w:rPr>
          <w:sz w:val="20"/>
          <w:szCs w:val="20"/>
          <w:color w:val="auto"/>
        </w:rPr>
        <w:tab/>
      </w:r>
      <w:r>
        <w:rPr>
          <w:rFonts w:ascii="Arial" w:cs="Arial" w:eastAsia="Arial" w:hAnsi="Arial"/>
          <w:sz w:val="16"/>
          <w:szCs w:val="16"/>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8" w:lineRule="exact"/>
        <w:rPr>
          <w:sz w:val="20"/>
          <w:szCs w:val="20"/>
          <w:color w:val="auto"/>
        </w:rPr>
      </w:pPr>
    </w:p>
    <w:p>
      <w:pPr>
        <w:ind w:left="480" w:hanging="310"/>
        <w:spacing w:after="0"/>
        <w:tabs>
          <w:tab w:leader="none" w:pos="4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Type of Reporting Person (See Instructions) PN</w:t>
      </w:r>
    </w:p>
    <w:p>
      <w:pPr>
        <w:spacing w:after="0" w:line="157" w:lineRule="exact"/>
        <w:rPr>
          <w:rFonts w:ascii="Arial" w:cs="Arial" w:eastAsia="Arial" w:hAnsi="Arial"/>
          <w:sz w:val="18"/>
          <w:szCs w:val="18"/>
          <w:color w:val="auto"/>
        </w:rPr>
      </w:pPr>
    </w:p>
    <w:p>
      <w:pPr>
        <w:jc w:val="both"/>
        <w:ind w:right="260"/>
        <w:spacing w:after="0" w:line="286" w:lineRule="auto"/>
        <w:rPr>
          <w:rFonts w:ascii="Arial" w:cs="Arial" w:eastAsia="Arial" w:hAnsi="Arial"/>
          <w:sz w:val="18"/>
          <w:szCs w:val="18"/>
          <w:color w:val="auto"/>
        </w:rPr>
      </w:pPr>
      <w:r>
        <w:rPr>
          <w:rFonts w:ascii="Arial" w:cs="Arial" w:eastAsia="Arial" w:hAnsi="Arial"/>
          <w:sz w:val="17"/>
          <w:szCs w:val="17"/>
          <w:color w:val="auto"/>
        </w:rPr>
        <w:t>* Calculations are based on 33,733,431 Ordinary Shares of the Issuer outstanding, in accordance with disclosure contained in the Issuer’s Proxy Statement dated July 3, 2017. This Amendment No. 1 to Schedule 13G is filed jointly by the Fortissimo Entities acting as a “group” within the meaning of Rule 13d-5(b)(1) under the Exchange Act, pursuant to the Joint Filing Agreement among the Fortissimo Entities filed as Exhibit 1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-485775</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4 of 8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Item 1.</w:t>
      </w:r>
    </w:p>
    <w:p>
      <w:pPr>
        <w:spacing w:after="0" w:line="229" w:lineRule="exact"/>
        <w:rPr>
          <w:sz w:val="20"/>
          <w:szCs w:val="20"/>
          <w:color w:val="auto"/>
        </w:rPr>
      </w:pPr>
    </w:p>
    <w:p>
      <w:pPr>
        <w:ind w:left="760" w:hanging="333"/>
        <w:spacing w:after="0"/>
        <w:tabs>
          <w:tab w:leader="none" w:pos="76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The name of the Issuer is Kornit Digital Ltd.</w:t>
      </w:r>
    </w:p>
    <w:p>
      <w:pPr>
        <w:spacing w:after="0" w:line="225" w:lineRule="exact"/>
        <w:rPr>
          <w:rFonts w:ascii="Arial" w:cs="Arial" w:eastAsia="Arial" w:hAnsi="Arial"/>
          <w:sz w:val="18"/>
          <w:szCs w:val="18"/>
          <w:b w:val="1"/>
          <w:bCs w:val="1"/>
          <w:color w:val="auto"/>
        </w:rPr>
      </w:pPr>
    </w:p>
    <w:p>
      <w:pPr>
        <w:ind w:left="760" w:hanging="333"/>
        <w:spacing w:after="0"/>
        <w:tabs>
          <w:tab w:leader="none" w:pos="76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The address of the Issuer’s principal executive offices is: 12 Ha’Amal Street, Rosh Ha’Ayin 4809246, Israel.</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w:t>
      </w:r>
    </w:p>
    <w:p>
      <w:pPr>
        <w:spacing w:after="0" w:line="225" w:lineRule="exact"/>
        <w:rPr>
          <w:sz w:val="20"/>
          <w:szCs w:val="20"/>
          <w:color w:val="auto"/>
        </w:rPr>
      </w:pPr>
    </w:p>
    <w:p>
      <w:pPr>
        <w:ind w:left="980" w:right="100" w:hanging="324"/>
        <w:spacing w:after="0" w:line="289" w:lineRule="auto"/>
        <w:tabs>
          <w:tab w:leader="none" w:pos="980" w:val="left"/>
        </w:tabs>
        <w:numPr>
          <w:ilvl w:val="0"/>
          <w:numId w:val="13"/>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and (d) </w:t>
      </w:r>
      <w:r>
        <w:rPr>
          <w:rFonts w:ascii="Arial" w:cs="Arial" w:eastAsia="Arial" w:hAnsi="Arial"/>
          <w:sz w:val="17"/>
          <w:szCs w:val="17"/>
          <w:color w:val="auto"/>
        </w:rPr>
        <w:t>This Amendment No. 1 to Schedule 13G is being filed by Fortissimo Capital Fund II (Israel), L.P. (“FF II”); Fortissimo Capital Fund II</w:t>
      </w:r>
      <w:r>
        <w:rPr>
          <w:rFonts w:ascii="Arial" w:cs="Arial" w:eastAsia="Arial" w:hAnsi="Arial"/>
          <w:sz w:val="17"/>
          <w:szCs w:val="17"/>
          <w:b w:val="1"/>
          <w:bCs w:val="1"/>
          <w:color w:val="auto"/>
        </w:rPr>
        <w:t xml:space="preserve"> </w:t>
      </w:r>
      <w:r>
        <w:rPr>
          <w:rFonts w:ascii="Arial" w:cs="Arial" w:eastAsia="Arial" w:hAnsi="Arial"/>
          <w:sz w:val="17"/>
          <w:szCs w:val="17"/>
          <w:color w:val="auto"/>
        </w:rPr>
        <w:t>(GP), L.P. (“FF II GP”) and Fortissimo Capital 2 Management (GP) Ltd. (FF II MGMT”), FF II, FF II GP and FF II MGMT are collectively referred to herein as the “Reporting Persons”), with respect to beneficial ownership of the Ordinary Shares of the Issuer.</w:t>
      </w:r>
    </w:p>
    <w:p>
      <w:pPr>
        <w:spacing w:after="0" w:line="158" w:lineRule="exact"/>
        <w:rPr>
          <w:rFonts w:ascii="Arial" w:cs="Arial" w:eastAsia="Arial" w:hAnsi="Arial"/>
          <w:sz w:val="17"/>
          <w:szCs w:val="17"/>
          <w:b w:val="1"/>
          <w:bCs w:val="1"/>
          <w:color w:val="auto"/>
        </w:rPr>
      </w:pPr>
    </w:p>
    <w:p>
      <w:pPr>
        <w:ind w:left="980" w:hanging="324"/>
        <w:spacing w:after="0" w:line="255" w:lineRule="auto"/>
        <w:tabs>
          <w:tab w:leader="none" w:pos="98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and (c) </w:t>
      </w:r>
      <w:r>
        <w:rPr>
          <w:rFonts w:ascii="Arial" w:cs="Arial" w:eastAsia="Arial" w:hAnsi="Arial"/>
          <w:sz w:val="18"/>
          <w:szCs w:val="18"/>
          <w:color w:val="auto"/>
        </w:rPr>
        <w:t>FF II is a limited partnership organized and existing under the laws of the Cayman Islands and whose business address is 14 Hamelacha</w:t>
      </w:r>
      <w:r>
        <w:rPr>
          <w:rFonts w:ascii="Arial" w:cs="Arial" w:eastAsia="Arial" w:hAnsi="Arial"/>
          <w:sz w:val="18"/>
          <w:szCs w:val="18"/>
          <w:b w:val="1"/>
          <w:bCs w:val="1"/>
          <w:color w:val="auto"/>
        </w:rPr>
        <w:t xml:space="preserve"> </w:t>
      </w:r>
      <w:r>
        <w:rPr>
          <w:rFonts w:ascii="Arial" w:cs="Arial" w:eastAsia="Arial" w:hAnsi="Arial"/>
          <w:sz w:val="18"/>
          <w:szCs w:val="18"/>
          <w:color w:val="auto"/>
        </w:rPr>
        <w:t>Street, Park Afek, Rosh Ha’ayin Israel 48091. FF II is the record holder of the Ordinary Shares of the Issuer. FF II GP is a limited partnership organized and existing under the laws of the State of Israel and whose principal business is to act as the sole general partner of FF II. Its business address is 14 Hamelacha Street, Park Afek, Rosh Ha’ayin Israel 48091. The general partner of FFII GP is FFF II MGMT, an Israel company whose business address is 14 Hamelacha Street, Park Afek, Rosh Ha’ayin Israel 48091. FFII MGMT’s principal business is to act as the sole general partner of FF II GP. The sole shareholder and director of FF II MGMT is Yuval Cohen (the “Control Person”). The Control Person’s business address is 14 Hamelacha Street, Park Afek, Rosh Haayin Israel 48091 and his principal business activity is managing the investments of each of the Reporting Persons.</w:t>
      </w:r>
    </w:p>
    <w:p>
      <w:pPr>
        <w:spacing w:after="0" w:line="189" w:lineRule="exact"/>
        <w:rPr>
          <w:sz w:val="20"/>
          <w:szCs w:val="20"/>
          <w:color w:val="auto"/>
        </w:rPr>
      </w:pPr>
    </w:p>
    <w:p>
      <w:pPr>
        <w:ind w:left="980" w:hanging="324"/>
        <w:spacing w:after="0"/>
        <w:tabs>
          <w:tab w:leader="none" w:pos="98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The CUSIP number of the Issuer’s Ordinary Shares is M 6372Q113</w:t>
      </w:r>
    </w:p>
    <w:p>
      <w:pPr>
        <w:spacing w:after="0" w:line="22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Not applicable</w:t>
      </w:r>
    </w:p>
    <w:p>
      <w:pPr>
        <w:spacing w:after="0" w:line="200" w:lineRule="exact"/>
        <w:rPr>
          <w:sz w:val="20"/>
          <w:szCs w:val="20"/>
          <w:color w:val="auto"/>
        </w:rPr>
      </w:pPr>
    </w:p>
    <w:p>
      <w:pPr>
        <w:spacing w:after="0" w:line="24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Page 5 of 8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4"/>
        </w:trPr>
        <w:tc>
          <w:tcPr>
            <w:tcW w:w="7900" w:type="dxa"/>
            <w:vAlign w:val="bottom"/>
            <w:gridSpan w:val="3"/>
          </w:tcPr>
          <w:p>
            <w:pPr>
              <w:spacing w:after="0"/>
              <w:rPr>
                <w:sz w:val="20"/>
                <w:szCs w:val="20"/>
                <w:color w:val="auto"/>
              </w:rPr>
            </w:pPr>
            <w:r>
              <w:rPr>
                <w:rFonts w:ascii="Arial" w:cs="Arial" w:eastAsia="Arial" w:hAnsi="Arial"/>
                <w:sz w:val="18"/>
                <w:szCs w:val="18"/>
                <w:b w:val="1"/>
                <w:bCs w:val="1"/>
                <w:color w:val="auto"/>
              </w:rPr>
              <w:t>Item 4. Ownership</w:t>
            </w:r>
          </w:p>
        </w:tc>
        <w:tc>
          <w:tcPr>
            <w:tcW w:w="1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7780" w:type="dxa"/>
            <w:vAlign w:val="bottom"/>
          </w:tcPr>
          <w:p>
            <w:pPr>
              <w:ind w:left="3360"/>
              <w:spacing w:after="0"/>
              <w:rPr>
                <w:sz w:val="20"/>
                <w:szCs w:val="20"/>
                <w:color w:val="auto"/>
              </w:rPr>
            </w:pPr>
            <w:r>
              <w:rPr>
                <w:rFonts w:ascii="Arial" w:cs="Arial" w:eastAsia="Arial" w:hAnsi="Arial"/>
                <w:sz w:val="18"/>
                <w:szCs w:val="18"/>
                <w:color w:val="auto"/>
              </w:rPr>
              <w:t>Name of Fund</w:t>
            </w:r>
          </w:p>
        </w:tc>
        <w:tc>
          <w:tcPr>
            <w:tcW w:w="100" w:type="dxa"/>
            <w:vAlign w:val="bottom"/>
          </w:tcPr>
          <w:p>
            <w:pPr>
              <w:spacing w:after="0"/>
              <w:rPr>
                <w:sz w:val="24"/>
                <w:szCs w:val="24"/>
                <w:color w:val="auto"/>
              </w:rPr>
            </w:pPr>
          </w:p>
        </w:tc>
        <w:tc>
          <w:tcPr>
            <w:tcW w:w="1480" w:type="dxa"/>
            <w:vAlign w:val="bottom"/>
          </w:tcPr>
          <w:p>
            <w:pPr>
              <w:ind w:left="80"/>
              <w:spacing w:after="0"/>
              <w:rPr>
                <w:sz w:val="20"/>
                <w:szCs w:val="20"/>
                <w:color w:val="auto"/>
              </w:rPr>
            </w:pPr>
            <w:r>
              <w:rPr>
                <w:rFonts w:ascii="Arial" w:cs="Arial" w:eastAsia="Arial" w:hAnsi="Arial"/>
                <w:sz w:val="18"/>
                <w:szCs w:val="18"/>
                <w:color w:val="auto"/>
                <w:w w:val="94"/>
              </w:rPr>
              <w:t>Number of Shares</w:t>
            </w:r>
          </w:p>
        </w:tc>
        <w:tc>
          <w:tcPr>
            <w:tcW w:w="300" w:type="dxa"/>
            <w:vAlign w:val="bottom"/>
          </w:tcPr>
          <w:p>
            <w:pPr>
              <w:spacing w:after="0"/>
              <w:rPr>
                <w:sz w:val="24"/>
                <w:szCs w:val="24"/>
                <w:color w:val="auto"/>
              </w:rPr>
            </w:pPr>
          </w:p>
        </w:tc>
        <w:tc>
          <w:tcPr>
            <w:tcW w:w="1740" w:type="dxa"/>
            <w:vAlign w:val="bottom"/>
            <w:gridSpan w:val="2"/>
          </w:tcPr>
          <w:p>
            <w:pPr>
              <w:jc w:val="right"/>
              <w:ind w:right="160"/>
              <w:spacing w:after="0"/>
              <w:rPr>
                <w:sz w:val="20"/>
                <w:szCs w:val="20"/>
                <w:color w:val="auto"/>
              </w:rPr>
            </w:pPr>
            <w:r>
              <w:rPr>
                <w:rFonts w:ascii="Arial" w:cs="Arial" w:eastAsia="Arial" w:hAnsi="Arial"/>
                <w:sz w:val="18"/>
                <w:szCs w:val="18"/>
                <w:color w:val="auto"/>
                <w:w w:val="89"/>
              </w:rPr>
              <w:t>Percentage Holdings*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8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Fortissimo Capital Fund II (Israel) L.P.</w:t>
            </w:r>
          </w:p>
        </w:tc>
        <w:tc>
          <w:tcPr>
            <w:tcW w:w="100" w:type="dxa"/>
            <w:vAlign w:val="bottom"/>
            <w:vMerge w:val="continue"/>
            <w:shd w:val="clear" w:color="auto" w:fill="CCEEFF"/>
          </w:tcPr>
          <w:p>
            <w:pPr>
              <w:spacing w:after="0"/>
              <w:rPr>
                <w:sz w:val="18"/>
                <w:szCs w:val="18"/>
                <w:color w:val="auto"/>
              </w:rPr>
            </w:pPr>
          </w:p>
        </w:tc>
        <w:tc>
          <w:tcPr>
            <w:tcW w:w="1480" w:type="dxa"/>
            <w:vAlign w:val="bottom"/>
            <w:shd w:val="clear" w:color="auto" w:fill="CCEEFF"/>
          </w:tcPr>
          <w:p>
            <w:pPr>
              <w:ind w:left="760"/>
              <w:spacing w:after="0"/>
              <w:rPr>
                <w:sz w:val="20"/>
                <w:szCs w:val="20"/>
                <w:color w:val="auto"/>
              </w:rPr>
            </w:pPr>
            <w:r>
              <w:rPr>
                <w:rFonts w:ascii="Arial" w:cs="Arial" w:eastAsia="Arial" w:hAnsi="Arial"/>
                <w:sz w:val="18"/>
                <w:szCs w:val="18"/>
                <w:color w:val="auto"/>
                <w:w w:val="74"/>
              </w:rPr>
              <w:t>4,552,481**</w:t>
            </w:r>
          </w:p>
        </w:tc>
        <w:tc>
          <w:tcPr>
            <w:tcW w:w="300" w:type="dxa"/>
            <w:vAlign w:val="bottom"/>
            <w:vMerge w:val="continue"/>
            <w:shd w:val="clear" w:color="auto" w:fill="CCEEFF"/>
          </w:tcPr>
          <w:p>
            <w:pPr>
              <w:spacing w:after="0"/>
              <w:rPr>
                <w:sz w:val="18"/>
                <w:szCs w:val="18"/>
                <w:color w:val="auto"/>
              </w:rPr>
            </w:pPr>
          </w:p>
        </w:tc>
        <w:tc>
          <w:tcPr>
            <w:tcW w:w="1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Fortissimo Capital Fund II (GP), L.P.</w:t>
            </w:r>
          </w:p>
        </w:tc>
        <w:tc>
          <w:tcPr>
            <w:tcW w:w="178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4,552,481**</w:t>
            </w:r>
          </w:p>
        </w:tc>
        <w:tc>
          <w:tcPr>
            <w:tcW w:w="1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Fortissimo Capital 2 Management (GP) Ltd.</w:t>
            </w:r>
          </w:p>
        </w:tc>
        <w:tc>
          <w:tcPr>
            <w:tcW w:w="178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4,552,481**</w:t>
            </w:r>
          </w:p>
        </w:tc>
        <w:tc>
          <w:tcPr>
            <w:tcW w:w="1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Page 6 of 8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6" w:name="page7"/>
    <w:bookmarkEnd w:id="6"/>
    <w:p>
      <w:pPr>
        <w:jc w:val="both"/>
        <w:ind w:right="200" w:firstLine="8"/>
        <w:spacing w:after="0" w:line="264" w:lineRule="auto"/>
        <w:tabs>
          <w:tab w:leader="none" w:pos="135" w:val="left"/>
        </w:tabs>
        <w:numPr>
          <w:ilvl w:val="0"/>
          <w:numId w:val="15"/>
        </w:numPr>
        <w:rPr>
          <w:rFonts w:ascii="Arial" w:cs="Arial" w:eastAsia="Arial" w:hAnsi="Arial"/>
          <w:sz w:val="18"/>
          <w:szCs w:val="18"/>
          <w:color w:val="auto"/>
        </w:rPr>
      </w:pPr>
      <w:r>
        <w:rPr>
          <w:rFonts w:ascii="Arial" w:cs="Arial" w:eastAsia="Arial" w:hAnsi="Arial"/>
          <w:sz w:val="18"/>
          <w:szCs w:val="18"/>
          <w:color w:val="auto"/>
        </w:rPr>
        <w:t>Calculations are based on 33,733,431 Ordinary Shares of the Issuer outstanding, in accordance with disclosure contained in the Issuer’s Proxy Statement dated July 3, 2017. This Amendment No. 1 to Schedule 13G is filed jointly by the Fortissimo Entities acting as a “group” within the meaning of Rule 13d-5(b)(1) under the Exchange Act, pursuant to the Joint Filing Agreement.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**FF II is the registered owner of the Ordinary Shares of the Issuer.</w:t>
      </w:r>
    </w:p>
    <w:p>
      <w:pPr>
        <w:spacing w:after="0" w:line="225"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color w:val="auto"/>
        </w:rPr>
        <w:t>FFC GP, in its capacity of being the sole general partner of FF II, controls and manages FF II. Accordingly, FF II GP is the beneficial owner of the Ordinary Shares held by FF II. FF II GP, in its capacity as the general partner of FF II, has the voting and dispositive power over the Ordinary Shares held by</w:t>
      </w:r>
    </w:p>
    <w:p>
      <w:pPr>
        <w:ind w:left="260" w:hanging="252"/>
        <w:spacing w:after="0"/>
        <w:tabs>
          <w:tab w:leader="none" w:pos="2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II. FF II GP may be deemed to be the indirect beneficial owner of the Ordinary Shares held by FF II.</w:t>
      </w:r>
    </w:p>
    <w:p>
      <w:pPr>
        <w:spacing w:after="0" w:line="210" w:lineRule="exact"/>
        <w:rPr>
          <w:rFonts w:ascii="Arial" w:cs="Arial" w:eastAsia="Arial" w:hAnsi="Arial"/>
          <w:sz w:val="18"/>
          <w:szCs w:val="18"/>
          <w:color w:val="auto"/>
        </w:rPr>
      </w:pPr>
    </w:p>
    <w:p>
      <w:pPr>
        <w:ind w:right="240" w:firstLine="324"/>
        <w:spacing w:after="0" w:line="286" w:lineRule="auto"/>
        <w:rPr>
          <w:rFonts w:ascii="Arial" w:cs="Arial" w:eastAsia="Arial" w:hAnsi="Arial"/>
          <w:sz w:val="18"/>
          <w:szCs w:val="18"/>
          <w:color w:val="auto"/>
        </w:rPr>
      </w:pPr>
      <w:r>
        <w:rPr>
          <w:rFonts w:ascii="Arial" w:cs="Arial" w:eastAsia="Arial" w:hAnsi="Arial"/>
          <w:sz w:val="17"/>
          <w:szCs w:val="17"/>
          <w:color w:val="auto"/>
        </w:rPr>
        <w:t>FF II MGMT, in its capacity as being the sole general partner of FF II GP, controls and manages FF II GP. FF II MGMT, in its capacity as the general partner of FF II GP, has the voting and dispositive power over the Ordinary Shares beneficially owned by FF II GP. Accordingly, FF II MGMT may be deemed to be the indirect beneficial owner of the Ordinary Shares deemed to be indirectly and beneficially owned by FF II GP.</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Ownership of Five Percent or Less of a Class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Ownership of More than Five Percent on Behalf of Another Person.</w:t>
      </w:r>
    </w:p>
    <w:p>
      <w:pPr>
        <w:spacing w:after="0" w:line="229" w:lineRule="exact"/>
        <w:rPr>
          <w:sz w:val="20"/>
          <w:szCs w:val="20"/>
          <w:color w:val="auto"/>
        </w:rPr>
      </w:pPr>
    </w:p>
    <w:p>
      <w:pPr>
        <w:ind w:right="180" w:firstLine="332"/>
        <w:spacing w:after="0" w:line="277" w:lineRule="auto"/>
        <w:tabs>
          <w:tab w:leader="none" w:pos="569" w:val="left"/>
        </w:tabs>
        <w:numPr>
          <w:ilvl w:val="0"/>
          <w:numId w:val="17"/>
        </w:numPr>
        <w:rPr>
          <w:rFonts w:ascii="Arial" w:cs="Arial" w:eastAsia="Arial" w:hAnsi="Arial"/>
          <w:sz w:val="18"/>
          <w:szCs w:val="18"/>
          <w:color w:val="auto"/>
        </w:rPr>
      </w:pPr>
      <w:r>
        <w:rPr>
          <w:rFonts w:ascii="Arial" w:cs="Arial" w:eastAsia="Arial" w:hAnsi="Arial"/>
          <w:sz w:val="18"/>
          <w:szCs w:val="18"/>
          <w:color w:val="auto"/>
        </w:rPr>
        <w:t>II GP is the general partner of FF II and as such makes decisions on behalf of FF II, but does not have the right to receive or the power to direct the receipt of dividends from, or the proceeds from the sale of securities of the Issuer.</w:t>
      </w:r>
    </w:p>
    <w:p>
      <w:pPr>
        <w:spacing w:after="0" w:line="170" w:lineRule="exact"/>
        <w:rPr>
          <w:sz w:val="20"/>
          <w:szCs w:val="20"/>
          <w:color w:val="auto"/>
        </w:rPr>
      </w:pPr>
    </w:p>
    <w:p>
      <w:pPr>
        <w:ind w:right="200" w:firstLine="332"/>
        <w:spacing w:after="0" w:line="277" w:lineRule="auto"/>
        <w:tabs>
          <w:tab w:leader="none" w:pos="569" w:val="left"/>
        </w:tabs>
        <w:numPr>
          <w:ilvl w:val="0"/>
          <w:numId w:val="18"/>
        </w:numPr>
        <w:rPr>
          <w:rFonts w:ascii="Arial" w:cs="Arial" w:eastAsia="Arial" w:hAnsi="Arial"/>
          <w:sz w:val="18"/>
          <w:szCs w:val="18"/>
          <w:color w:val="auto"/>
        </w:rPr>
      </w:pPr>
      <w:r>
        <w:rPr>
          <w:rFonts w:ascii="Arial" w:cs="Arial" w:eastAsia="Arial" w:hAnsi="Arial"/>
          <w:sz w:val="18"/>
          <w:szCs w:val="18"/>
          <w:color w:val="auto"/>
        </w:rPr>
        <w:t>II MGMT the general partner of FF II GP and as such makes decisions on behalf of FF II GP, but does not have the right to receive or the power to direct the receipt of dividends from, or the proceeds from the sale of securities of the Issuer.</w:t>
      </w:r>
    </w:p>
    <w:p>
      <w:pPr>
        <w:spacing w:after="0" w:line="166" w:lineRule="exact"/>
        <w:rPr>
          <w:sz w:val="20"/>
          <w:szCs w:val="20"/>
          <w:color w:val="auto"/>
        </w:rPr>
      </w:pPr>
    </w:p>
    <w:p>
      <w:pPr>
        <w:ind w:left="660" w:right="320" w:hanging="647"/>
        <w:spacing w:after="0" w:line="282" w:lineRule="auto"/>
        <w:rPr>
          <w:sz w:val="20"/>
          <w:szCs w:val="20"/>
          <w:color w:val="auto"/>
        </w:rPr>
      </w:pPr>
      <w:r>
        <w:rPr>
          <w:rFonts w:ascii="Arial" w:cs="Arial" w:eastAsia="Arial" w:hAnsi="Arial"/>
          <w:sz w:val="18"/>
          <w:szCs w:val="18"/>
          <w:b w:val="1"/>
          <w:bCs w:val="1"/>
          <w:color w:val="auto"/>
        </w:rPr>
        <w:t>Item 7. Identification and Classification of the Subsidiary Which Acquired the Security Being Reported on By the Parent Holding Company or Control Person</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Identification and Classification of Members of the Group</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See the Joint Filing Agreement attached as Exhibit 1 to Schedule 13G filed by the Reporting Persons on February 18, 2016, which is incorporated herein by reference</w:t>
      </w:r>
      <w:r>
        <w:rPr>
          <w:rFonts w:ascii="Arial" w:cs="Arial" w:eastAsia="Arial" w:hAnsi="Arial"/>
          <w:sz w:val="18"/>
          <w:szCs w:val="18"/>
          <w:b w:val="1"/>
          <w:bCs w:val="1"/>
          <w:color w:val="auto"/>
        </w:rPr>
        <w: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Notice of Dissolution of Group</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10.Certifications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Page 7 of 8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340"/>
          </w:cols>
          <w:pgMar w:left="240" w:top="341" w:right="319" w:bottom="1440" w:gutter="0" w:footer="0" w:header="0"/>
        </w:sectPr>
      </w:pPr>
    </w:p>
    <w:bookmarkStart w:id="7" w:name="page8"/>
    <w:bookmarkEnd w:id="7"/>
    <w:p>
      <w:pPr>
        <w:jc w:val="center"/>
        <w:ind w:right="-59"/>
        <w:spacing w:after="0"/>
        <w:rPr>
          <w:sz w:val="20"/>
          <w:szCs w:val="20"/>
          <w:color w:val="auto"/>
        </w:rPr>
      </w:pPr>
      <w:r>
        <w:rPr>
          <w:rFonts w:ascii="Arial" w:cs="Arial" w:eastAsia="Arial" w:hAnsi="Arial"/>
          <w:sz w:val="18"/>
          <w:szCs w:val="18"/>
          <w:b w:val="1"/>
          <w:bCs w:val="1"/>
          <w:u w:val="single" w:color="auto"/>
          <w:color w:val="auto"/>
        </w:rPr>
        <w:t>Exhibit Index</w:t>
      </w:r>
    </w:p>
    <w:p>
      <w:pPr>
        <w:spacing w:after="0" w:line="229" w:lineRule="exact"/>
        <w:rPr>
          <w:sz w:val="20"/>
          <w:szCs w:val="20"/>
          <w:color w:val="auto"/>
        </w:rPr>
      </w:pPr>
    </w:p>
    <w:p>
      <w:pPr>
        <w:ind w:left="920" w:hanging="917"/>
        <w:spacing w:after="0" w:line="277" w:lineRule="auto"/>
        <w:tabs>
          <w:tab w:leader="none" w:pos="900" w:val="left"/>
        </w:tabs>
        <w:rPr>
          <w:rFonts w:ascii="Arial" w:cs="Arial" w:eastAsia="Arial" w:hAnsi="Arial"/>
          <w:sz w:val="18"/>
          <w:szCs w:val="18"/>
          <w:u w:val="single" w:color="auto"/>
          <w:color w:val="0000EE"/>
        </w:rPr>
      </w:pPr>
      <w:hyperlink r:id="rId51">
        <w:r>
          <w:rPr>
            <w:rFonts w:ascii="Arial" w:cs="Arial" w:eastAsia="Arial" w:hAnsi="Arial"/>
            <w:sz w:val="18"/>
            <w:szCs w:val="18"/>
            <w:u w:val="single" w:color="auto"/>
            <w:color w:val="0000EE"/>
          </w:rPr>
          <w:t>Exhibit 1.</w:t>
        </w:r>
      </w:hyperlink>
      <w:r>
        <w:rPr>
          <w:rFonts w:ascii="Arial" w:cs="Arial" w:eastAsia="Arial" w:hAnsi="Arial"/>
          <w:sz w:val="18"/>
          <w:szCs w:val="18"/>
          <w:u w:val="single" w:color="auto"/>
          <w:color w:val="0000EE"/>
        </w:rPr>
        <w:tab/>
      </w:r>
      <w:hyperlink r:id="rId51">
        <w:r>
          <w:rPr>
            <w:rFonts w:ascii="Arial" w:cs="Arial" w:eastAsia="Arial" w:hAnsi="Arial"/>
            <w:sz w:val="18"/>
            <w:szCs w:val="18"/>
            <w:u w:val="single" w:color="auto"/>
            <w:color w:val="0000EE"/>
          </w:rPr>
          <w:t>Joint Filing Agreement as required by Rule 13d-1(k)(1) under the Securities Exchange Act of 1934, as amended (filed as Exhibit 1 to the</w:t>
        </w:r>
      </w:hyperlink>
      <w:r>
        <w:rPr>
          <w:rFonts w:ascii="Arial" w:cs="Arial" w:eastAsia="Arial" w:hAnsi="Arial"/>
          <w:sz w:val="18"/>
          <w:szCs w:val="18"/>
          <w:u w:val="single" w:color="auto"/>
          <w:color w:val="0000EE"/>
        </w:rPr>
        <w:t xml:space="preserve"> </w:t>
      </w:r>
      <w:hyperlink r:id="rId51">
        <w:r>
          <w:rPr>
            <w:rFonts w:ascii="Arial" w:cs="Arial" w:eastAsia="Arial" w:hAnsi="Arial"/>
            <w:sz w:val="18"/>
            <w:szCs w:val="18"/>
            <w:u w:val="single" w:color="auto"/>
            <w:color w:val="0000EE"/>
          </w:rPr>
          <w:t>Schedule 13G filed by the Reporting Persons on February 18, 2016).</w:t>
        </w:r>
      </w:hyperlink>
    </w:p>
    <w:p>
      <w:pPr>
        <w:spacing w:after="0" w:line="166" w:lineRule="exact"/>
        <w:rPr>
          <w:rFonts w:ascii="Arial" w:cs="Arial" w:eastAsia="Arial" w:hAnsi="Arial"/>
          <w:sz w:val="18"/>
          <w:szCs w:val="18"/>
          <w:u w:val="single" w:color="auto"/>
          <w:color w:val="0000EE"/>
        </w:rPr>
      </w:pPr>
    </w:p>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229" w:lineRule="exact"/>
        <w:rPr>
          <w:rFonts w:ascii="Arial" w:cs="Arial" w:eastAsia="Arial" w:hAnsi="Arial"/>
          <w:sz w:val="18"/>
          <w:szCs w:val="18"/>
          <w:u w:val="single" w:color="auto"/>
          <w:color w:val="0000EE"/>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rFonts w:ascii="Arial" w:cs="Arial" w:eastAsia="Arial" w:hAnsi="Arial"/>
          <w:sz w:val="18"/>
          <w:szCs w:val="18"/>
          <w:u w:val="single" w:color="auto"/>
          <w:color w:val="0000EE"/>
        </w:rPr>
      </w:pPr>
    </w:p>
    <w:p>
      <w:pPr>
        <w:spacing w:after="0"/>
        <w:rPr>
          <w:sz w:val="20"/>
          <w:szCs w:val="20"/>
          <w:color w:val="auto"/>
        </w:rPr>
      </w:pPr>
      <w:r>
        <w:rPr>
          <w:rFonts w:ascii="Arial" w:cs="Arial" w:eastAsia="Arial" w:hAnsi="Arial"/>
          <w:sz w:val="18"/>
          <w:szCs w:val="18"/>
          <w:color w:val="auto"/>
        </w:rPr>
        <w:t>correct.</w:t>
      </w:r>
    </w:p>
    <w:p>
      <w:pPr>
        <w:spacing w:after="0" w:line="211" w:lineRule="exact"/>
        <w:rPr>
          <w:rFonts w:ascii="Arial" w:cs="Arial" w:eastAsia="Arial" w:hAnsi="Arial"/>
          <w:sz w:val="18"/>
          <w:szCs w:val="18"/>
          <w:u w:val="single" w:color="auto"/>
          <w:color w:val="0000EE"/>
        </w:rPr>
      </w:pPr>
    </w:p>
    <w:p>
      <w:pPr>
        <w:spacing w:after="0"/>
        <w:rPr>
          <w:sz w:val="20"/>
          <w:szCs w:val="20"/>
          <w:color w:val="auto"/>
        </w:rPr>
      </w:pPr>
      <w:r>
        <w:rPr>
          <w:rFonts w:ascii="Arial" w:cs="Arial" w:eastAsia="Arial" w:hAnsi="Arial"/>
          <w:sz w:val="18"/>
          <w:szCs w:val="18"/>
          <w:color w:val="auto"/>
        </w:rPr>
        <w:t>Dated: February 12, 2018</w:t>
      </w:r>
    </w:p>
    <w:p>
      <w:pPr>
        <w:spacing w:after="0" w:line="221" w:lineRule="exact"/>
        <w:rPr>
          <w:rFonts w:ascii="Arial" w:cs="Arial" w:eastAsia="Arial" w:hAnsi="Arial"/>
          <w:sz w:val="18"/>
          <w:szCs w:val="18"/>
          <w:u w:val="single" w:color="auto"/>
          <w:color w:val="0000EE"/>
        </w:rPr>
      </w:pPr>
    </w:p>
    <w:p>
      <w:pPr>
        <w:ind w:left="580"/>
        <w:spacing w:after="0"/>
        <w:rPr>
          <w:sz w:val="20"/>
          <w:szCs w:val="20"/>
          <w:color w:val="auto"/>
        </w:rPr>
      </w:pPr>
      <w:r>
        <w:rPr>
          <w:rFonts w:ascii="Arial" w:cs="Arial" w:eastAsia="Arial" w:hAnsi="Arial"/>
          <w:sz w:val="18"/>
          <w:szCs w:val="18"/>
          <w:b w:val="1"/>
          <w:bCs w:val="1"/>
          <w:color w:val="auto"/>
        </w:rPr>
        <w:t>Fortissimo Capital Fund II (Israel) L.P.</w:t>
      </w:r>
    </w:p>
    <w:p>
      <w:pPr>
        <w:spacing w:after="0" w:line="229" w:lineRule="exact"/>
        <w:rPr>
          <w:rFonts w:ascii="Arial" w:cs="Arial" w:eastAsia="Arial" w:hAnsi="Arial"/>
          <w:sz w:val="18"/>
          <w:szCs w:val="18"/>
          <w:u w:val="single" w:color="auto"/>
          <w:color w:val="0000EE"/>
        </w:rPr>
      </w:pPr>
    </w:p>
    <w:p>
      <w:pPr>
        <w:ind w:left="580"/>
        <w:spacing w:after="0"/>
        <w:rPr>
          <w:sz w:val="20"/>
          <w:szCs w:val="20"/>
          <w:color w:val="auto"/>
        </w:rPr>
      </w:pPr>
      <w:r>
        <w:rPr>
          <w:rFonts w:ascii="Arial" w:cs="Arial" w:eastAsia="Arial" w:hAnsi="Arial"/>
          <w:sz w:val="18"/>
          <w:szCs w:val="18"/>
          <w:color w:val="auto"/>
        </w:rPr>
        <w:t>By its General Partner</w:t>
      </w:r>
    </w:p>
    <w:p>
      <w:pPr>
        <w:spacing w:after="0" w:line="221" w:lineRule="exact"/>
        <w:rPr>
          <w:rFonts w:ascii="Arial" w:cs="Arial" w:eastAsia="Arial" w:hAnsi="Arial"/>
          <w:sz w:val="18"/>
          <w:szCs w:val="18"/>
          <w:u w:val="single" w:color="auto"/>
          <w:color w:val="0000EE"/>
        </w:rPr>
      </w:pPr>
    </w:p>
    <w:p>
      <w:pPr>
        <w:ind w:left="580"/>
        <w:spacing w:after="0"/>
        <w:rPr>
          <w:sz w:val="20"/>
          <w:szCs w:val="20"/>
          <w:color w:val="auto"/>
        </w:rPr>
      </w:pPr>
      <w:r>
        <w:rPr>
          <w:rFonts w:ascii="Arial" w:cs="Arial" w:eastAsia="Arial" w:hAnsi="Arial"/>
          <w:sz w:val="18"/>
          <w:szCs w:val="18"/>
          <w:b w:val="1"/>
          <w:bCs w:val="1"/>
          <w:color w:val="auto"/>
        </w:rPr>
        <w:t>Fortissimo Capital Fund II (GP), L.P.</w:t>
      </w:r>
    </w:p>
    <w:p>
      <w:pPr>
        <w:spacing w:after="0" w:line="229" w:lineRule="exact"/>
        <w:rPr>
          <w:rFonts w:ascii="Arial" w:cs="Arial" w:eastAsia="Arial" w:hAnsi="Arial"/>
          <w:sz w:val="18"/>
          <w:szCs w:val="18"/>
          <w:u w:val="single" w:color="auto"/>
          <w:color w:val="0000EE"/>
        </w:rPr>
      </w:pPr>
    </w:p>
    <w:p>
      <w:pPr>
        <w:ind w:left="580"/>
        <w:spacing w:after="0"/>
        <w:rPr>
          <w:sz w:val="20"/>
          <w:szCs w:val="20"/>
          <w:color w:val="auto"/>
        </w:rPr>
      </w:pPr>
      <w:r>
        <w:rPr>
          <w:rFonts w:ascii="Arial" w:cs="Arial" w:eastAsia="Arial" w:hAnsi="Arial"/>
          <w:sz w:val="18"/>
          <w:szCs w:val="18"/>
          <w:color w:val="auto"/>
        </w:rPr>
        <w:t>By its General Partner</w:t>
      </w:r>
    </w:p>
    <w:p>
      <w:pPr>
        <w:spacing w:after="0" w:line="221" w:lineRule="exact"/>
        <w:rPr>
          <w:rFonts w:ascii="Arial" w:cs="Arial" w:eastAsia="Arial" w:hAnsi="Arial"/>
          <w:sz w:val="18"/>
          <w:szCs w:val="18"/>
          <w:u w:val="single" w:color="auto"/>
          <w:color w:val="0000EE"/>
        </w:rPr>
      </w:pPr>
    </w:p>
    <w:p>
      <w:pPr>
        <w:ind w:left="580"/>
        <w:spacing w:after="0"/>
        <w:rPr>
          <w:sz w:val="20"/>
          <w:szCs w:val="20"/>
          <w:color w:val="auto"/>
        </w:rPr>
      </w:pPr>
      <w:r>
        <w:rPr>
          <w:rFonts w:ascii="Arial" w:cs="Arial" w:eastAsia="Arial" w:hAnsi="Arial"/>
          <w:sz w:val="18"/>
          <w:szCs w:val="18"/>
          <w:b w:val="1"/>
          <w:bCs w:val="1"/>
          <w:color w:val="auto"/>
        </w:rPr>
        <w:t>Fortissimo Capital 2 Management (GP) Ltd.</w:t>
      </w:r>
    </w:p>
    <w:p>
      <w:pPr>
        <w:spacing w:after="0" w:line="229" w:lineRule="exact"/>
        <w:rPr>
          <w:rFonts w:ascii="Arial" w:cs="Arial" w:eastAsia="Arial" w:hAnsi="Arial"/>
          <w:sz w:val="18"/>
          <w:szCs w:val="18"/>
          <w:u w:val="single" w:color="auto"/>
          <w:color w:val="0000EE"/>
        </w:rPr>
      </w:pPr>
    </w:p>
    <w:p>
      <w:pPr>
        <w:ind w:left="580"/>
        <w:spacing w:after="0"/>
        <w:rPr>
          <w:sz w:val="20"/>
          <w:szCs w:val="20"/>
          <w:color w:val="auto"/>
        </w:rPr>
      </w:pPr>
      <w:r>
        <w:rPr>
          <w:rFonts w:ascii="Arial" w:cs="Arial" w:eastAsia="Arial" w:hAnsi="Arial"/>
          <w:sz w:val="18"/>
          <w:szCs w:val="18"/>
          <w:color w:val="auto"/>
        </w:rPr>
        <w:t>/s/ Yuval Cohen</w:t>
      </w:r>
    </w:p>
    <w:p>
      <w:pPr>
        <w:spacing w:after="0" w:line="23" w:lineRule="exact"/>
        <w:rPr>
          <w:rFonts w:ascii="Arial" w:cs="Arial" w:eastAsia="Arial" w:hAnsi="Arial"/>
          <w:sz w:val="18"/>
          <w:szCs w:val="18"/>
          <w:u w:val="single" w:color="auto"/>
          <w:color w:val="0000EE"/>
        </w:rPr>
      </w:pPr>
    </w:p>
    <w:p>
      <w:pPr>
        <w:ind w:left="580"/>
        <w:spacing w:after="0"/>
        <w:rPr>
          <w:sz w:val="20"/>
          <w:szCs w:val="20"/>
          <w:color w:val="auto"/>
        </w:rPr>
      </w:pPr>
      <w:r>
        <w:rPr>
          <w:rFonts w:ascii="Arial" w:cs="Arial" w:eastAsia="Arial" w:hAnsi="Arial"/>
          <w:sz w:val="18"/>
          <w:szCs w:val="18"/>
          <w:color w:val="auto"/>
        </w:rPr>
        <w:t>Yuval Cohen, Director</w:t>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374015</wp:posOffset>
            </wp:positionH>
            <wp:positionV relativeFrom="paragraph">
              <wp:posOffset>-130810</wp:posOffset>
            </wp:positionV>
            <wp:extent cx="311277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200" w:lineRule="exact"/>
        <w:rPr>
          <w:rFonts w:ascii="Arial" w:cs="Arial" w:eastAsia="Arial" w:hAnsi="Arial"/>
          <w:sz w:val="18"/>
          <w:szCs w:val="18"/>
          <w:u w:val="single" w:color="auto"/>
          <w:color w:val="0000EE"/>
        </w:rPr>
      </w:pPr>
    </w:p>
    <w:p>
      <w:pPr>
        <w:ind w:left="580"/>
        <w:spacing w:after="0"/>
        <w:rPr>
          <w:sz w:val="20"/>
          <w:szCs w:val="20"/>
          <w:color w:val="auto"/>
        </w:rPr>
      </w:pPr>
      <w:r>
        <w:rPr>
          <w:rFonts w:ascii="Arial" w:cs="Arial" w:eastAsia="Arial" w:hAnsi="Arial"/>
          <w:sz w:val="18"/>
          <w:szCs w:val="18"/>
          <w:b w:val="1"/>
          <w:bCs w:val="1"/>
          <w:color w:val="auto"/>
        </w:rPr>
        <w:t>Fortissimo Capital Fund II (GP), L.P.</w:t>
      </w:r>
    </w:p>
    <w:p>
      <w:pPr>
        <w:spacing w:after="0" w:line="229" w:lineRule="exact"/>
        <w:rPr>
          <w:rFonts w:ascii="Arial" w:cs="Arial" w:eastAsia="Arial" w:hAnsi="Arial"/>
          <w:sz w:val="18"/>
          <w:szCs w:val="18"/>
          <w:u w:val="single" w:color="auto"/>
          <w:color w:val="0000EE"/>
        </w:rPr>
      </w:pPr>
    </w:p>
    <w:p>
      <w:pPr>
        <w:ind w:left="580"/>
        <w:spacing w:after="0"/>
        <w:rPr>
          <w:sz w:val="20"/>
          <w:szCs w:val="20"/>
          <w:color w:val="auto"/>
        </w:rPr>
      </w:pPr>
      <w:r>
        <w:rPr>
          <w:rFonts w:ascii="Arial" w:cs="Arial" w:eastAsia="Arial" w:hAnsi="Arial"/>
          <w:sz w:val="18"/>
          <w:szCs w:val="18"/>
          <w:color w:val="auto"/>
        </w:rPr>
        <w:t>By its General Partner:</w:t>
      </w:r>
    </w:p>
    <w:p>
      <w:pPr>
        <w:spacing w:after="0" w:line="221" w:lineRule="exact"/>
        <w:rPr>
          <w:rFonts w:ascii="Arial" w:cs="Arial" w:eastAsia="Arial" w:hAnsi="Arial"/>
          <w:sz w:val="18"/>
          <w:szCs w:val="18"/>
          <w:u w:val="single" w:color="auto"/>
          <w:color w:val="0000EE"/>
        </w:rPr>
      </w:pPr>
    </w:p>
    <w:p>
      <w:pPr>
        <w:ind w:left="580"/>
        <w:spacing w:after="0"/>
        <w:rPr>
          <w:sz w:val="20"/>
          <w:szCs w:val="20"/>
          <w:color w:val="auto"/>
        </w:rPr>
      </w:pPr>
      <w:r>
        <w:rPr>
          <w:rFonts w:ascii="Arial" w:cs="Arial" w:eastAsia="Arial" w:hAnsi="Arial"/>
          <w:sz w:val="18"/>
          <w:szCs w:val="18"/>
          <w:b w:val="1"/>
          <w:bCs w:val="1"/>
          <w:color w:val="auto"/>
        </w:rPr>
        <w:t>Fortissimo Capital 2 Management (GP) Ltd.</w:t>
      </w:r>
    </w:p>
    <w:p>
      <w:pPr>
        <w:spacing w:after="0" w:line="229" w:lineRule="exact"/>
        <w:rPr>
          <w:rFonts w:ascii="Arial" w:cs="Arial" w:eastAsia="Arial" w:hAnsi="Arial"/>
          <w:sz w:val="18"/>
          <w:szCs w:val="18"/>
          <w:u w:val="single" w:color="auto"/>
          <w:color w:val="0000EE"/>
        </w:rPr>
      </w:pPr>
    </w:p>
    <w:p>
      <w:pPr>
        <w:ind w:left="580"/>
        <w:spacing w:after="0"/>
        <w:rPr>
          <w:sz w:val="20"/>
          <w:szCs w:val="20"/>
          <w:color w:val="auto"/>
        </w:rPr>
      </w:pPr>
      <w:r>
        <w:rPr>
          <w:rFonts w:ascii="Arial" w:cs="Arial" w:eastAsia="Arial" w:hAnsi="Arial"/>
          <w:sz w:val="18"/>
          <w:szCs w:val="18"/>
          <w:color w:val="auto"/>
        </w:rPr>
        <w:t>/s/ Yuval Cohen</w:t>
      </w:r>
    </w:p>
    <w:p>
      <w:pPr>
        <w:spacing w:after="0" w:line="23" w:lineRule="exact"/>
        <w:rPr>
          <w:rFonts w:ascii="Arial" w:cs="Arial" w:eastAsia="Arial" w:hAnsi="Arial"/>
          <w:sz w:val="18"/>
          <w:szCs w:val="18"/>
          <w:u w:val="single" w:color="auto"/>
          <w:color w:val="0000EE"/>
        </w:rPr>
      </w:pPr>
    </w:p>
    <w:p>
      <w:pPr>
        <w:ind w:left="580"/>
        <w:spacing w:after="0"/>
        <w:rPr>
          <w:sz w:val="20"/>
          <w:szCs w:val="20"/>
          <w:color w:val="auto"/>
        </w:rPr>
      </w:pPr>
      <w:r>
        <w:rPr>
          <w:rFonts w:ascii="Arial" w:cs="Arial" w:eastAsia="Arial" w:hAnsi="Arial"/>
          <w:sz w:val="18"/>
          <w:szCs w:val="18"/>
          <w:color w:val="auto"/>
        </w:rPr>
        <w:t>Yuval Cohen, Director</w:t>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374015</wp:posOffset>
            </wp:positionH>
            <wp:positionV relativeFrom="paragraph">
              <wp:posOffset>-130810</wp:posOffset>
            </wp:positionV>
            <wp:extent cx="311277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200" w:lineRule="exact"/>
        <w:rPr>
          <w:rFonts w:ascii="Arial" w:cs="Arial" w:eastAsia="Arial" w:hAnsi="Arial"/>
          <w:sz w:val="18"/>
          <w:szCs w:val="18"/>
          <w:u w:val="single" w:color="auto"/>
          <w:color w:val="0000EE"/>
        </w:rPr>
      </w:pPr>
    </w:p>
    <w:p>
      <w:pPr>
        <w:ind w:left="580"/>
        <w:spacing w:after="0"/>
        <w:rPr>
          <w:sz w:val="20"/>
          <w:szCs w:val="20"/>
          <w:color w:val="auto"/>
        </w:rPr>
      </w:pPr>
      <w:r>
        <w:rPr>
          <w:rFonts w:ascii="Arial" w:cs="Arial" w:eastAsia="Arial" w:hAnsi="Arial"/>
          <w:sz w:val="18"/>
          <w:szCs w:val="18"/>
          <w:b w:val="1"/>
          <w:bCs w:val="1"/>
          <w:color w:val="auto"/>
        </w:rPr>
        <w:t>Fortissimo Capital 2 Management (GP) Ltd.</w:t>
      </w:r>
    </w:p>
    <w:p>
      <w:pPr>
        <w:spacing w:after="0" w:line="229" w:lineRule="exact"/>
        <w:rPr>
          <w:rFonts w:ascii="Arial" w:cs="Arial" w:eastAsia="Arial" w:hAnsi="Arial"/>
          <w:sz w:val="18"/>
          <w:szCs w:val="18"/>
          <w:u w:val="single" w:color="auto"/>
          <w:color w:val="0000EE"/>
        </w:rPr>
      </w:pPr>
    </w:p>
    <w:p>
      <w:pPr>
        <w:ind w:left="580"/>
        <w:spacing w:after="0"/>
        <w:rPr>
          <w:sz w:val="20"/>
          <w:szCs w:val="20"/>
          <w:color w:val="auto"/>
        </w:rPr>
      </w:pPr>
      <w:r>
        <w:rPr>
          <w:rFonts w:ascii="Arial" w:cs="Arial" w:eastAsia="Arial" w:hAnsi="Arial"/>
          <w:sz w:val="18"/>
          <w:szCs w:val="18"/>
          <w:color w:val="auto"/>
        </w:rPr>
        <w:t>/s/ Yuval Cohen</w:t>
      </w:r>
    </w:p>
    <w:p>
      <w:pPr>
        <w:spacing w:after="0" w:line="23" w:lineRule="exact"/>
        <w:rPr>
          <w:rFonts w:ascii="Arial" w:cs="Arial" w:eastAsia="Arial" w:hAnsi="Arial"/>
          <w:sz w:val="18"/>
          <w:szCs w:val="18"/>
          <w:u w:val="single" w:color="auto"/>
          <w:color w:val="0000EE"/>
        </w:rPr>
      </w:pPr>
    </w:p>
    <w:p>
      <w:pPr>
        <w:ind w:left="580"/>
        <w:spacing w:after="0"/>
        <w:rPr>
          <w:sz w:val="20"/>
          <w:szCs w:val="20"/>
          <w:color w:val="auto"/>
        </w:rPr>
      </w:pPr>
      <w:r>
        <w:rPr>
          <w:rFonts w:ascii="Arial" w:cs="Arial" w:eastAsia="Arial" w:hAnsi="Arial"/>
          <w:sz w:val="18"/>
          <w:szCs w:val="18"/>
          <w:color w:val="auto"/>
        </w:rPr>
        <w:t>Yuval Cohen, Director</w:t>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374015</wp:posOffset>
            </wp:positionH>
            <wp:positionV relativeFrom="paragraph">
              <wp:posOffset>-130810</wp:posOffset>
            </wp:positionV>
            <wp:extent cx="311277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312" w:lineRule="exact"/>
        <w:rPr>
          <w:rFonts w:ascii="Arial" w:cs="Arial" w:eastAsia="Arial" w:hAnsi="Arial"/>
          <w:sz w:val="18"/>
          <w:szCs w:val="18"/>
          <w:u w:val="single" w:color="auto"/>
          <w:color w:val="0000EE"/>
        </w:rPr>
      </w:pPr>
    </w:p>
    <w:p>
      <w:pPr>
        <w:jc w:val="center"/>
        <w:ind w:right="-19"/>
        <w:spacing w:after="0"/>
        <w:rPr>
          <w:sz w:val="20"/>
          <w:szCs w:val="20"/>
          <w:color w:val="auto"/>
        </w:rPr>
      </w:pPr>
      <w:r>
        <w:rPr>
          <w:rFonts w:ascii="Arial" w:cs="Arial" w:eastAsia="Arial" w:hAnsi="Arial"/>
          <w:sz w:val="18"/>
          <w:szCs w:val="18"/>
          <w:color w:val="auto"/>
        </w:rPr>
        <w:t>Page 8 of 8 pages</w:t>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sectPr>
      <w:pgSz w:w="11900" w:h="16838" w:orient="portrait"/>
      <w:cols w:equalWidth="0" w:num="1">
        <w:col w:w="11400"/>
      </w:cols>
      <w:pgMar w:left="240" w:top="337"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1."/>
      <w:numFmt w:val="decimal"/>
      <w:start w:val="1"/>
    </w:lvl>
  </w:abstractNum>
  <w:abstractNum w:abstractNumId="3">
    <w:nsid w:val="1F16E9E8"/>
    <w:multiLevelType w:val="hybridMultilevel"/>
    <w:lvl w:ilvl="0">
      <w:lvlJc w:val="left"/>
      <w:lvlText w:val="%1."/>
      <w:numFmt w:val="decimal"/>
      <w:start w:val="3"/>
    </w:lvl>
  </w:abstractNum>
  <w:abstractNum w:abstractNumId="4">
    <w:nsid w:val="1190CDE7"/>
    <w:multiLevelType w:val="hybridMultilevel"/>
    <w:lvl w:ilvl="0">
      <w:lvlJc w:val="left"/>
      <w:lvlText w:val="%1."/>
      <w:numFmt w:val="decimal"/>
      <w:start w:val="1"/>
    </w:lvl>
    <w:lvl w:ilvl="1">
      <w:lvlJc w:val="left"/>
      <w:lvlText w:val="☒"/>
      <w:numFmt w:val="bullet"/>
      <w:start w:val="1"/>
    </w:lvl>
  </w:abstractNum>
  <w:abstractNum w:abstractNumId="5">
    <w:nsid w:val="66EF438D"/>
    <w:multiLevelType w:val="hybridMultilevel"/>
    <w:lvl w:ilvl="0">
      <w:lvlJc w:val="left"/>
      <w:lvlText w:val="%1."/>
      <w:numFmt w:val="decimal"/>
      <w:start w:val="2"/>
    </w:lvl>
    <w:lvl w:ilvl="1">
      <w:lvlJc w:val="left"/>
      <w:lvlText w:val="☐"/>
      <w:numFmt w:val="bullet"/>
      <w:start w:val="1"/>
    </w:lvl>
  </w:abstractNum>
  <w:abstractNum w:abstractNumId="6">
    <w:nsid w:val="140E0F76"/>
    <w:multiLevelType w:val="hybridMultilevel"/>
    <w:lvl w:ilvl="0">
      <w:lvlJc w:val="left"/>
      <w:lvlText w:val="*"/>
      <w:numFmt w:val="bullet"/>
      <w:start w:val="1"/>
    </w:lvl>
    <w:lvl w:ilvl="1">
      <w:lvlJc w:val="left"/>
      <w:lvlText w:val="%2."/>
      <w:numFmt w:val="decimal"/>
      <w:start w:val="12"/>
    </w:lvl>
  </w:abstractNum>
  <w:abstractNum w:abstractNumId="7">
    <w:nsid w:val="3352255A"/>
    <w:multiLevelType w:val="hybridMultilevel"/>
    <w:lvl w:ilvl="0">
      <w:lvlJc w:val="left"/>
      <w:lvlText w:val="%1."/>
      <w:numFmt w:val="decimal"/>
      <w:start w:val="1"/>
    </w:lvl>
  </w:abstractNum>
  <w:abstractNum w:abstractNumId="8">
    <w:nsid w:val="109CF92E"/>
    <w:multiLevelType w:val="hybridMultilevel"/>
    <w:lvl w:ilvl="0">
      <w:lvlJc w:val="left"/>
      <w:lvlText w:val="%1."/>
      <w:numFmt w:val="decimal"/>
      <w:start w:val="2"/>
    </w:lvl>
    <w:lvl w:ilvl="1">
      <w:lvlJc w:val="left"/>
      <w:lvlText w:val="☒"/>
      <w:numFmt w:val="bullet"/>
      <w:start w:val="1"/>
    </w:lvl>
  </w:abstractNum>
  <w:abstractNum w:abstractNumId="9">
    <w:nsid w:val="DED7263"/>
    <w:multiLevelType w:val="hybridMultilevel"/>
    <w:lvl w:ilvl="0">
      <w:lvlJc w:val="left"/>
      <w:lvlText w:val="%1."/>
      <w:numFmt w:val="decimal"/>
      <w:start w:val="2"/>
    </w:lvl>
    <w:lvl w:ilvl="1">
      <w:lvlJc w:val="left"/>
      <w:lvlText w:val="☐"/>
      <w:numFmt w:val="bullet"/>
      <w:start w:val="1"/>
    </w:lvl>
  </w:abstractNum>
  <w:abstractNum w:abstractNumId="10">
    <w:nsid w:val="7FDCC233"/>
    <w:multiLevelType w:val="hybridMultilevel"/>
    <w:lvl w:ilvl="0">
      <w:lvlJc w:val="left"/>
      <w:lvlText w:val="*"/>
      <w:numFmt w:val="bullet"/>
      <w:start w:val="1"/>
    </w:lvl>
    <w:lvl w:ilvl="1">
      <w:lvlJc w:val="left"/>
      <w:lvlText w:val="%2."/>
      <w:numFmt w:val="decimal"/>
      <w:start w:val="12"/>
    </w:lvl>
  </w:abstractNum>
  <w:abstractNum w:abstractNumId="11">
    <w:nsid w:val="1BEFD79F"/>
    <w:multiLevelType w:val="hybridMultilevel"/>
    <w:lvl w:ilvl="0">
      <w:lvlJc w:val="left"/>
      <w:lvlText w:val="(%1)"/>
      <w:numFmt w:val="lowerLetter"/>
      <w:start w:val="1"/>
    </w:lvl>
  </w:abstractNum>
  <w:abstractNum w:abstractNumId="12">
    <w:nsid w:val="41A7C4C9"/>
    <w:multiLevelType w:val="hybridMultilevel"/>
    <w:lvl w:ilvl="0">
      <w:lvlJc w:val="left"/>
      <w:lvlText w:val="(%1)"/>
      <w:numFmt w:val="lowerLetter"/>
      <w:start w:val="1"/>
    </w:lvl>
  </w:abstractNum>
  <w:abstractNum w:abstractNumId="13">
    <w:nsid w:val="6B68079A"/>
    <w:multiLevelType w:val="hybridMultilevel"/>
    <w:lvl w:ilvl="0">
      <w:lvlJc w:val="left"/>
      <w:lvlText w:val="(%1)"/>
      <w:numFmt w:val="lowerLetter"/>
      <w:start w:val="5"/>
    </w:lvl>
  </w:abstractNum>
  <w:abstractNum w:abstractNumId="14">
    <w:nsid w:val="4E6AFB66"/>
    <w:multiLevelType w:val="hybridMultilevel"/>
    <w:lvl w:ilvl="0">
      <w:lvlJc w:val="left"/>
      <w:lvlText w:val="*"/>
      <w:numFmt w:val="bullet"/>
      <w:start w:val="1"/>
    </w:lvl>
  </w:abstractNum>
  <w:abstractNum w:abstractNumId="15">
    <w:nsid w:val="25E45D32"/>
    <w:multiLevelType w:val="hybridMultilevel"/>
    <w:lvl w:ilvl="0">
      <w:lvlJc w:val="left"/>
      <w:lvlText w:val="%1"/>
      <w:numFmt w:val="upperLetter"/>
      <w:start w:val="32"/>
    </w:lvl>
    <w:lvl w:ilvl="1">
      <w:lvlJc w:val="left"/>
      <w:lvlText w:val="%2"/>
      <w:numFmt w:val="upperLetter"/>
      <w:start w:val="1"/>
    </w:lvl>
  </w:abstractNum>
  <w:abstractNum w:abstractNumId="16">
    <w:nsid w:val="519B500D"/>
    <w:multiLevelType w:val="hybridMultilevel"/>
    <w:lvl w:ilvl="0">
      <w:lvlJc w:val="left"/>
      <w:lvlText w:val="%1"/>
      <w:numFmt w:val="upperLetter"/>
      <w:start w:val="32"/>
    </w:lvl>
  </w:abstractNum>
  <w:abstractNum w:abstractNumId="17">
    <w:nsid w:val="431BD7B7"/>
    <w:multiLevelType w:val="hybridMultilevel"/>
    <w:lvl w:ilvl="0">
      <w:lvlJc w:val="left"/>
      <w:lvlText w:val="%1"/>
      <w:numFmt w:val="upperLetter"/>
      <w:start w:val="3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1" Type="http://schemas.openxmlformats.org/officeDocument/2006/relationships/hyperlink" Target="http://www.sec.gov/Archives/edgar/data/1625791/000161577416004245/s102645_sc13g.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2019-12-08T12:05:48Z</dcterms:created>
  <dcterms:modified xsi:type="dcterms:W3CDTF">2019-12-08T12:05:48Z</dcterms:modified>
</cp:coreProperties>
</file>