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2022</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KORNIT DIGITAL LTD.</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ind w:left="512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Proxy Statement and Proxy Card for Annual Shareholder Meeting</w:t>
      </w:r>
    </w:p>
    <w:p>
      <w:pPr>
        <w:spacing w:after="0" w:line="225"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publishes notice of its 2022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which is scheduled to take place at 12:00 p.m. (Israel time) on Thursday, August 11, 2022, at Kornit’s offices at 12 Ha’Amal Street, Park Afek, Rosh Ha’Ayin, Israel.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Tuesday, July 5, 2022 are entitled to vote at the Meeting.</w:t>
      </w:r>
    </w:p>
    <w:p>
      <w:pPr>
        <w:spacing w:after="0" w:line="221"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Report of Foreign Private Issuer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is the Notice of 2022 Annual General Meeting of Shareholders, which contains information concerning the agenda for the Meeting, the required majority for approval of the proposals at the Meeting, the voting procedure and additional general matters related to the Meeting.</w:t>
      </w:r>
    </w:p>
    <w:p>
      <w:pPr>
        <w:spacing w:after="0" w:line="175"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Form 6-K is the Proxy Statement for the Meeting, which describes in greater detail each of the proposals to be presented at the Meeting, including background information related to the proposals, additional logistical information concerning the required vote and means of voting on the proposals, and general information concerning Kornit’s board of directors, corporate governance and significant shareholders.</w:t>
      </w:r>
    </w:p>
    <w:p>
      <w:pPr>
        <w:spacing w:after="0" w:line="176"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to this Form 6-K is the form of proxy card being distributed by Kornit to its shareholders of record as of the record date for the Meeting, which serves as the primary means for those shareholders to cast their votes on the proposals to be presented at the Meeting.</w:t>
      </w:r>
    </w:p>
    <w:p>
      <w:pPr>
        <w:spacing w:after="0" w:line="162" w:lineRule="exact"/>
        <w:rPr>
          <w:sz w:val="20"/>
          <w:szCs w:val="20"/>
          <w:color w:val="auto"/>
        </w:rPr>
      </w:pPr>
    </w:p>
    <w:p>
      <w:pPr>
        <w:jc w:val="both"/>
        <w:ind w:firstLine="63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contents of Exhibits 99.1, 99.2 and 99.3 to this Form 6-K are hereby incorporated by reference into the Company’s Registration Statements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333-248784) and Form S-8 (File No.’s</w:t>
      </w:r>
      <w:r>
        <w:rPr>
          <w:rFonts w:ascii="Times New Roman" w:cs="Times New Roman" w:eastAsia="Times New Roman" w:hAnsi="Times New Roman"/>
          <w:sz w:val="18"/>
          <w:szCs w:val="18"/>
          <w:color w:val="0000EE"/>
        </w:rPr>
        <w:t xml:space="preserve"> </w:t>
      </w:r>
      <w:hyperlink r:id="rId14">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5">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 xml:space="preserve">333-254749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000000"/>
        </w:rPr>
        <w:t>).</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June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Alon Rozner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19685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Notice of 2022 Annual General Meeting of Shareholders of Kornit Digital Ltd.</w:t>
      </w:r>
    </w:p>
    <w:p>
      <w:pPr>
        <w:spacing w:after="0" w:line="27"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Proxy Statement for 2022 Annual General Meeting of Shareholders of Kornit Digital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20" w:hanging="831"/>
        <w:spacing w:after="0" w:line="260" w:lineRule="auto"/>
        <w:tabs>
          <w:tab w:leader="none" w:pos="110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u w:val="single" w:color="auto"/>
          <w:color w:val="0000EE"/>
        </w:rPr>
        <w:t>Form of proxy card to be distributed to record shareholders of Kornit Digital Ltd. to enable them to vote at the 2022 Annual General Meeting of Shareholders of Kornit Digital Ltd.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60" w:top="90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2022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Kornit Digital Ltd. Shareholders: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the 2022 Annual General Meeting of Shareholders, or the Meeting, of Kornit Digital Ltd., or the Company, to be held at 12:00 p.m. (Israel time) on Thursday, August 11, 2022, at our offices at 12 Ha’Amal Street, Park Afek, Rosh Ha’Ayin, Israel.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Mr. Dov Ofer and Mr. Yehoshua (Shuki) Nir, and initial election of Mr. Jae Hyun (Jay) Lee, in each case for a three-year term as a Class I director of the Company, until the Company’s annual general meeting of shareholders in 2025 and until his successor is duly elected and qualified;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2022 and the additional period until the Company’s 2023 annual general meeting of shareholders, and authorization of the Company’s board of directors (or the audit committee thereof) to fix such accounting firm’s annual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Members of our management will be available at the Meeting to present and discuss our auditors’ report and consolidated financial statements as of, and for the year ended, December 31, 2021, as previously made available to our shareholders as part of our Annual Report on Form 20-F, which was filed with the Securities and Exchange Commission, or SEC, on March 30, 2022 and which is available at www.sec.gov and at the “Investors” section of our Company’s website, www.kornit.com.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unanimously recommends that you vote in favor of each of the above proposals, which are described in the proxy statement that will be distributed to you together with this Notice of 2022 Annual General Meeting of Shareholders.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Tuesday, July 5, 2022 are entitled to vote at the Meeting.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Meeting in person or by proxy and voting thereon (disregarding abstentions and broker non-votes) is necessary for the approval of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Accordingly, after reading this Notice of 2022 Annual General Meeting of Shareholders and the proxy statement for the Meeting, please mark, date, sign and mail the proxy card or voting instruction form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August 10, 2022, to be validly included in the tally of ordinary shares voted at the Meeting. If you are a street holder (i.e., you hold your shares through a bank, broker or other nominee) and are voting online (at www.proxyvote.com) or via telephone, your vote must be received by 11:59 p.m. Eastern time on August 9, 2022.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Companies Law and regulations promulgated thereunder, any shareholder of the Company holding at least 1% of the outstanding voting rights of the Company for the Meeting may submit to the Company a proposed additional agenda item for the Meeting, to the Company’s offices, 12 Ha’Amal Street, Park Afek, Rosh Ha’Ayin, Israel, Attention: Andrew Backman, Global Head of Investor Relations, email: Andrew.Backman@kornit.com, no later than Thursday, July 7, 2022. To the extent that there are any additional agenda items that the Board determines to add as a result of any such submission, the Company will publish an updated notice and proxy card with respect to the Meeting, no later than Thursday, July 14, 2022, to be furnished to the SEC under cover of a Report of Foreign Private Issuer on Form 6-K.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electronic copy of the enclosed proxy materials will be available for viewing at http://ir.kornit.com/. The full text of the proposed resolutions, together with the form of proxy card for the Meeting, may also be viewed beginning on July 12, 2022 at the registered office of the Company, 12 Ha’Amal Street, Park Afek, Rosh Ha’Ayin Israel, from Sunday to Thursday (excluding Israeli holidays), 10:00 a.m. to 5:00 p.m. (Israel time), upon prior coordination with the Company. Our telephone number at our registered office is +972-3-908-5800.</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Yuval Cohen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156845</wp:posOffset>
            </wp:positionV>
            <wp:extent cx="2494280" cy="994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4942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+972-3-908-5800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ANNUAL GENERAL MEETING OF SHAREHOLDERS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on behalf of the board of directors, or the Board, of Kornit Digital Ltd., to which we refer as Kornit Digital or the Company, to be voted at the Company’s 2022 Annual General Meeting of Shareholders, or the Meeting, and at any adjournment thereof, pursuant to the accompanying Notice of 2022 Annual General Meeting of Shareholders. The Meeting will be held at 12:00 p.m. (Israel time) on Thursday August 11, 2022, at our offices at 12 Ha’Amal Street, Park Afek, Rosh Ha’Ayin Israel.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the attached Notice of 2022 Annual General Meeting of Shareholders and the enclosed proxy card or voting instruction form are being made available on or about July 11, 2022 to holders of Kornit Digital ordinary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at the Meeting if you held ordinary shares as of the close of business on Tuesday, July 5, 2022,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is being called for the following purposes:</w:t>
      </w:r>
    </w:p>
    <w:p>
      <w:pPr>
        <w:spacing w:after="0" w:line="225" w:lineRule="exact"/>
        <w:rPr>
          <w:sz w:val="20"/>
          <w:szCs w:val="20"/>
          <w:color w:val="auto"/>
        </w:rPr>
      </w:pPr>
    </w:p>
    <w:p>
      <w:pPr>
        <w:jc w:val="both"/>
        <w:ind w:left="660" w:hanging="652"/>
        <w:spacing w:after="0" w:line="266" w:lineRule="auto"/>
        <w:tabs>
          <w:tab w:leader="none" w:pos="7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Mr. Yehoshua (Shuki) Nir and Mr. Dov Ofer, and initial election of Mr. Jae Hyun (Jay) Lee, in each case for a three-year term as a Class I director of the Company, until the Company’s annual general meeting of shareholders in 2025 and until his successor is duly elected and qualified;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7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2022 and the additional period until the Company’s 2023 annual general meeting of shareholders, and authorization of the Company’s board of directors (or the audit committee thereof) to fix such accounting firm’s annual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members of our management will be available at the Meeting to present and discuss our auditors’ report and consolidated financial statements as of, and for the year ended, December 31, 2021, as previously made available to our shareholders as part of our Annual Report on Form 20-F, which was filed with the Securities and Exchange Commission, or SEC, on March 30, 2022 and which is available at www.sec.gov and at the “Investors” section of our Company’s website, www.kornit.com.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Our Board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above proposals.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15, 2022, we had 49,784,664 ordinary shares issued and outstanding. Each ordinary share outstanding as of the close of business on the record date— July 5, 2022— is entitled to one vote upon each proposal to be presented at the Meeting. Under our articles of association, as amended, or the Articles,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 for Approval of the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Israeli Companies Law, 5759-1999, or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any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entitled to vote on the proposals for the Meeting if you are a shareholder of record at the close of business on Tuesday, July 5, 2022. You are also entitled to vote on the proposals if you held ordinary shares through a bank, broker or other nominee that is one of our shareholders of record at the close of business on Tuesday, July 5, 2022.</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Global Head of Investor Relations of our Company (as described under “How You Can Vote—Shareholders of Record” below). In the alternative, you may vote in person at the Meeting (subject to potential limitations on attending in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You Can Vote</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You can vote your shares by completing and signing a proxy card or voting instruction form (which voting instruction form may be submitted electronically (online) or via telephone as well). To the extent that health regulations allow, you can also vote your shares by attending the Meeting and voting then.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i w:val="1"/>
          <w:iCs w:val="1"/>
          <w:color w:val="auto"/>
        </w:rPr>
        <w:t>Shareholders of Record</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Andrew Backman, our Global Head of Investor Relations, via email to Andrew.Backman@kornit.com.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Thursday, August 11, 2022, or our registrar and transfer agent receives it in the enclosed envelope not later than noon, Eastern time, on Wednesday, August 10, 2022.</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Holders in “Street Name”</w:t>
      </w:r>
    </w:p>
    <w:p>
      <w:pPr>
        <w:spacing w:after="0" w:line="227"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forms. If mailing in your physical voting instruction form, your vote must be received by noon, Eastern time, on Wednesday, August 10, 2022 to be validly included in the tally of ordinary shares voted at the Meeting. If you provide your voting instructions online (at www.proxyvote.com) or via telephone, your vote must be received by 11:59 p.m. Eastern time on Tuesday, August 9, 2022.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5, 2022).</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2 relating to the reappointment of the Company’s independent registered public accounting firm for the fiscal year ending December 31, 2022; however, we cannot be certain whether this will be treated as a routine matter since our proxy statement is prepared in compliance with the Companies Law, rather than the rules applicable to domestic U.S. reporting companies.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Revocation of a Proxy or Voting Instructions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Proxies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Proxies are being distributed to shareholders on or about July 11, 2022.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Proxy Materials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BY CERTAIN BENEFICIAL OWNERS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Wasatch Advisors Inc.</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3,419,521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2021, based on an amendment to Schedule 13G filed by Wasatch Advisors Inc. with the SEC on February 11,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PRACTICES, CORPORATE GOVERNANCE AND COMPENSATION OF CERTAIN EXECUTIVE OFFICERS AND DIRECTORS</w:t>
      </w:r>
    </w:p>
    <w:p>
      <w:pPr>
        <w:spacing w:after="0" w:line="229"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Item 6.B (“Compensation”) of our Annual Report on Form 20-F for the year ended December 31, 2021, which we filed with the SEC on March 30, 2022 (which we refer to as our 2021 Form 20-F), contains information regarding compensation paid to our directors and certain office holders (including our five most highly compensated office holders) with respect to 2021. Item 6.C of our 2021 Form 20-F (“Board Practices”) contains additional information regarding our Board, its committees and our corporate governance practices. We encourage you to review those portions of our 2021 Form 20-F, which we incorporate by reference herein (and for which we have provided a general link below), to obtain additional information: https://www.sec.gov/ix?doc=/Archives/edgar/data/0001625791/000121390022016155/f20f2021_kornitdigital.htm.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RE-ELECTION/ INITIAL ELECTION OF CLASS I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and our Articles, the management of our business is vested in our Board. The Board may exercise all powers and may take all actions that are not specifically granted to our shareholders.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provide that our Board must consist of at least five and not more than nine directors, including, to the extent applicable, at least two external directors who may be required to be appointed under the Companies Law.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currently consists of nine directors. Our directors are divided into three classes with staggered three-year terms. Each class of directors consists,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service of our three current Class I directors will expire at the Meeting. Our Board has nominated for re-election two of those current Class I directors— Messrs. Dov Ofer and Yehoshua (Shuki) Nir— along with a new nominee, for initial election— Mr. Jae Hyun (Jay) Lee— as Class I directors who will serve a three-year term, until our 2025 annual general meeting of shareholders. If each of those nominees is re-elected or elected (as applicable) pursuant to this Proposal 1, our Board, in its staggered format, will be comprised as follows:</w:t>
      </w:r>
    </w:p>
    <w:p>
      <w:pPr>
        <w:spacing w:after="0" w:line="180" w:lineRule="exact"/>
        <w:rPr>
          <w:sz w:val="20"/>
          <w:szCs w:val="20"/>
          <w:color w:val="auto"/>
        </w:rPr>
      </w:pPr>
    </w:p>
    <w:p>
      <w:pPr>
        <w:ind w:left="660" w:right="2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Yehoshua (Shuki) Nir, Dov Ofer and Jae Hyun (Jay) Lee, whose terms (following the Meeting) will expire at our annual general meeting of shareholders to be held in 2025 and when their successors are elected and qualified;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Ofer Ben-Zur, Gabi Seligsohn and Lauri Hanover, whose terms expire at our annual general meeting of shareholders to be held in 2023 and when their successors are elected and qualified;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Yuval Cohen, Stephen Nigro and Ronen Samuel, whose terms expire at our annual general meeting of shareholders to be held in 2024 and when their successors are elected and qualified.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 service of Mr. Alon Lumbroso, who has served as a Class I director since March 2015, will conclude at the Meeting. In addition, our engagement with Ms. Stefanie Strack, whom we appointed as a strategic advisor to our Company in October 2021, has been terminated, and she has not been nominated for election as a director at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recommends that our shareholders re-elect or elect (as applicable) each of our three Class I director nominees pursuant to this Proposal</w:t>
      </w:r>
    </w:p>
    <w:p>
      <w:pPr>
        <w:spacing w:after="0" w:line="27" w:lineRule="exact"/>
        <w:rPr>
          <w:sz w:val="20"/>
          <w:szCs w:val="20"/>
          <w:color w:val="auto"/>
        </w:rPr>
      </w:pPr>
    </w:p>
    <w:p>
      <w:pPr>
        <w:ind w:firstLine="8"/>
        <w:spacing w:after="0" w:line="260" w:lineRule="auto"/>
        <w:tabs>
          <w:tab w:leader="none" w:pos="1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proxies (other than those directing the proxy holders to vote against any of the nominees, or abstain in the vote) will be voted for the re-election or election (as applicable) of each such nominee as a Class I director.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Among the prospective Board members (assuming re-election or election of each of the Class I director nominees at the Meeting, and the continued service of each present Class II director and Class III director), the Board has determined that eight of them, consisting of Yehoshua (Shuki) Nir, Dov Ofer, Jae Hyun (Jay) Lee, Ofer Ben-Zur, Gabi Seligsohn, Lauri Hanover, Yuval Cohen and Stephen Nigro,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director to exercise independent judgment, and furthermore requires that the board of directors affirmatively determine that the independent director can exercise independent judgment.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Class I director nominees, whose professional background is provided below, has advised the Company that he or she is willing, able and ready to serve as a Class I director if re-elected or elected (as applicable). Additionally, in accordance with the Companies Law, each of those nominees has certified to us that he meets all of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re-election of any of the three nominees.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certain biographical information regarding the background and experience of the nominees— Mr. Dov Ofer, Mr. Yehoshua (Shuki) Nir and Mr. Jae Hyun (Jay) Lee:</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Yehoshua (Shuki) Nir </w:t>
      </w:r>
      <w:r>
        <w:rPr>
          <w:rFonts w:ascii="Times New Roman" w:cs="Times New Roman" w:eastAsia="Times New Roman" w:hAnsi="Times New Roman"/>
          <w:sz w:val="18"/>
          <w:szCs w:val="18"/>
          <w:color w:val="auto"/>
        </w:rPr>
        <w:t>has served as a director of our Company since July 2018 (until August 2019, as an external director under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and serves as the chairman of our compensation committee and a member of our audit committee. Since June 2021, Mr. Nir has served as a director, a member of the compensation committee and a member of the audit committee, at ironSource Ltd. (NYSE: IS), a global software company that focuses on developing technologies for app monetization. Since July 2021 Mr. Nir has served as a director of Cardo Systems Ltd., which develops, manufactures and markets communication systems for motorcycles.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has a B.A. in Law and Accounting and an M.B.A. from Tel Aviv University.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Dov Ofer </w:t>
      </w:r>
      <w:r>
        <w:rPr>
          <w:rFonts w:ascii="Times New Roman" w:cs="Times New Roman" w:eastAsia="Times New Roman" w:hAnsi="Times New Roman"/>
          <w:sz w:val="18"/>
          <w:szCs w:val="18"/>
          <w:color w:val="auto"/>
        </w:rPr>
        <w:t>has served as a member of our board of directors since March 2015 and is a member of our audit and compensation committees.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 in California.</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Jae Hyun (Jay) Lee </w:t>
      </w:r>
      <w:r>
        <w:rPr>
          <w:rFonts w:ascii="Times New Roman" w:cs="Times New Roman" w:eastAsia="Times New Roman" w:hAnsi="Times New Roman"/>
          <w:sz w:val="18"/>
          <w:szCs w:val="18"/>
          <w:color w:val="auto"/>
        </w:rPr>
        <w:t>joined the Company in October 2021 as a strategic advisor and has been nominated by the Company to join our Board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 director, subject to his election at the Meeting pursuant to this Proposal 1. Mr. Lee has served as a Senior Vice President of EMEA at eBay Inc. since August 21, 2017. Prior to that, Mr. Lee served as Senior Vice President of Asia Pacific at eBay Inc., which began in July 2015. Mr. Lee began his career at eBay in 2002 and from 2002 to 2004, served as the Chief Executive Officer of eBay's Korean Internet Auction Company. Prior to joining eBay, Mr. Lee was the Chief Operating Officer and then Chief Executive Officer of Korea Thrunet, the first Korean company to list on the Nasdaq exchange, where he led the company to become the leading cable-based broadband access provider in Korea. Mr. Lee began his career at Boston Consulting Group, where he held various positions in Boston and Seoul, South Korea, before being promoted to Vice President. Mr. Lee holds an M.B.A from Harvard University Graduate School and a Bachelor of Arts Degree in International Relations from Brown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Yehoshua (Shuki) Nir as a Class I director of Kornit Digital Ltd., for a term of three years that expires at Kornit’s annual general meeting of shareholders in 2025, and until the due election and qualification of his successor, be, and hereby is, approved in all respects.”</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re-election of Mr. Dov Ofer as a Class I director of Kornit Digital Ltd., for a term of three years that expires at Kornit’s annual general meeting of shareholders in 2025, and until the due election and qualification of his successor, be, and hereby is, approved in all respects.”</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initial election of Mr. Jae Hyun (Jay) Lee as a Class I director of Kornit Digital Ltd., for a term of three years that expires at Kornit’s annual general meeting of shareholders in 2025, and until the due election and qualification of his successor, be, and hereby is, approved in all respects.”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is more fully described above (under “Vote Required for Approval of the Proposals”), the vote required for the re-election of each of Mr. Yehoshua (Shuki) Nir and Mr. Dov Ofer, and the initial election of Mr. Jae Hyun (Jay) Lee, in each case for a three-year term as a Class I director, is the affirmative vote of the holders of a majority of the voting power present in person or represented by proxy at the Meeting and voting on paragraph (a), (b) or (c) as applicable, of this Proposal 1 (excluding abstentions and broker non-votes).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that you vote “FOR” the re-election or initial election (as applicable) of each of the three Class I director nominees.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RE-APPOINTMENT OF INDEPENDENT AUDITORS AND APPROVAL OF THEIR ANNUAL REMUNERATION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Kost Forer Gabbay &amp; Kasierer, a member of Ernst &amp; Young Global, independent registered public accounting firm, which we refer to as Kost Forer, was appointed by our shareholders as our independent auditors for the fiscal year ended December 31, 2021, and for such additional period until the Meeting. Pursuant to its role under its charter and under SEC rules, the audit committee of our Board has approved the re-appointment of Kost Forer as our independent auditors for the fiscal year ending December 31, 2022 and for such additional period until the 2023 annual general meeting of shareholders. Further to that approval, the Board, in turn, will present to, and request the approval of, our shareholders (as required under the Companies Law) for the re-appointment of Kost Forer as the independent auditors of the Company for the year ending December 31, 2022 and for the additional period until the annual general meeting to be held in 2023. As part of that shareholder approval, we are furthermore proposing that our shareholders authorize the Board, with power of delegation to the audit committee, to determine the compensation of the auditors in accordance with the volume and nature of their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Auditors’ Fees in Previous Two Years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compensation (as well as components of compensation, in amounts and percentages) that was paid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to the Company’s independent auditors, Kost Forer, in each of the previous two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8"/>
                <w:szCs w:val="18"/>
                <w:color w:val="auto"/>
              </w:rPr>
            </w:pPr>
          </w:p>
        </w:tc>
        <w:tc>
          <w:tcPr>
            <w:tcW w:w="242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242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 of dollars)</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fees” include fees for services rendered by our independent registered public accounting firm with respect to government incentives and other matters.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Committee’s Pre-Approval Policies and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Meeting the following resolutions be adopted pursuant to this Proposal 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2022 and for such additional period until the next annual general meeting of shareholders, such re-appointment having been previously approved by the audit committee of the Board.”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Proposal 2 requires the affirmative vote of the holders of a majority of the ordinary shares present, in person or by proxy, and voting on the proposal (excluding abstentions and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unanimously recommends that you vote “FOR” (i) the re-appointment of Kost Forer Gabbay &amp; Kasierer, a member of Ernst &amp; Young Global, independent registered public accounting firm, as the independent auditors of the Company for the fiscal year ending December 31, 2022 and for such additional period until the next annual general meeting of shareholders and (ii) the authorization of the Board (with power of delegation to the audit committee) to fix the remuneration of the independent auditors in accordance with the volume and nature of their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PRESENTATION AND DISCUSSION OF AUDITED ANNUAL FINANCIAL STATEMENTS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addition to considering the foregoing agenda items at the Meeting, we will also present our audited consolidated financial statements for the fiscal year ended December 31, 2021. A copy of the 2021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766"/>
        <w:spacing w:after="0" w:line="261" w:lineRule="auto"/>
        <w:rPr>
          <w:sz w:val="20"/>
          <w:szCs w:val="20"/>
          <w:color w:val="auto"/>
        </w:rPr>
      </w:pPr>
      <w:r>
        <w:rPr>
          <w:rFonts w:ascii="Times New Roman" w:cs="Times New Roman" w:eastAsia="Times New Roman" w:hAnsi="Times New Roman"/>
          <w:sz w:val="18"/>
          <w:szCs w:val="18"/>
          <w:color w:val="auto"/>
        </w:rPr>
        <w:t>Our Board does not intend to bring any matters before the Meeting other than those specifically set forth in the Notice of 2022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2021 Form 20-F, filed with the SEC on March 30, 2022, is available for viewing and downloading at the SEC’s website at www.sec.gov, as well as at the Investor Relations section of our website at http://ir.kornit.com.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are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Yuval Cohen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2022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hereby constitutes and appoints Alon Rozner and Aviv Avidan Shalit, and each of them, the true and lawful attorneys, agents and proxies of the undersigned, with full power of substitution to each of them, to represent and to vote, on behalf of the undersigned, all of the Ordinary Shares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of record in the name of the undersigned at the close of business on Tuesday, July 5, 2022, at the 2022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executive offices of the Company, 12 Ha’Amal Street, Park Afek, Rosh Ha’Ayin, Israel, on Thursday, August 11, 2022 at 12:00 p.m. (Israel time), and at any and all adjournments or postponements thereof, on the matters listed on the reverse side, which are more fully described in the Notice of 2022 Annual General Meeting of Shareholders of the Company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accompanying Proxy Statement relating to the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acknowledges receipt of the Notice and the Proxy Statement.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If no direction is made with respect to any proposal, this proxy will be voted FOR such proposal and in such manner as the holder of the proxy may determine with respect to any other business as may properly come before the Meeting or all and any adjournments or postponements thereof.</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2022 ANNUAL GENERAL MEETING OF SHAREHOLDERS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KORNIT DIGITAL LTD.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date, sign and mail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possible.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detach along perforated line and mail in envelope.↓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left="60" w:right="60"/>
        <w:spacing w:after="0" w:line="253" w:lineRule="exact"/>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376" w:lineRule="exact"/>
        <w:rPr>
          <w:sz w:val="20"/>
          <w:szCs w:val="20"/>
          <w:color w:val="auto"/>
        </w:rPr>
      </w:pPr>
    </w:p>
    <w:p>
      <w:pPr>
        <w:ind w:left="8560"/>
        <w:spacing w:after="0"/>
        <w:tabs>
          <w:tab w:leader="none" w:pos="9320" w:val="left"/>
          <w:tab w:leader="none" w:pos="1034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623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1.Re-election/ initial election of each of:</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1(a) Mr. Yehoshua (Shuki) Nir</w:t>
      </w:r>
    </w:p>
    <w:p>
      <w:pPr>
        <w:spacing w:after="0" w:line="2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1(b) Mr. Dov Ofer</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1(c) Mr. Jae Hyun (Jay) Lee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64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00" w:type="dxa"/>
            <w:vAlign w:val="bottom"/>
          </w:tcPr>
          <w:p>
            <w:pPr>
              <w:ind w:left="360"/>
              <w:spacing w:after="0" w:line="321" w:lineRule="exact"/>
              <w:rPr>
                <w:sz w:val="20"/>
                <w:szCs w:val="20"/>
                <w:color w:val="auto"/>
              </w:rPr>
            </w:pPr>
            <w:r>
              <w:rPr>
                <w:rFonts w:ascii="MS PGothic" w:cs="MS PGothic" w:eastAsia="MS PGothic" w:hAnsi="MS PGothic"/>
                <w:sz w:val="32"/>
                <w:szCs w:val="32"/>
                <w:color w:val="auto"/>
              </w:rPr>
              <w:t>☐</w:t>
            </w:r>
          </w:p>
        </w:tc>
        <w:tc>
          <w:tcPr>
            <w:tcW w:w="640" w:type="dxa"/>
            <w:vAlign w:val="bottom"/>
          </w:tcPr>
          <w:p>
            <w:pPr>
              <w:ind w:left="360"/>
              <w:spacing w:after="0" w:line="321" w:lineRule="exact"/>
              <w:rPr>
                <w:sz w:val="20"/>
                <w:szCs w:val="20"/>
                <w:color w:val="auto"/>
              </w:rPr>
            </w:pPr>
            <w:r>
              <w:rPr>
                <w:rFonts w:ascii="MS PGothic" w:cs="MS PGothic" w:eastAsia="MS PGothic" w:hAnsi="MS PGothic"/>
                <w:sz w:val="32"/>
                <w:szCs w:val="32"/>
                <w:color w:val="auto"/>
                <w:w w:val="81"/>
              </w:rPr>
              <w:t>☐</w:t>
            </w:r>
          </w:p>
        </w:tc>
      </w:tr>
      <w:tr>
        <w:trPr>
          <w:trHeight w:val="378"/>
        </w:trPr>
        <w:tc>
          <w:tcPr>
            <w:tcW w:w="64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00" w:type="dxa"/>
            <w:vAlign w:val="bottom"/>
          </w:tcPr>
          <w:p>
            <w:pPr>
              <w:ind w:left="360"/>
              <w:spacing w:after="0" w:line="321" w:lineRule="exact"/>
              <w:rPr>
                <w:sz w:val="20"/>
                <w:szCs w:val="20"/>
                <w:color w:val="auto"/>
              </w:rPr>
            </w:pPr>
            <w:r>
              <w:rPr>
                <w:rFonts w:ascii="MS PGothic" w:cs="MS PGothic" w:eastAsia="MS PGothic" w:hAnsi="MS PGothic"/>
                <w:sz w:val="32"/>
                <w:szCs w:val="32"/>
                <w:color w:val="auto"/>
              </w:rPr>
              <w:t>☐</w:t>
            </w:r>
          </w:p>
        </w:tc>
        <w:tc>
          <w:tcPr>
            <w:tcW w:w="640" w:type="dxa"/>
            <w:vAlign w:val="bottom"/>
          </w:tcPr>
          <w:p>
            <w:pPr>
              <w:ind w:left="360"/>
              <w:spacing w:after="0" w:line="321" w:lineRule="exact"/>
              <w:rPr>
                <w:sz w:val="20"/>
                <w:szCs w:val="20"/>
                <w:color w:val="auto"/>
              </w:rPr>
            </w:pPr>
            <w:r>
              <w:rPr>
                <w:rFonts w:ascii="MS PGothic" w:cs="MS PGothic" w:eastAsia="MS PGothic" w:hAnsi="MS PGothic"/>
                <w:sz w:val="32"/>
                <w:szCs w:val="32"/>
                <w:color w:val="auto"/>
                <w:w w:val="81"/>
              </w:rPr>
              <w:t>☐</w:t>
            </w:r>
          </w:p>
        </w:tc>
      </w:tr>
      <w:tr>
        <w:trPr>
          <w:trHeight w:val="511"/>
        </w:trPr>
        <w:tc>
          <w:tcPr>
            <w:tcW w:w="64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00" w:type="dxa"/>
            <w:vAlign w:val="bottom"/>
          </w:tcPr>
          <w:p>
            <w:pPr>
              <w:ind w:left="360"/>
              <w:spacing w:after="0" w:line="321" w:lineRule="exact"/>
              <w:rPr>
                <w:sz w:val="20"/>
                <w:szCs w:val="20"/>
                <w:color w:val="auto"/>
              </w:rPr>
            </w:pPr>
            <w:r>
              <w:rPr>
                <w:rFonts w:ascii="MS PGothic" w:cs="MS PGothic" w:eastAsia="MS PGothic" w:hAnsi="MS PGothic"/>
                <w:sz w:val="32"/>
                <w:szCs w:val="32"/>
                <w:color w:val="auto"/>
              </w:rPr>
              <w:t>☐</w:t>
            </w:r>
          </w:p>
        </w:tc>
        <w:tc>
          <w:tcPr>
            <w:tcW w:w="640" w:type="dxa"/>
            <w:vAlign w:val="bottom"/>
          </w:tcPr>
          <w:p>
            <w:pPr>
              <w:ind w:left="360"/>
              <w:spacing w:after="0" w:line="321" w:lineRule="exact"/>
              <w:rPr>
                <w:sz w:val="20"/>
                <w:szCs w:val="20"/>
                <w:color w:val="auto"/>
              </w:rPr>
            </w:pPr>
            <w:r>
              <w:rPr>
                <w:rFonts w:ascii="MS PGothic" w:cs="MS PGothic" w:eastAsia="MS PGothic" w:hAnsi="MS PGothic"/>
                <w:sz w:val="32"/>
                <w:szCs w:val="32"/>
                <w:color w:val="auto"/>
                <w:w w:val="81"/>
              </w:rPr>
              <w:t>☐</w:t>
            </w:r>
          </w:p>
        </w:tc>
      </w:tr>
    </w:tbl>
    <w:p>
      <w:pPr>
        <w:spacing w:after="0" w:line="158" w:lineRule="exact"/>
        <w:rPr>
          <w:sz w:val="20"/>
          <w:szCs w:val="20"/>
          <w:color w:val="auto"/>
        </w:rPr>
      </w:pPr>
    </w:p>
    <w:p>
      <w:pPr>
        <w:sectPr>
          <w:pgSz w:w="11900" w:h="16838" w:orient="portrait"/>
          <w:cols w:equalWidth="0" w:num="2">
            <w:col w:w="7880" w:space="720"/>
            <w:col w:w="26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for a three-year term, as a Class I director of the Company, until the Company’s annual</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general meeting of shareholders in 2025 and until his successor is duly elected and</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qualified</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2.Re-appointment of Kost Forer Gabbay &amp; Kasierer, registered public accounting firm, a</w:t>
            </w:r>
          </w:p>
        </w:tc>
        <w:tc>
          <w:tcPr>
            <w:tcW w:w="1160" w:type="dxa"/>
            <w:vAlign w:val="bottom"/>
            <w:vMerge w:val="restart"/>
          </w:tcPr>
          <w:p>
            <w:pPr>
              <w:ind w:left="180"/>
              <w:spacing w:after="0" w:line="321" w:lineRule="exact"/>
              <w:rPr>
                <w:sz w:val="20"/>
                <w:szCs w:val="20"/>
                <w:color w:val="auto"/>
              </w:rPr>
            </w:pPr>
            <w:r>
              <w:rPr>
                <w:rFonts w:ascii="MS PGothic" w:cs="MS PGothic" w:eastAsia="MS PGothic" w:hAnsi="MS PGothic"/>
                <w:sz w:val="32"/>
                <w:szCs w:val="32"/>
                <w:color w:val="auto"/>
              </w:rPr>
              <w:t>☐</w:t>
            </w:r>
          </w:p>
        </w:tc>
        <w:tc>
          <w:tcPr>
            <w:tcW w:w="880" w:type="dxa"/>
            <w:vAlign w:val="bottom"/>
            <w:vMerge w:val="restart"/>
          </w:tcPr>
          <w:p>
            <w:pPr>
              <w:ind w:left="20"/>
              <w:spacing w:after="0" w:line="321" w:lineRule="exact"/>
              <w:rPr>
                <w:sz w:val="20"/>
                <w:szCs w:val="20"/>
                <w:color w:val="auto"/>
              </w:rPr>
            </w:pPr>
            <w:r>
              <w:rPr>
                <w:rFonts w:ascii="MS PGothic" w:cs="MS PGothic" w:eastAsia="MS PGothic" w:hAnsi="MS PGothic"/>
                <w:sz w:val="32"/>
                <w:szCs w:val="32"/>
                <w:color w:val="auto"/>
              </w:rPr>
              <w:t>☐</w:t>
            </w:r>
          </w:p>
        </w:tc>
        <w:tc>
          <w:tcPr>
            <w:tcW w:w="4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216"/>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member firm of Ernst &amp; Young Global, as the Company’s independent registered public</w:t>
            </w:r>
          </w:p>
        </w:tc>
        <w:tc>
          <w:tcPr>
            <w:tcW w:w="1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accounting firm for the year ending December 31, 2022 and until the Company’s 2023</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annual general meeting of shareholders, and authorization of the Company’s board of</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directors (with power of delegation to the audit committee thereof) to fix such accounting</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8"/>
                <w:szCs w:val="18"/>
                <w:color w:val="auto"/>
              </w:rPr>
              <w:t>firm’s annual compensation</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change the address on your account, please check the box at</w:t>
            </w: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Borders>
              <w:right w:val="single" w:sz="8" w:color="auto"/>
            </w:tcBorders>
            <w:vMerge w:val="restart"/>
          </w:tcPr>
          <w:p>
            <w:pPr>
              <w:ind w:left="480"/>
              <w:spacing w:after="0" w:line="321" w:lineRule="exact"/>
              <w:rPr>
                <w:sz w:val="20"/>
                <w:szCs w:val="20"/>
                <w:color w:val="auto"/>
              </w:rPr>
            </w:pPr>
            <w:r>
              <w:rPr>
                <w:rFonts w:ascii="MS PGothic" w:cs="MS PGothic" w:eastAsia="MS PGothic" w:hAnsi="MS PGothic"/>
                <w:sz w:val="32"/>
                <w:szCs w:val="32"/>
                <w:color w:val="auto"/>
              </w:rPr>
              <w:t>☐</w:t>
            </w: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right and indicate your new address in the address space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above. Please note that changes to the registered name(s) on the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may not be submitted via this method.</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of shareholder</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920" w:type="dxa"/>
            <w:vAlign w:val="bottom"/>
            <w:tcBorders>
              <w:bottom w:val="single" w:sz="8" w:color="auto"/>
            </w:tcBorders>
          </w:tcPr>
          <w:p>
            <w:pPr>
              <w:spacing w:after="0"/>
              <w:rPr>
                <w:sz w:val="18"/>
                <w:szCs w:val="18"/>
                <w:color w:val="auto"/>
              </w:rPr>
            </w:pPr>
          </w:p>
        </w:tc>
        <w:tc>
          <w:tcPr>
            <w:tcW w:w="2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Signature of shareholder</w:t>
            </w:r>
          </w:p>
        </w:tc>
        <w:tc>
          <w:tcPr>
            <w:tcW w:w="1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92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920" w:type="dxa"/>
            <w:vAlign w:val="bottom"/>
            <w:tcBorders>
              <w:left w:val="single" w:sz="8" w:color="auto"/>
              <w:right w:val="single" w:sz="8" w:color="auto"/>
            </w:tcBorders>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92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Borders>
              <w:left w:val="single" w:sz="8" w:color="auto"/>
              <w:bottom w:val="single" w:sz="8" w:color="auto"/>
              <w:right w:val="single" w:sz="8" w:color="auto"/>
            </w:tcBorders>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-222250</wp:posOffset>
            </wp:positionV>
            <wp:extent cx="825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8255" cy="214630"/>
                    </a:xfrm>
                    <a:prstGeom prst="rect">
                      <a:avLst/>
                    </a:prstGeom>
                    <a:noFill/>
                  </pic:spPr>
                </pic:pic>
              </a:graphicData>
            </a:graphic>
          </wp:anchor>
        </w:drawing>
      </w:r>
    </w:p>
    <w:p>
      <w:pPr>
        <w:spacing w:after="0" w:line="178" w:lineRule="exact"/>
        <w:rPr>
          <w:sz w:val="20"/>
          <w:szCs w:val="20"/>
          <w:color w:val="auto"/>
        </w:rPr>
      </w:pPr>
    </w:p>
    <w:p>
      <w:pPr>
        <w:jc w:val="both"/>
        <w:ind w:left="480" w:hanging="471"/>
        <w:spacing w:after="0" w:line="266" w:lineRule="auto"/>
        <w:rPr>
          <w:sz w:val="20"/>
          <w:szCs w:val="20"/>
          <w:color w:val="auto"/>
        </w:rPr>
      </w:pPr>
      <w:r>
        <w:rPr>
          <w:rFonts w:ascii="Times New Roman" w:cs="Times New Roman" w:eastAsia="Times New Roman" w:hAnsi="Times New Roman"/>
          <w:sz w:val="18"/>
          <w:szCs w:val="18"/>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e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 Id="rId21"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2022-06-30T08:18:55Z</dcterms:created>
  <dcterms:modified xsi:type="dcterms:W3CDTF">2022-06-30T08:18:55Z</dcterms:modified>
</cp:coreProperties>
</file>