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 FILED PURSUANT TO RULES 13d-1(b), (c) AND (d)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AND AMENDMENTS THERETO FILED PURSUANT TO RULE 13d-2(b)</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17145</wp:posOffset>
            </wp:positionV>
            <wp:extent cx="2418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March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79"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79" w:lineRule="exact"/>
        <w:rPr>
          <w:sz w:val="24"/>
          <w:szCs w:val="24"/>
          <w:color w:val="auto"/>
        </w:rPr>
      </w:pPr>
    </w:p>
    <w:p>
      <w:pPr>
        <w:ind w:left="860" w:hanging="204"/>
        <w:spacing w:after="0"/>
        <w:tabs>
          <w:tab w:leader="none" w:pos="8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rFonts w:ascii="MS PGothic" w:cs="MS PGothic" w:eastAsia="MS PGothic" w:hAnsi="MS PGothic"/>
          <w:sz w:val="18"/>
          <w:szCs w:val="18"/>
          <w:color w:val="auto"/>
        </w:rPr>
      </w:pPr>
    </w:p>
    <w:p>
      <w:pPr>
        <w:ind w:left="500" w:hanging="48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jc w:val="both"/>
        <w:ind w:left="500"/>
        <w:spacing w:after="0" w:line="264" w:lineRule="auto"/>
        <w:rPr>
          <w:rFonts w:ascii="MS PGothic" w:cs="MS PGothic" w:eastAsia="MS PGothic" w:hAnsi="MS PGothic"/>
          <w:sz w:val="18"/>
          <w:szCs w:val="18"/>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6457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7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7" w:lineRule="auto"/>
        <w:tabs>
          <w:tab w:leader="none" w:pos="1431" w:val="left"/>
        </w:tabs>
        <w:numPr>
          <w:ilvl w:val="0"/>
          <w:numId w:val="4"/>
        </w:numPr>
        <w:rPr>
          <w:rFonts w:ascii="Arial" w:cs="Arial" w:eastAsia="Arial" w:hAnsi="Arial"/>
          <w:sz w:val="65"/>
          <w:szCs w:val="65"/>
          <w:b w:val="1"/>
          <w:bCs w:val="1"/>
          <w:color w:val="auto"/>
          <w:vertAlign w:val="subscript"/>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Clal Insurance Enterprises Holdings Ltd.</w:t>
      </w:r>
    </w:p>
    <w:p>
      <w:pPr>
        <w:spacing w:after="0" w:line="7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tbl>
      <w:tblPr>
        <w:tblLayout w:type="fixed"/>
        <w:tblInd w:w="0" w:type="dxa"/>
        <w:tblCellMar>
          <w:top w:w="0" w:type="dxa"/>
          <w:left w:w="0" w:type="dxa"/>
          <w:bottom w:w="0" w:type="dxa"/>
          <w:right w:w="0" w:type="dxa"/>
        </w:tblCellMar>
      </w:tblPr>
      <w:tr>
        <w:trPr>
          <w:trHeight w:val="59"/>
        </w:trPr>
        <w:tc>
          <w:tcPr>
            <w:tcW w:w="2060" w:type="dxa"/>
            <w:vAlign w:val="bottom"/>
            <w:vMerge w:val="restart"/>
          </w:tcPr>
          <w:p>
            <w:pPr>
              <w:jc w:val="right"/>
              <w:ind w:right="1174"/>
              <w:spacing w:after="0" w:line="329" w:lineRule="exact"/>
              <w:rPr>
                <w:sz w:val="20"/>
                <w:szCs w:val="20"/>
                <w:color w:val="auto"/>
              </w:rPr>
            </w:pPr>
            <w:r>
              <w:rPr>
                <w:rFonts w:ascii="Arial" w:cs="Arial" w:eastAsia="Arial" w:hAnsi="Arial"/>
                <w:sz w:val="32"/>
                <w:szCs w:val="32"/>
                <w:b w:val="1"/>
                <w:bCs w:val="1"/>
                <w:color w:val="auto"/>
              </w:rPr>
              <w:t>3</w:t>
            </w:r>
          </w:p>
        </w:tc>
        <w:tc>
          <w:tcPr>
            <w:tcW w:w="680" w:type="dxa"/>
            <w:vAlign w:val="bottom"/>
          </w:tcPr>
          <w:p>
            <w:pPr>
              <w:spacing w:after="0"/>
              <w:rPr>
                <w:sz w:val="5"/>
                <w:szCs w:val="5"/>
                <w:color w:val="auto"/>
              </w:rPr>
            </w:pPr>
          </w:p>
        </w:tc>
        <w:tc>
          <w:tcPr>
            <w:tcW w:w="8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vMerge w:val="continue"/>
          </w:tcPr>
          <w:p>
            <w:pPr>
              <w:spacing w:after="0"/>
              <w:rPr>
                <w:sz w:val="23"/>
                <w:szCs w:val="23"/>
                <w:color w:val="auto"/>
              </w:rPr>
            </w:pPr>
          </w:p>
        </w:tc>
        <w:tc>
          <w:tcPr>
            <w:tcW w:w="68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420" w:type="dxa"/>
            <w:vAlign w:val="bottom"/>
            <w:gridSpan w:val="6"/>
          </w:tcPr>
          <w:p>
            <w:pPr>
              <w:ind w:left="1420"/>
              <w:spacing w:after="0" w:line="182" w:lineRule="exact"/>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7"/>
        </w:trPr>
        <w:tc>
          <w:tcPr>
            <w:tcW w:w="2060" w:type="dxa"/>
            <w:vAlign w:val="bottom"/>
          </w:tcPr>
          <w:p>
            <w:pPr>
              <w:jc w:val="right"/>
              <w:ind w:right="1174"/>
              <w:spacing w:after="0" w:line="336" w:lineRule="exact"/>
              <w:rPr>
                <w:sz w:val="20"/>
                <w:szCs w:val="20"/>
                <w:color w:val="auto"/>
              </w:rPr>
            </w:pPr>
            <w:r>
              <w:rPr>
                <w:rFonts w:ascii="Arial" w:cs="Arial" w:eastAsia="Arial" w:hAnsi="Arial"/>
                <w:sz w:val="32"/>
                <w:szCs w:val="32"/>
                <w:b w:val="1"/>
                <w:bCs w:val="1"/>
                <w:color w:val="auto"/>
              </w:rPr>
              <w:t>4</w:t>
            </w:r>
          </w:p>
        </w:tc>
        <w:tc>
          <w:tcPr>
            <w:tcW w:w="6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60" w:type="dxa"/>
            <w:vAlign w:val="bottom"/>
          </w:tcPr>
          <w:p>
            <w:pPr>
              <w:jc w:val="right"/>
              <w:ind w:right="114"/>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21"/>
                <w:szCs w:val="21"/>
                <w:color w:val="auto"/>
              </w:rPr>
            </w:pPr>
          </w:p>
        </w:tc>
        <w:tc>
          <w:tcPr>
            <w:tcW w:w="8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680" w:type="dxa"/>
            <w:vAlign w:val="bottom"/>
            <w:gridSpan w:val="4"/>
          </w:tcPr>
          <w:p>
            <w:pPr>
              <w:ind w:left="40"/>
              <w:spacing w:after="0"/>
              <w:rPr>
                <w:sz w:val="20"/>
                <w:szCs w:val="20"/>
                <w:color w:val="auto"/>
              </w:rPr>
            </w:pPr>
            <w:r>
              <w:rPr>
                <w:rFonts w:ascii="Arial" w:cs="Arial" w:eastAsia="Arial" w:hAnsi="Arial"/>
                <w:sz w:val="18"/>
                <w:szCs w:val="18"/>
                <w:color w:val="auto"/>
              </w:rPr>
              <w:t>1,718,717 Ordinary Shares *</w:t>
            </w: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6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gridSpan w:val="4"/>
            <w:vMerge w:val="restart"/>
          </w:tcPr>
          <w:p>
            <w:pPr>
              <w:ind w:left="40"/>
              <w:spacing w:after="0"/>
              <w:rPr>
                <w:sz w:val="20"/>
                <w:szCs w:val="20"/>
                <w:color w:val="auto"/>
              </w:rPr>
            </w:pPr>
            <w:r>
              <w:rPr>
                <w:rFonts w:ascii="Arial" w:cs="Arial" w:eastAsia="Arial" w:hAnsi="Arial"/>
                <w:sz w:val="18"/>
                <w:szCs w:val="18"/>
                <w:color w:val="auto"/>
              </w:rPr>
              <w:t>1,718,717 Ordinary Shares *</w:t>
            </w: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620"/>
        <w:spacing w:after="0" w:line="215" w:lineRule="auto"/>
        <w:rPr>
          <w:sz w:val="20"/>
          <w:szCs w:val="20"/>
          <w:color w:val="auto"/>
        </w:rPr>
      </w:pPr>
      <w:r>
        <w:rPr>
          <w:rFonts w:ascii="Arial" w:cs="Arial" w:eastAsia="Arial" w:hAnsi="Arial"/>
          <w:sz w:val="32"/>
          <w:szCs w:val="32"/>
          <w:b w:val="1"/>
          <w:bCs w:val="1"/>
          <w:color w:val="auto"/>
        </w:rPr>
        <w:t>9</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1,718,717 Ordinary Shares *</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211" w:lineRule="auto"/>
        <w:rPr>
          <w:sz w:val="20"/>
          <w:szCs w:val="20"/>
          <w:color w:val="auto"/>
        </w:rPr>
      </w:pPr>
      <w:r>
        <w:rPr>
          <w:rFonts w:ascii="Arial" w:cs="Arial" w:eastAsia="Arial" w:hAnsi="Arial"/>
          <w:sz w:val="32"/>
          <w:szCs w:val="32"/>
          <w:b w:val="1"/>
          <w:bCs w:val="1"/>
          <w:color w:val="auto"/>
        </w:rPr>
        <w:t>10</w:t>
      </w:r>
    </w:p>
    <w:p>
      <w:pPr>
        <w:spacing w:after="0" w:line="1" w:lineRule="exact"/>
        <w:rPr>
          <w:sz w:val="20"/>
          <w:szCs w:val="20"/>
          <w:color w:val="auto"/>
        </w:rPr>
      </w:pPr>
    </w:p>
    <w:p>
      <w:pPr>
        <w:ind w:left="1420"/>
        <w:spacing w:after="0" w:line="181" w:lineRule="exact"/>
        <w:rPr>
          <w:sz w:val="20"/>
          <w:szCs w:val="20"/>
          <w:color w:val="auto"/>
        </w:rPr>
      </w:pPr>
      <w:r>
        <w:rPr>
          <w:rFonts w:ascii="MS PGothic" w:cs="MS PGothic" w:eastAsia="MS PGothic" w:hAnsi="MS PGothic"/>
          <w:sz w:val="18"/>
          <w:szCs w:val="18"/>
          <w:color w:val="auto"/>
        </w:rPr>
        <w:t>☐</w:t>
      </w:r>
    </w:p>
    <w:p>
      <w:pPr>
        <w:spacing w:after="0" w:line="11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215" w:lineRule="auto"/>
        <w:rPr>
          <w:sz w:val="20"/>
          <w:szCs w:val="20"/>
          <w:color w:val="auto"/>
        </w:rPr>
      </w:pPr>
      <w:r>
        <w:rPr>
          <w:rFonts w:ascii="Arial" w:cs="Arial" w:eastAsia="Arial" w:hAnsi="Arial"/>
          <w:sz w:val="32"/>
          <w:szCs w:val="32"/>
          <w:b w:val="1"/>
          <w:bCs w:val="1"/>
          <w:color w:val="auto"/>
        </w:rPr>
        <w:t>11</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5.01%**</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215"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3" w:lineRule="exact"/>
        <w:rPr>
          <w:sz w:val="20"/>
          <w:szCs w:val="20"/>
          <w:color w:val="auto"/>
        </w:rPr>
      </w:pPr>
    </w:p>
    <w:p>
      <w:pPr>
        <w:ind w:firstLine="8"/>
        <w:spacing w:after="0" w:line="261" w:lineRule="auto"/>
        <w:tabs>
          <w:tab w:leader="none" w:pos="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34,277,324 ordinary shares outstanding as of February 28, 2018 (as reported by the Issuer in its annual report on Form 20-F filed with the Securities and Exchange Commission (the “SEC”) on March 20, 2018).</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6457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30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7" w:lineRule="auto"/>
        <w:tabs>
          <w:tab w:leader="none" w:pos="1431" w:val="left"/>
        </w:tabs>
        <w:numPr>
          <w:ilvl w:val="0"/>
          <w:numId w:val="7"/>
        </w:numPr>
        <w:rPr>
          <w:rFonts w:ascii="Arial" w:cs="Arial" w:eastAsia="Arial" w:hAnsi="Arial"/>
          <w:sz w:val="65"/>
          <w:szCs w:val="65"/>
          <w:b w:val="1"/>
          <w:bCs w:val="1"/>
          <w:color w:val="auto"/>
          <w:vertAlign w:val="subscript"/>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IDB Development Corporation Ltd.</w:t>
      </w:r>
    </w:p>
    <w:p>
      <w:pPr>
        <w:spacing w:after="0" w:line="7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tbl>
      <w:tblPr>
        <w:tblLayout w:type="fixed"/>
        <w:tblInd w:w="0" w:type="dxa"/>
        <w:tblCellMar>
          <w:top w:w="0" w:type="dxa"/>
          <w:left w:w="0" w:type="dxa"/>
          <w:bottom w:w="0" w:type="dxa"/>
          <w:right w:w="0" w:type="dxa"/>
        </w:tblCellMar>
      </w:tblPr>
      <w:tr>
        <w:trPr>
          <w:trHeight w:val="59"/>
        </w:trPr>
        <w:tc>
          <w:tcPr>
            <w:tcW w:w="2060" w:type="dxa"/>
            <w:vAlign w:val="bottom"/>
            <w:vMerge w:val="restart"/>
          </w:tcPr>
          <w:p>
            <w:pPr>
              <w:jc w:val="right"/>
              <w:ind w:right="1174"/>
              <w:spacing w:after="0" w:line="329" w:lineRule="exact"/>
              <w:rPr>
                <w:sz w:val="20"/>
                <w:szCs w:val="20"/>
                <w:color w:val="auto"/>
              </w:rPr>
            </w:pPr>
            <w:r>
              <w:rPr>
                <w:rFonts w:ascii="Arial" w:cs="Arial" w:eastAsia="Arial" w:hAnsi="Arial"/>
                <w:sz w:val="32"/>
                <w:szCs w:val="32"/>
                <w:b w:val="1"/>
                <w:bCs w:val="1"/>
                <w:color w:val="auto"/>
              </w:rPr>
              <w:t>3</w:t>
            </w:r>
          </w:p>
        </w:tc>
        <w:tc>
          <w:tcPr>
            <w:tcW w:w="680" w:type="dxa"/>
            <w:vAlign w:val="bottom"/>
          </w:tcPr>
          <w:p>
            <w:pPr>
              <w:spacing w:after="0"/>
              <w:rPr>
                <w:sz w:val="5"/>
                <w:szCs w:val="5"/>
                <w:color w:val="auto"/>
              </w:rPr>
            </w:pPr>
          </w:p>
        </w:tc>
        <w:tc>
          <w:tcPr>
            <w:tcW w:w="8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vMerge w:val="continue"/>
          </w:tcPr>
          <w:p>
            <w:pPr>
              <w:spacing w:after="0"/>
              <w:rPr>
                <w:sz w:val="23"/>
                <w:szCs w:val="23"/>
                <w:color w:val="auto"/>
              </w:rPr>
            </w:pPr>
          </w:p>
        </w:tc>
        <w:tc>
          <w:tcPr>
            <w:tcW w:w="68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420" w:type="dxa"/>
            <w:vAlign w:val="bottom"/>
            <w:gridSpan w:val="6"/>
          </w:tcPr>
          <w:p>
            <w:pPr>
              <w:ind w:left="1420"/>
              <w:spacing w:after="0" w:line="182" w:lineRule="exact"/>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7"/>
        </w:trPr>
        <w:tc>
          <w:tcPr>
            <w:tcW w:w="2060" w:type="dxa"/>
            <w:vAlign w:val="bottom"/>
          </w:tcPr>
          <w:p>
            <w:pPr>
              <w:jc w:val="right"/>
              <w:ind w:right="1174"/>
              <w:spacing w:after="0" w:line="336" w:lineRule="exact"/>
              <w:rPr>
                <w:sz w:val="20"/>
                <w:szCs w:val="20"/>
                <w:color w:val="auto"/>
              </w:rPr>
            </w:pPr>
            <w:r>
              <w:rPr>
                <w:rFonts w:ascii="Arial" w:cs="Arial" w:eastAsia="Arial" w:hAnsi="Arial"/>
                <w:sz w:val="32"/>
                <w:szCs w:val="32"/>
                <w:b w:val="1"/>
                <w:bCs w:val="1"/>
                <w:color w:val="auto"/>
              </w:rPr>
              <w:t>4</w:t>
            </w:r>
          </w:p>
        </w:tc>
        <w:tc>
          <w:tcPr>
            <w:tcW w:w="6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60" w:type="dxa"/>
            <w:vAlign w:val="bottom"/>
          </w:tcPr>
          <w:p>
            <w:pPr>
              <w:jc w:val="right"/>
              <w:ind w:right="114"/>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21"/>
                <w:szCs w:val="21"/>
                <w:color w:val="auto"/>
              </w:rPr>
            </w:pPr>
          </w:p>
        </w:tc>
        <w:tc>
          <w:tcPr>
            <w:tcW w:w="8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680" w:type="dxa"/>
            <w:vAlign w:val="bottom"/>
            <w:gridSpan w:val="4"/>
          </w:tcPr>
          <w:p>
            <w:pPr>
              <w:ind w:left="40"/>
              <w:spacing w:after="0"/>
              <w:rPr>
                <w:sz w:val="20"/>
                <w:szCs w:val="20"/>
                <w:color w:val="auto"/>
              </w:rPr>
            </w:pPr>
            <w:r>
              <w:rPr>
                <w:rFonts w:ascii="Arial" w:cs="Arial" w:eastAsia="Arial" w:hAnsi="Arial"/>
                <w:sz w:val="18"/>
                <w:szCs w:val="18"/>
                <w:color w:val="auto"/>
              </w:rPr>
              <w:t>1,718,717 Ordinary Shares *</w:t>
            </w: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6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gridSpan w:val="4"/>
            <w:vMerge w:val="restart"/>
          </w:tcPr>
          <w:p>
            <w:pPr>
              <w:ind w:left="40"/>
              <w:spacing w:after="0"/>
              <w:rPr>
                <w:sz w:val="20"/>
                <w:szCs w:val="20"/>
                <w:color w:val="auto"/>
              </w:rPr>
            </w:pPr>
            <w:r>
              <w:rPr>
                <w:rFonts w:ascii="Arial" w:cs="Arial" w:eastAsia="Arial" w:hAnsi="Arial"/>
                <w:sz w:val="18"/>
                <w:szCs w:val="18"/>
                <w:color w:val="auto"/>
              </w:rPr>
              <w:t>1,718,717 Ordinary Shares *</w:t>
            </w: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620"/>
        <w:spacing w:after="0" w:line="215" w:lineRule="auto"/>
        <w:rPr>
          <w:sz w:val="20"/>
          <w:szCs w:val="20"/>
          <w:color w:val="auto"/>
        </w:rPr>
      </w:pPr>
      <w:r>
        <w:rPr>
          <w:rFonts w:ascii="Arial" w:cs="Arial" w:eastAsia="Arial" w:hAnsi="Arial"/>
          <w:sz w:val="32"/>
          <w:szCs w:val="32"/>
          <w:b w:val="1"/>
          <w:bCs w:val="1"/>
          <w:color w:val="auto"/>
        </w:rPr>
        <w:t>9</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1,718,717 Ordinary Shares *</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211" w:lineRule="auto"/>
        <w:rPr>
          <w:sz w:val="20"/>
          <w:szCs w:val="20"/>
          <w:color w:val="auto"/>
        </w:rPr>
      </w:pPr>
      <w:r>
        <w:rPr>
          <w:rFonts w:ascii="Arial" w:cs="Arial" w:eastAsia="Arial" w:hAnsi="Arial"/>
          <w:sz w:val="32"/>
          <w:szCs w:val="32"/>
          <w:b w:val="1"/>
          <w:bCs w:val="1"/>
          <w:color w:val="auto"/>
        </w:rPr>
        <w:t>10</w:t>
      </w:r>
    </w:p>
    <w:p>
      <w:pPr>
        <w:spacing w:after="0" w:line="1" w:lineRule="exact"/>
        <w:rPr>
          <w:sz w:val="20"/>
          <w:szCs w:val="20"/>
          <w:color w:val="auto"/>
        </w:rPr>
      </w:pPr>
    </w:p>
    <w:p>
      <w:pPr>
        <w:ind w:left="1420"/>
        <w:spacing w:after="0" w:line="181" w:lineRule="exact"/>
        <w:rPr>
          <w:sz w:val="20"/>
          <w:szCs w:val="20"/>
          <w:color w:val="auto"/>
        </w:rPr>
      </w:pPr>
      <w:r>
        <w:rPr>
          <w:rFonts w:ascii="MS PGothic" w:cs="MS PGothic" w:eastAsia="MS PGothic" w:hAnsi="MS PGothic"/>
          <w:sz w:val="18"/>
          <w:szCs w:val="18"/>
          <w:color w:val="auto"/>
        </w:rPr>
        <w:t>☐</w:t>
      </w:r>
    </w:p>
    <w:p>
      <w:pPr>
        <w:spacing w:after="0" w:line="11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215" w:lineRule="auto"/>
        <w:rPr>
          <w:sz w:val="20"/>
          <w:szCs w:val="20"/>
          <w:color w:val="auto"/>
        </w:rPr>
      </w:pPr>
      <w:r>
        <w:rPr>
          <w:rFonts w:ascii="Arial" w:cs="Arial" w:eastAsia="Arial" w:hAnsi="Arial"/>
          <w:sz w:val="32"/>
          <w:szCs w:val="32"/>
          <w:b w:val="1"/>
          <w:bCs w:val="1"/>
          <w:color w:val="auto"/>
        </w:rPr>
        <w:t>11</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5.01%**</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215"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*See Item 4.</w:t>
      </w:r>
    </w:p>
    <w:p>
      <w:pPr>
        <w:spacing w:after="0" w:line="23" w:lineRule="exact"/>
        <w:rPr>
          <w:sz w:val="20"/>
          <w:szCs w:val="20"/>
          <w:color w:val="auto"/>
        </w:rPr>
      </w:pPr>
    </w:p>
    <w:p>
      <w:pPr>
        <w:ind w:right="180" w:firstLine="8"/>
        <w:spacing w:after="0" w:line="261"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34,277,324 ordinary shares outstanding as of February 28, 2018 (as reported by the Issuer in its annual report on Form 20-F filed with the SEC on March 20, 2018).</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83" w:lineRule="exact"/>
        <w:rPr>
          <w:sz w:val="20"/>
          <w:szCs w:val="20"/>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 KORNIT DIGITAL LTD. (the “Issuer”).</w:t>
      </w:r>
    </w:p>
    <w:p>
      <w:pPr>
        <w:spacing w:after="0" w:line="279"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7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12 Ha’Amal Street, Rosh-Ha’Ayin 4809246, Israel</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IDB Development Corporation Ltd., an Israeli public corporation (“IDB Development”) is included as a Reporting Person herein, IDB Development disclaims beneficial ownership of the Ordinary Shares reported by Clal herein, primarily as a result of the following: On August 21, 2013, the Israeli Supervisor of Capital Markets, Insurance and Savings (the "Supervisor of Insurance") appointed Mr. Moshe Terry (the "Trustee") to hold, as trustee, IDB Development's means of control in Clal (i.e., most of the shares that IDB Development holds in Clal). Moreover, the Supervisor of Insurance has not issued a control permit to IDB Development and its controlling shareholders with respect to IDB Development's holdings in Clal and instructed IDB Development to sell its controlling stake in Clal within a set timetable.</w:t>
      </w:r>
    </w:p>
    <w:p>
      <w:pPr>
        <w:spacing w:after="0" w:line="247" w:lineRule="exact"/>
        <w:rPr>
          <w:sz w:val="20"/>
          <w:szCs w:val="20"/>
          <w:color w:val="auto"/>
        </w:rPr>
      </w:pPr>
    </w:p>
    <w:p>
      <w:pPr>
        <w:ind w:left="660" w:right="8860" w:hanging="652"/>
        <w:spacing w:after="0" w:line="56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Person Filing: This Statement is filed by:</w:t>
      </w:r>
    </w:p>
    <w:p>
      <w:pPr>
        <w:spacing w:after="0" w:line="1" w:lineRule="exact"/>
        <w:rPr>
          <w:rFonts w:ascii="Arial" w:cs="Arial" w:eastAsia="Arial" w:hAnsi="Arial"/>
          <w:sz w:val="16"/>
          <w:szCs w:val="16"/>
          <w:color w:val="auto"/>
        </w:rPr>
      </w:pPr>
    </w:p>
    <w:p>
      <w:pPr>
        <w:ind w:left="920" w:hanging="264"/>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Clal Insurance Enterprises Holdings Ltd.</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IDB Development Corporation Ltd.</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entities are collectively referred to as the “Reporting Persons” in this Statement.</w:t>
      </w:r>
    </w:p>
    <w:p>
      <w:pPr>
        <w:spacing w:after="0" w:line="320" w:lineRule="exact"/>
        <w:rPr>
          <w:sz w:val="20"/>
          <w:szCs w:val="20"/>
          <w:color w:val="auto"/>
        </w:rPr>
      </w:pPr>
    </w:p>
    <w:p>
      <w:pPr>
        <w:ind w:right="20" w:firstLine="646"/>
        <w:spacing w:after="0" w:line="293" w:lineRule="auto"/>
        <w:tabs>
          <w:tab w:leader="none" w:pos="14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Clal Insurance Enterprises Holdings Ltd., an Israeli public corporation (“Clal”) may be deemed to beneficially own the Ordinary shares reported in this Statement. See Item 4.</w:t>
      </w:r>
    </w:p>
    <w:p>
      <w:pPr>
        <w:spacing w:after="0" w:line="250" w:lineRule="exact"/>
        <w:rPr>
          <w:rFonts w:ascii="Arial" w:cs="Arial" w:eastAsia="Arial" w:hAnsi="Arial"/>
          <w:sz w:val="18"/>
          <w:szCs w:val="18"/>
          <w:color w:val="auto"/>
        </w:rPr>
      </w:pPr>
    </w:p>
    <w:p>
      <w:pPr>
        <w:ind w:right="20" w:firstLine="646"/>
        <w:spacing w:after="0" w:line="293" w:lineRule="auto"/>
        <w:tabs>
          <w:tab w:leader="none" w:pos="16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IDB Development and the Trustee own shares of Clal that currently represent approximately 5.0% and 34.8%, respectively, of the outstanding shares of Clal. See the note in the beginning of this Item 2.</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Address of Principal Business Offices or, if none, Residence: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Clal Insurance Enterprises Holdings Ltd. – 36 Raul Walenberg St., Tel Aviv 66180, Israel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IDB Development Corporation Ltd. - The Triangular Tower, 44th floor, 3 Azrieli Center, Tel Aviv 67023, Israel</w:t>
      </w:r>
    </w:p>
    <w:p>
      <w:pPr>
        <w:spacing w:after="0" w:line="279"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of Organization:</w:t>
      </w:r>
    </w:p>
    <w:p>
      <w:pPr>
        <w:spacing w:after="0" w:line="27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Place of organization of all Reporting Persons, as the case may be, is Israel.</w:t>
      </w:r>
    </w:p>
    <w:p>
      <w:pPr>
        <w:spacing w:after="0" w:line="279" w:lineRule="exact"/>
        <w:rPr>
          <w:rFonts w:ascii="Arial" w:cs="Arial" w:eastAsia="Arial" w:hAnsi="Arial"/>
          <w:sz w:val="18"/>
          <w:szCs w:val="18"/>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7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Ordinary Shares, par value NIS 0.01 per share (the “Ordinary Shares”).</w:t>
      </w:r>
    </w:p>
    <w:p>
      <w:pPr>
        <w:spacing w:after="0" w:line="279" w:lineRule="exact"/>
        <w:rPr>
          <w:rFonts w:ascii="Arial" w:cs="Arial" w:eastAsia="Arial" w:hAnsi="Arial"/>
          <w:sz w:val="18"/>
          <w:szCs w:val="18"/>
          <w:color w:val="auto"/>
        </w:rPr>
      </w:pPr>
    </w:p>
    <w:p>
      <w:pPr>
        <w:ind w:left="640" w:right="9580" w:hanging="632"/>
        <w:spacing w:after="0" w:line="631" w:lineRule="auto"/>
        <w:tabs>
          <w:tab w:leader="none" w:pos="6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CUSIP Number: M6372Q113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Rules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of the 1,718,717 Ordinary Shares reported in this Statement as beneficially owned by Clal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this Statement shall not be construed as an admission by the Reporting Persons that they are the beneficial owners of any of the Ordinary Shares covered by this Statement.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set forth above, see items 5-11 of the cover page hereto for beneficial ownership, percentage of class and dispositive power of the Reporting Persons, which are incorporated herein.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660" w:right="4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83"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April 4, 2018</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CLAL INSURANCE ENTERPRISES HOLDINGS LTD.</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IDB DEVELOPMENT CORPORATION LTD.</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CLAL INSURANCE ENTERPRISES HOLDINGS LTD.</w:t>
      </w:r>
    </w:p>
    <w:p>
      <w:pPr>
        <w:spacing w:after="0" w:line="211" w:lineRule="exact"/>
        <w:rPr>
          <w:sz w:val="20"/>
          <w:szCs w:val="20"/>
          <w:color w:val="auto"/>
        </w:rPr>
      </w:pPr>
    </w:p>
    <w:p>
      <w:pPr>
        <w:ind w:left="5680"/>
        <w:spacing w:after="0"/>
        <w:tabs>
          <w:tab w:leader="none" w:pos="728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Anath Levin</w:t>
      </w:r>
      <w:r>
        <w:rPr>
          <w:sz w:val="20"/>
          <w:szCs w:val="20"/>
          <w:color w:val="auto"/>
        </w:rPr>
        <w:tab/>
      </w:r>
      <w:r>
        <w:rPr>
          <w:rFonts w:ascii="Arial" w:cs="Arial" w:eastAsia="Arial" w:hAnsi="Arial"/>
          <w:sz w:val="16"/>
          <w:szCs w:val="16"/>
          <w:u w:val="single" w:color="auto"/>
          <w:color w:val="auto"/>
        </w:rPr>
        <w:t>/s/ Moshe Ernst</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Anath Levin and Moshe Ernst, authorized signatories of</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CLAL INSURANCE ENTERPRISES HOLDINGS LTD.,</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for itself and on behalf of IDB Development Corporation Ltd.,</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pursuant to an agreement annexed as Exhibit 1 to this Schedule 13G.</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255270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349250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80" w:top="121"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April 4,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CLAL INSURANCE ENTERPRISES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Atidim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 Raoul Wallenberg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6136902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Rule 13d-1(k)(1)(iii) promulgated under the Securities Exchange Act of 1934, as amended, the undersigned hereby agrees that CLAL INSURANCE ENTERPRISES HOLDINGS LTD. (“Clal”) may file as necessary on behalf of the undersigned with the Securities and Exchange Commission a Schedule 13G or Schedule 13D and any amendments thereto in respect of shares of KORNIT DIGITAL LTD. purchased, owned or sold from time to time by the undersigned.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Clal is hereby authorized to file a copy of this letter as an exhibit to said Schedule 13D or Schedule 13G or any amendments thereto.</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IDB DEVELOPMENT CORPORATION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IDB DEVELOPMENT CORPORATION LTD.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Agreed: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CLAL INSURANCE ENTERPRISES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CLAL INSURANCE ENTERPRISES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7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lvl w:ilvl="1">
      <w:lvlJc w:val="left"/>
      <w:lvlText w:val="(%2)"/>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2019-12-17T08:17:04Z</dcterms:created>
  <dcterms:modified xsi:type="dcterms:W3CDTF">2019-12-17T08:17:04Z</dcterms:modified>
</cp:coreProperties>
</file>