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26"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PURSUANT TO RULE 13a-16 OR 15d-16 OF</w:t>
      </w:r>
    </w:p>
    <w:p>
      <w:pPr>
        <w:spacing w:after="0" w:line="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For the month of </w:t>
      </w:r>
      <w:r>
        <w:rPr>
          <w:rFonts w:ascii="Times New Roman" w:cs="Times New Roman" w:eastAsia="Times New Roman" w:hAnsi="Times New Roman"/>
          <w:sz w:val="16"/>
          <w:szCs w:val="16"/>
          <w:b w:val="1"/>
          <w:bCs w:val="1"/>
          <w:color w:val="auto"/>
        </w:rPr>
        <w:t>August 2022</w:t>
      </w:r>
    </w:p>
    <w:p>
      <w:pPr>
        <w:spacing w:after="0" w:line="19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001-36903</w:t>
      </w:r>
    </w:p>
    <w:p>
      <w:pPr>
        <w:spacing w:after="0" w:line="19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80"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12 Ha’Amal Street</w:t>
      </w:r>
    </w:p>
    <w:p>
      <w:pPr>
        <w:spacing w:after="0" w:line="26"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6"/>
          <w:szCs w:val="16"/>
          <w:b w:val="1"/>
          <w:bCs w:val="1"/>
          <w:color w:val="auto"/>
        </w:rPr>
        <w:t>Park Afek</w:t>
      </w:r>
    </w:p>
    <w:p>
      <w:pPr>
        <w:spacing w:after="0" w:line="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Rosh Ha’Ayin 4824096 Israel</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73" w:lineRule="exact"/>
        <w:rPr>
          <w:sz w:val="24"/>
          <w:szCs w:val="24"/>
          <w:color w:val="auto"/>
        </w:rPr>
      </w:pPr>
    </w:p>
    <w:p>
      <w:pPr>
        <w:ind w:left="4740"/>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19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101(b)(1): </w:t>
      </w:r>
      <w:r>
        <w:rPr>
          <w:rFonts w:ascii="MS PGothic" w:cs="MS PGothic" w:eastAsia="MS PGothic" w:hAnsi="MS PGothic"/>
          <w:sz w:val="15"/>
          <w:szCs w:val="15"/>
          <w:color w:val="auto"/>
        </w:rPr>
        <w:t>☐</w:t>
      </w:r>
    </w:p>
    <w:p>
      <w:pPr>
        <w:spacing w:after="0" w:line="21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101(b)(7):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182880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577850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 and Financial Condition- Second Quarter of 2022</w:t>
      </w:r>
    </w:p>
    <w:p>
      <w:pPr>
        <w:spacing w:after="0" w:line="200" w:lineRule="exact"/>
        <w:rPr>
          <w:sz w:val="20"/>
          <w:szCs w:val="20"/>
          <w:color w:val="auto"/>
        </w:rPr>
      </w:pPr>
    </w:p>
    <w:p>
      <w:pPr>
        <w:ind w:firstLine="565"/>
        <w:spacing w:after="0" w:line="283" w:lineRule="auto"/>
        <w:rPr>
          <w:sz w:val="20"/>
          <w:szCs w:val="20"/>
          <w:color w:val="auto"/>
        </w:rPr>
      </w:pPr>
      <w:r>
        <w:rPr>
          <w:rFonts w:ascii="Times New Roman" w:cs="Times New Roman" w:eastAsia="Times New Roman" w:hAnsi="Times New Roman"/>
          <w:sz w:val="16"/>
          <w:szCs w:val="16"/>
          <w:color w:val="auto"/>
        </w:rPr>
        <w:t>On August 10, 2022, Kornit Digital Ltd. (“</w:t>
      </w:r>
      <w:r>
        <w:rPr>
          <w:rFonts w:ascii="Times New Roman" w:cs="Times New Roman" w:eastAsia="Times New Roman" w:hAnsi="Times New Roman"/>
          <w:sz w:val="16"/>
          <w:szCs w:val="16"/>
          <w:b w:val="1"/>
          <w:bCs w:val="1"/>
          <w:color w:val="auto"/>
        </w:rPr>
        <w:t>Kornit</w:t>
      </w:r>
      <w:r>
        <w:rPr>
          <w:rFonts w:ascii="Times New Roman" w:cs="Times New Roman" w:eastAsia="Times New Roman" w:hAnsi="Times New Roman"/>
          <w:sz w:val="16"/>
          <w:szCs w:val="16"/>
          <w:color w:val="auto"/>
        </w:rPr>
        <w:t>”) issued a press release entitled “Kornit Digital Reports Second Quarter 2022 Results,” in which Kornit reported its results of operations for the quarter and six months ended June 30, 2022. A copy of that press release is furnished as Exhibit 99.1 hereto.</w:t>
      </w:r>
    </w:p>
    <w:p>
      <w:pPr>
        <w:spacing w:after="0" w:line="142" w:lineRule="exact"/>
        <w:rPr>
          <w:sz w:val="20"/>
          <w:szCs w:val="20"/>
          <w:color w:val="auto"/>
        </w:rPr>
      </w:pPr>
    </w:p>
    <w:p>
      <w:pPr>
        <w:ind w:right="100" w:firstLine="565"/>
        <w:spacing w:after="0" w:line="265" w:lineRule="auto"/>
        <w:rPr>
          <w:sz w:val="20"/>
          <w:szCs w:val="20"/>
          <w:color w:val="auto"/>
        </w:rPr>
      </w:pPr>
      <w:r>
        <w:rPr>
          <w:rFonts w:ascii="Times New Roman" w:cs="Times New Roman" w:eastAsia="Times New Roman" w:hAnsi="Times New Roman"/>
          <w:sz w:val="16"/>
          <w:szCs w:val="16"/>
          <w:color w:val="auto"/>
        </w:rPr>
        <w:t xml:space="preserve">Kornit is holding a conference call on August 10, 2022 to discuss its quarterly results for the quarter ended June 30, 2022 and will make available to its investors a slide presentation to provide additional information regarding its business and its financial results. That slide presentation is attached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 xml:space="preserve"> to this Report of Foreign Private Issuer on Form 6-K (this “</w:t>
      </w:r>
      <w:r>
        <w:rPr>
          <w:rFonts w:ascii="Times New Roman" w:cs="Times New Roman" w:eastAsia="Times New Roman" w:hAnsi="Times New Roman"/>
          <w:sz w:val="16"/>
          <w:szCs w:val="16"/>
          <w:b w:val="1"/>
          <w:bCs w:val="1"/>
          <w:color w:val="auto"/>
        </w:rPr>
        <w:t>Form 6-K</w:t>
      </w:r>
      <w:r>
        <w:rPr>
          <w:rFonts w:ascii="Times New Roman" w:cs="Times New Roman" w:eastAsia="Times New Roman" w:hAnsi="Times New Roman"/>
          <w:sz w:val="16"/>
          <w:szCs w:val="16"/>
          <w:color w:val="auto"/>
        </w:rPr>
        <w:t>”) and is incorporated herein by reference.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Incorporation by Reference</w:t>
      </w:r>
    </w:p>
    <w:p>
      <w:pPr>
        <w:spacing w:after="0" w:line="202" w:lineRule="exact"/>
        <w:rPr>
          <w:sz w:val="20"/>
          <w:szCs w:val="20"/>
          <w:color w:val="auto"/>
        </w:rPr>
      </w:pPr>
    </w:p>
    <w:p>
      <w:pPr>
        <w:ind w:right="140" w:firstLine="565"/>
        <w:spacing w:after="0" w:line="259" w:lineRule="auto"/>
        <w:rPr>
          <w:rFonts w:ascii="Times New Roman" w:cs="Times New Roman" w:eastAsia="Times New Roman" w:hAnsi="Times New Roman"/>
          <w:sz w:val="16"/>
          <w:szCs w:val="16"/>
          <w:color w:val="0000EE"/>
        </w:rPr>
      </w:pPr>
      <w:r>
        <w:rPr>
          <w:rFonts w:ascii="Times New Roman" w:cs="Times New Roman" w:eastAsia="Times New Roman" w:hAnsi="Times New Roman"/>
          <w:sz w:val="16"/>
          <w:szCs w:val="16"/>
          <w:color w:val="auto"/>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w:t>
      </w:r>
      <w:hyperlink r:id="rId13">
        <w:r>
          <w:rPr>
            <w:rFonts w:ascii="Times New Roman" w:cs="Times New Roman" w:eastAsia="Times New Roman" w:hAnsi="Times New Roman"/>
            <w:sz w:val="16"/>
            <w:szCs w:val="16"/>
            <w:color w:val="auto"/>
          </w:rPr>
          <w:t xml:space="preserve">Registration Statements on Form F-3 (File No. </w:t>
        </w:r>
        <w:r>
          <w:rPr>
            <w:rFonts w:ascii="Times New Roman" w:cs="Times New Roman" w:eastAsia="Times New Roman" w:hAnsi="Times New Roman"/>
            <w:sz w:val="16"/>
            <w:szCs w:val="16"/>
            <w:u w:val="single" w:color="auto"/>
            <w:color w:val="0000EE"/>
          </w:rPr>
          <w:t>333-248784</w:t>
        </w:r>
        <w:r>
          <w:rPr>
            <w:rFonts w:ascii="Times New Roman" w:cs="Times New Roman" w:eastAsia="Times New Roman" w:hAnsi="Times New Roman"/>
            <w:sz w:val="16"/>
            <w:szCs w:val="16"/>
            <w:color w:val="auto"/>
          </w:rPr>
          <w:t xml:space="preserve">) and Form S-8 (File No.’s </w:t>
        </w:r>
        <w:r>
          <w:rPr>
            <w:rFonts w:ascii="Times New Roman" w:cs="Times New Roman" w:eastAsia="Times New Roman" w:hAnsi="Times New Roman"/>
            <w:sz w:val="16"/>
            <w:szCs w:val="16"/>
            <w:u w:val="single" w:color="auto"/>
            <w:color w:val="0000EE"/>
          </w:rPr>
          <w:t>333-203970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333-214015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333-217039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333-223794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333-230567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333-237346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EE"/>
          </w:rPr>
          <w:t>333-</w:t>
        </w:r>
      </w:hyperlink>
      <w:hyperlink r:id="rId13">
        <w:r>
          <w:rPr>
            <w:rFonts w:ascii="Times New Roman" w:cs="Times New Roman" w:eastAsia="Times New Roman" w:hAnsi="Times New Roman"/>
            <w:sz w:val="16"/>
            <w:szCs w:val="16"/>
            <w:u w:val="single" w:color="auto"/>
            <w:color w:val="0000EE"/>
          </w:rPr>
          <w:t>254749</w:t>
        </w:r>
        <w:r>
          <w:rPr>
            <w:rFonts w:ascii="Times New Roman" w:cs="Times New Roman" w:eastAsia="Times New Roman" w:hAnsi="Times New Roman"/>
            <w:sz w:val="16"/>
            <w:szCs w:val="16"/>
            <w:color w:val="000000"/>
          </w:rPr>
          <w:t>, and</w:t>
        </w:r>
        <w:r>
          <w:rPr>
            <w:rFonts w:ascii="Times New Roman" w:cs="Times New Roman" w:eastAsia="Times New Roman" w:hAnsi="Times New Roman"/>
            <w:sz w:val="16"/>
            <w:szCs w:val="16"/>
            <w:color w:val="0000EE"/>
          </w:rPr>
          <w:t xml:space="preserve"> </w:t>
        </w:r>
      </w:hyperlink>
      <w:hyperlink r:id="rId14">
        <w:r>
          <w:rPr>
            <w:rFonts w:ascii="Times New Roman" w:cs="Times New Roman" w:eastAsia="Times New Roman" w:hAnsi="Times New Roman"/>
            <w:sz w:val="16"/>
            <w:szCs w:val="16"/>
            <w:u w:val="single" w:color="auto"/>
            <w:color w:val="0000EE"/>
          </w:rPr>
          <w:t>333-263975</w:t>
        </w:r>
      </w:hyperlink>
      <w:hyperlink r:id="rId13">
        <w:r>
          <w:rPr>
            <w:rFonts w:ascii="Times New Roman" w:cs="Times New Roman" w:eastAsia="Times New Roman" w:hAnsi="Times New Roman"/>
            <w:sz w:val="16"/>
            <w:szCs w:val="16"/>
            <w:color w:val="000000"/>
          </w:rPr>
          <w:t>).</w:t>
        </w:r>
      </w:hyperlink>
    </w:p>
    <w:p>
      <w:pPr>
        <w:spacing w:after="0" w:line="353" w:lineRule="exact"/>
        <w:rPr>
          <w:rFonts w:ascii="Times New Roman" w:cs="Times New Roman" w:eastAsia="Times New Roman" w:hAnsi="Times New Roman"/>
          <w:sz w:val="16"/>
          <w:szCs w:val="16"/>
          <w:color w:val="0000EE"/>
        </w:rPr>
      </w:pPr>
    </w:p>
    <w:p>
      <w:pPr>
        <w:jc w:val="center"/>
        <w:ind w:right="-7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rFonts w:ascii="Times New Roman" w:cs="Times New Roman" w:eastAsia="Times New Roman" w:hAnsi="Times New Roman"/>
          <w:sz w:val="16"/>
          <w:szCs w:val="16"/>
          <w:color w:val="0000EE"/>
        </w:rPr>
      </w:pPr>
      <w:r>
        <w:rPr>
          <w:rFonts w:ascii="Times New Roman" w:cs="Times New Roman" w:eastAsia="Times New Roman" w:hAnsi="Times New Roman"/>
          <w:sz w:val="16"/>
          <w:szCs w:val="16"/>
          <w:color w:val="0000EE"/>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60"/>
          </w:cols>
          <w:pgMar w:left="320" w:top="814"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right="100" w:firstLine="565"/>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20" w:type="dxa"/>
            <w:vAlign w:val="bottom"/>
          </w:tcPr>
          <w:p>
            <w:pPr>
              <w:spacing w:after="0"/>
              <w:rPr>
                <w:sz w:val="18"/>
                <w:szCs w:val="18"/>
                <w:color w:val="auto"/>
              </w:rPr>
            </w:pPr>
          </w:p>
        </w:tc>
        <w:tc>
          <w:tcPr>
            <w:tcW w:w="7740" w:type="dxa"/>
            <w:vAlign w:val="bottom"/>
            <w:gridSpan w:val="2"/>
          </w:tcPr>
          <w:p>
            <w:pPr>
              <w:ind w:left="3240"/>
              <w:spacing w:after="0"/>
              <w:rPr>
                <w:sz w:val="20"/>
                <w:szCs w:val="20"/>
                <w:color w:val="auto"/>
              </w:rPr>
            </w:pPr>
            <w:r>
              <w:rPr>
                <w:rFonts w:ascii="Times New Roman" w:cs="Times New Roman" w:eastAsia="Times New Roman" w:hAnsi="Times New Roman"/>
                <w:sz w:val="16"/>
                <w:szCs w:val="16"/>
                <w:color w:val="auto"/>
              </w:rPr>
              <w:t>KORNIT DIGITAL LTD.</w:t>
            </w:r>
          </w:p>
        </w:tc>
        <w:tc>
          <w:tcPr>
            <w:tcW w:w="0" w:type="dxa"/>
            <w:vAlign w:val="bottom"/>
          </w:tcPr>
          <w:p>
            <w:pPr>
              <w:spacing w:after="0"/>
              <w:rPr>
                <w:sz w:val="1"/>
                <w:szCs w:val="1"/>
                <w:color w:val="auto"/>
              </w:rPr>
            </w:pPr>
          </w:p>
        </w:tc>
      </w:tr>
      <w:tr>
        <w:trPr>
          <w:trHeight w:val="382"/>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Date: August 10, 2022</w:t>
            </w:r>
          </w:p>
        </w:tc>
        <w:tc>
          <w:tcPr>
            <w:tcW w:w="380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/s/ Alon Rozner</w:t>
            </w:r>
          </w:p>
        </w:tc>
        <w:tc>
          <w:tcPr>
            <w:tcW w:w="0" w:type="dxa"/>
            <w:vAlign w:val="bottom"/>
          </w:tcPr>
          <w:p>
            <w:pPr>
              <w:spacing w:after="0"/>
              <w:rPr>
                <w:sz w:val="1"/>
                <w:szCs w:val="1"/>
                <w:color w:val="auto"/>
              </w:rPr>
            </w:pPr>
          </w:p>
        </w:tc>
      </w:tr>
      <w:tr>
        <w:trPr>
          <w:trHeight w:val="28"/>
        </w:trPr>
        <w:tc>
          <w:tcPr>
            <w:tcW w:w="3520" w:type="dxa"/>
            <w:vAlign w:val="bottom"/>
          </w:tcPr>
          <w:p>
            <w:pPr>
              <w:spacing w:after="0"/>
              <w:rPr>
                <w:sz w:val="2"/>
                <w:szCs w:val="2"/>
                <w:color w:val="auto"/>
              </w:rPr>
            </w:pPr>
          </w:p>
        </w:tc>
        <w:tc>
          <w:tcPr>
            <w:tcW w:w="3800" w:type="dxa"/>
            <w:vAlign w:val="bottom"/>
            <w:vMerge w:val="restart"/>
          </w:tcPr>
          <w:p>
            <w:pPr>
              <w:ind w:left="3240"/>
              <w:spacing w:after="0"/>
              <w:rPr>
                <w:sz w:val="20"/>
                <w:szCs w:val="20"/>
                <w:color w:val="auto"/>
              </w:rPr>
            </w:pPr>
            <w:r>
              <w:rPr>
                <w:rFonts w:ascii="Times New Roman" w:cs="Times New Roman" w:eastAsia="Times New Roman" w:hAnsi="Times New Roman"/>
                <w:sz w:val="16"/>
                <w:szCs w:val="16"/>
                <w:color w:val="auto"/>
              </w:rPr>
              <w:t>Name:</w:t>
            </w:r>
          </w:p>
        </w:tc>
        <w:tc>
          <w:tcPr>
            <w:tcW w:w="3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3800" w:type="dxa"/>
            <w:vAlign w:val="bottom"/>
            <w:vMerge w:val="continue"/>
          </w:tcPr>
          <w:p>
            <w:pPr>
              <w:spacing w:after="0"/>
              <w:rPr>
                <w:sz w:val="15"/>
                <w:szCs w:val="15"/>
                <w:color w:val="auto"/>
              </w:rPr>
            </w:pP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Alon Rozner</w:t>
            </w:r>
          </w:p>
        </w:tc>
        <w:tc>
          <w:tcPr>
            <w:tcW w:w="0" w:type="dxa"/>
            <w:vAlign w:val="bottom"/>
          </w:tcPr>
          <w:p>
            <w:pPr>
              <w:spacing w:after="0"/>
              <w:rPr>
                <w:sz w:val="1"/>
                <w:szCs w:val="1"/>
                <w:color w:val="auto"/>
              </w:rPr>
            </w:pPr>
          </w:p>
        </w:tc>
      </w:tr>
      <w:tr>
        <w:trPr>
          <w:trHeight w:val="208"/>
        </w:trPr>
        <w:tc>
          <w:tcPr>
            <w:tcW w:w="3520" w:type="dxa"/>
            <w:vAlign w:val="bottom"/>
          </w:tcPr>
          <w:p>
            <w:pPr>
              <w:spacing w:after="0"/>
              <w:rPr>
                <w:sz w:val="18"/>
                <w:szCs w:val="18"/>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577"/>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6"/>
                <w:szCs w:val="16"/>
                <w:color w:val="auto"/>
              </w:rPr>
              <w:t>2</w:t>
            </w:r>
          </w:p>
        </w:tc>
        <w:tc>
          <w:tcPr>
            <w:tcW w:w="3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gridSpan w:val="3"/>
          </w:tcPr>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82"/>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120" w:type="dxa"/>
            <w:vAlign w:val="bottom"/>
            <w:gridSpan w:val="3"/>
          </w:tcPr>
          <w:p>
            <w:pPr>
              <w:ind w:left="46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
        </w:trPr>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4"/>
                <w:szCs w:val="14"/>
                <w:color w:val="auto"/>
              </w:rPr>
            </w:pPr>
          </w:p>
        </w:tc>
        <w:tc>
          <w:tcPr>
            <w:tcW w:w="101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Press release, dated August 10, 2022, titled “Kornit Digital Reports Second Quarter 2022 Results”</w:t>
            </w:r>
          </w:p>
        </w:tc>
      </w:tr>
      <w:tr>
        <w:trPr>
          <w:trHeight w:val="191"/>
        </w:trPr>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260" w:type="dxa"/>
            <w:vAlign w:val="bottom"/>
            <w:tcBorders>
              <w:top w:val="single" w:sz="8" w:color="0000EE"/>
            </w:tcBorders>
          </w:tcPr>
          <w:p>
            <w:pPr>
              <w:spacing w:after="0"/>
              <w:rPr>
                <w:sz w:val="16"/>
                <w:szCs w:val="16"/>
                <w:color w:val="auto"/>
              </w:rPr>
            </w:pPr>
          </w:p>
        </w:tc>
        <w:tc>
          <w:tcPr>
            <w:tcW w:w="2700" w:type="dxa"/>
            <w:vAlign w:val="bottom"/>
            <w:tcBorders>
              <w:top w:val="single" w:sz="8" w:color="CCEEFF"/>
            </w:tcBorders>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shd w:val="clear" w:color="auto" w:fill="CCEEFF"/>
          </w:tcPr>
          <w:p>
            <w:pPr>
              <w:spacing w:after="0"/>
              <w:rPr>
                <w:sz w:val="14"/>
                <w:szCs w:val="14"/>
                <w:color w:val="auto"/>
              </w:rPr>
            </w:pPr>
          </w:p>
        </w:tc>
        <w:tc>
          <w:tcPr>
            <w:tcW w:w="10120" w:type="dxa"/>
            <w:vAlign w:val="bottom"/>
            <w:gridSpan w:val="3"/>
            <w:shd w:val="clear" w:color="auto" w:fill="CCEEFF"/>
          </w:tcPr>
          <w:p>
            <w:pPr>
              <w:jc w:val="center"/>
              <w:ind w:right="1160"/>
              <w:spacing w:after="0" w:line="155" w:lineRule="exact"/>
              <w:rPr>
                <w:sz w:val="20"/>
                <w:szCs w:val="20"/>
                <w:color w:val="auto"/>
              </w:rPr>
            </w:pPr>
            <w:r>
              <w:rPr>
                <w:rFonts w:ascii="Times New Roman" w:cs="Times New Roman" w:eastAsia="Times New Roman" w:hAnsi="Times New Roman"/>
                <w:sz w:val="16"/>
                <w:szCs w:val="16"/>
                <w:color w:val="0000EE"/>
                <w:w w:val="99"/>
              </w:rPr>
              <w:t>Slide presentation for conference call of Kornit held on August 10, 2022 discussing quarterly financial results for the second quarter of 2022</w:t>
            </w:r>
          </w:p>
        </w:tc>
      </w:tr>
      <w:tr>
        <w:trPr>
          <w:trHeight w:val="577"/>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260" w:type="dxa"/>
            <w:vAlign w:val="bottom"/>
            <w:tcBorders>
              <w:top w:val="single" w:sz="8" w:color="0000EE"/>
              <w:bottom w:val="single" w:sz="8" w:color="auto"/>
            </w:tcBorders>
          </w:tcPr>
          <w:p>
            <w:pPr>
              <w:jc w:val="center"/>
              <w:ind w:left="2620"/>
              <w:spacing w:after="0"/>
              <w:rPr>
                <w:sz w:val="20"/>
                <w:szCs w:val="20"/>
                <w:color w:val="auto"/>
              </w:rPr>
            </w:pPr>
            <w:r>
              <w:rPr>
                <w:rFonts w:ascii="Times New Roman" w:cs="Times New Roman" w:eastAsia="Times New Roman" w:hAnsi="Times New Roman"/>
                <w:sz w:val="16"/>
                <w:szCs w:val="16"/>
                <w:color w:val="auto"/>
                <w:w w:val="99"/>
              </w:rPr>
              <w:t>3</w:t>
            </w:r>
          </w:p>
        </w:tc>
        <w:tc>
          <w:tcPr>
            <w:tcW w:w="2700" w:type="dxa"/>
            <w:vAlign w:val="bottom"/>
            <w:tcBorders>
              <w:top w:val="single" w:sz="8" w:color="0000EE"/>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Andrew G. Backman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Global Head of Investor Relations</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andrew.backman@kornit.com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069975" cy="645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9975" cy="64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Kornit Digital Reports Second Quarter 2022 Results</w:t>
      </w:r>
    </w:p>
    <w:p>
      <w:pPr>
        <w:spacing w:after="0" w:line="200" w:lineRule="exact"/>
        <w:rPr>
          <w:sz w:val="20"/>
          <w:szCs w:val="20"/>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quarter revenues of $58.1 million, net of non-cash warrants impact of $4.5 million, in line with preliminary results issued on July 5, 2022</w:t>
      </w:r>
    </w:p>
    <w:p>
      <w:pPr>
        <w:spacing w:after="0" w:line="198"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quarter GAAP operating loss of $24.9 million; Non-GAAP operating loss of $18.3 million, net of $4.5 million attributed to the non-cash impact of warrants</w:t>
      </w:r>
    </w:p>
    <w:p>
      <w:pPr>
        <w:spacing w:after="0" w:line="198"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Board of Directors approves $75 million share repurchase program</w:t>
      </w:r>
    </w:p>
    <w:p>
      <w:pPr>
        <w:spacing w:after="0" w:line="198"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Announces CFO transition; Industry veteran Lauri Hanover to join Kornit executive management team as Chief Financial Officer</w:t>
      </w:r>
    </w:p>
    <w:p>
      <w:pPr>
        <w:spacing w:after="0" w:line="196" w:lineRule="exact"/>
        <w:rPr>
          <w:sz w:val="20"/>
          <w:szCs w:val="20"/>
          <w:color w:val="auto"/>
        </w:rPr>
      </w:pPr>
    </w:p>
    <w:p>
      <w:pPr>
        <w:ind w:left="4" w:right="200"/>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Rosh-Ha’Ayin, Israel – August 10, 2022 – </w:t>
      </w:r>
      <w:r>
        <w:rPr>
          <w:rFonts w:ascii="Times New Roman" w:cs="Times New Roman" w:eastAsia="Times New Roman" w:hAnsi="Times New Roman"/>
          <w:sz w:val="16"/>
          <w:szCs w:val="16"/>
          <w:color w:val="auto"/>
        </w:rPr>
        <w:t>Kornit Digital Ltd. (“Kornit” or “the Company”) (Nasdaq: KRNT), a worldwide market leader in sustainable, on-demand, digital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fashion</w:t>
      </w:r>
      <w:r>
        <w:rPr>
          <w:rFonts w:ascii="Times New Roman" w:cs="Times New Roman" w:eastAsia="Times New Roman" w:hAnsi="Times New Roman"/>
          <w:sz w:val="26"/>
          <w:szCs w:val="26"/>
          <w:color w:val="auto"/>
          <w:vertAlign w:val="superscript"/>
        </w:rPr>
        <w:t>X</w:t>
      </w:r>
      <w:r>
        <w:rPr>
          <w:rFonts w:ascii="Times New Roman" w:cs="Times New Roman" w:eastAsia="Times New Roman" w:hAnsi="Times New Roman"/>
          <w:sz w:val="16"/>
          <w:szCs w:val="16"/>
          <w:color w:val="auto"/>
        </w:rPr>
        <w:t xml:space="preserve"> and textile production technologies, reported today results for the second quarter ended June 30, 2022.</w:t>
      </w:r>
    </w:p>
    <w:p>
      <w:pPr>
        <w:spacing w:after="0" w:line="26"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6"/>
          <w:szCs w:val="16"/>
          <w:color w:val="auto"/>
        </w:rPr>
        <w:t>“While the overall operating environment remains challenging, we believe the industry will continue its long-term secular growth, fueled by the mega-trends we’ve discussed in the past,” said Ronen Samuel, Kornit Digital’s Chief Executive Officer. “We are navigating the current market dynamics by working closely with global brands, retailers and fulfillers to shift production volumes to on-demand, executing on new product introductions and adoption of these innovative technologies, and focusing on returning to profitability.”</w:t>
      </w:r>
    </w:p>
    <w:p>
      <w:pPr>
        <w:spacing w:after="0" w:line="162" w:lineRule="exact"/>
        <w:rPr>
          <w:sz w:val="20"/>
          <w:szCs w:val="20"/>
          <w:color w:val="auto"/>
        </w:rPr>
      </w:pPr>
    </w:p>
    <w:p>
      <w:pPr>
        <w:ind w:left="4" w:right="240"/>
        <w:spacing w:after="0" w:line="265" w:lineRule="auto"/>
        <w:rPr>
          <w:sz w:val="20"/>
          <w:szCs w:val="20"/>
          <w:color w:val="auto"/>
        </w:rPr>
      </w:pPr>
      <w:r>
        <w:rPr>
          <w:rFonts w:ascii="Times New Roman" w:cs="Times New Roman" w:eastAsia="Times New Roman" w:hAnsi="Times New Roman"/>
          <w:sz w:val="16"/>
          <w:szCs w:val="16"/>
          <w:color w:val="auto"/>
        </w:rPr>
        <w:t>Mr. Samuel continued, “Our vision remains unchanged and we remain extremely confident in the fundamentals of the business. With our solid financial foundation and dedicated global team of professionals, we continue to be laser focused on leading the industry’s transformation from analog manufacturing to sustainable on-demand digital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367030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5" w:name="page6"/>
    <w:bookmarkEnd w:id="5"/>
    <w:p>
      <w:pPr>
        <w:ind w:left="4" w:right="120"/>
        <w:spacing w:after="0" w:line="280" w:lineRule="auto"/>
        <w:rPr>
          <w:sz w:val="20"/>
          <w:szCs w:val="20"/>
          <w:color w:val="auto"/>
        </w:rPr>
      </w:pPr>
      <w:r>
        <w:rPr>
          <w:rFonts w:ascii="Times New Roman" w:cs="Times New Roman" w:eastAsia="Times New Roman" w:hAnsi="Times New Roman"/>
          <w:sz w:val="16"/>
          <w:szCs w:val="16"/>
          <w:color w:val="auto"/>
        </w:rPr>
        <w:t>The following table compares the adverse, non-cash impact that the Company’s outstanding warrants had on the Company’s results of operations during the second quarters of 2022 and 2021, respectively:</w:t>
      </w:r>
    </w:p>
    <w:p>
      <w:pPr>
        <w:spacing w:after="0" w:line="142"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376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Second Quarter Warrants Impact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64"/>
        </w:trPr>
        <w:tc>
          <w:tcPr>
            <w:tcW w:w="35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4"/>
        </w:trPr>
        <w:tc>
          <w:tcPr>
            <w:tcW w:w="3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5"/>
        </w:trPr>
        <w:tc>
          <w:tcPr>
            <w:tcW w:w="35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9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73"/>
        </w:trPr>
        <w:tc>
          <w:tcPr>
            <w:tcW w:w="35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40" w:type="dxa"/>
            <w:vAlign w:val="bottom"/>
            <w:gridSpan w:val="3"/>
          </w:tcPr>
          <w:p>
            <w:pPr>
              <w:jc w:val="right"/>
              <w:ind w:right="300"/>
              <w:spacing w:after="0" w:line="173" w:lineRule="exact"/>
              <w:rPr>
                <w:sz w:val="20"/>
                <w:szCs w:val="20"/>
                <w:color w:val="auto"/>
              </w:rPr>
            </w:pPr>
            <w:r>
              <w:rPr>
                <w:rFonts w:ascii="Times New Roman" w:cs="Times New Roman" w:eastAsia="Times New Roman" w:hAnsi="Times New Roman"/>
                <w:sz w:val="16"/>
                <w:szCs w:val="16"/>
                <w:b w:val="1"/>
                <w:bCs w:val="1"/>
                <w:color w:val="auto"/>
                <w:w w:val="99"/>
              </w:rPr>
              <w:t>Net of Warrants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ind w:left="80"/>
              <w:spacing w:after="0" w:line="173" w:lineRule="exact"/>
              <w:rPr>
                <w:sz w:val="20"/>
                <w:szCs w:val="20"/>
                <w:color w:val="auto"/>
              </w:rPr>
            </w:pPr>
            <w:r>
              <w:rPr>
                <w:rFonts w:ascii="Times New Roman" w:cs="Times New Roman" w:eastAsia="Times New Roman" w:hAnsi="Times New Roman"/>
                <w:sz w:val="16"/>
                <w:szCs w:val="16"/>
                <w:b w:val="1"/>
                <w:bCs w:val="1"/>
                <w:color w:val="auto"/>
              </w:rPr>
              <w:t>Warrants</w:t>
            </w:r>
          </w:p>
        </w:tc>
        <w:tc>
          <w:tcPr>
            <w:tcW w:w="260" w:type="dxa"/>
            <w:vAlign w:val="bottom"/>
          </w:tcPr>
          <w:p>
            <w:pPr>
              <w:spacing w:after="0"/>
              <w:rPr>
                <w:sz w:val="15"/>
                <w:szCs w:val="15"/>
                <w:color w:val="auto"/>
              </w:rPr>
            </w:pPr>
          </w:p>
        </w:tc>
        <w:tc>
          <w:tcPr>
            <w:tcW w:w="1300" w:type="dxa"/>
            <w:vAlign w:val="bottom"/>
            <w:gridSpan w:val="3"/>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Net of Warrants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ind w:left="60"/>
              <w:spacing w:after="0" w:line="173" w:lineRule="exact"/>
              <w:rPr>
                <w:sz w:val="20"/>
                <w:szCs w:val="20"/>
                <w:color w:val="auto"/>
              </w:rPr>
            </w:pPr>
            <w:r>
              <w:rPr>
                <w:rFonts w:ascii="Times New Roman" w:cs="Times New Roman" w:eastAsia="Times New Roman" w:hAnsi="Times New Roman"/>
                <w:sz w:val="16"/>
                <w:szCs w:val="16"/>
                <w:b w:val="1"/>
                <w:bCs w:val="1"/>
                <w:color w:val="auto"/>
              </w:rPr>
              <w:t>Warrants</w:t>
            </w:r>
          </w:p>
        </w:tc>
        <w:tc>
          <w:tcPr>
            <w:tcW w:w="160" w:type="dxa"/>
            <w:vAlign w:val="bottom"/>
          </w:tcPr>
          <w:p>
            <w:pPr>
              <w:spacing w:after="0"/>
              <w:rPr>
                <w:sz w:val="15"/>
                <w:szCs w:val="15"/>
                <w:color w:val="auto"/>
              </w:rPr>
            </w:pPr>
          </w:p>
        </w:tc>
      </w:tr>
      <w:tr>
        <w:trPr>
          <w:trHeight w:val="214"/>
        </w:trPr>
        <w:tc>
          <w:tcPr>
            <w:tcW w:w="3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8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Impact</w:t>
            </w:r>
          </w:p>
        </w:tc>
      </w:tr>
      <w:tr>
        <w:trPr>
          <w:trHeight w:val="191"/>
        </w:trPr>
        <w:tc>
          <w:tcPr>
            <w:tcW w:w="35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56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58.1M</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4.5M</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81.7M</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93"/>
              </w:rPr>
              <w:t>6.6M</w:t>
            </w:r>
          </w:p>
        </w:tc>
      </w:tr>
      <w:tr>
        <w:trPr>
          <w:trHeight w:val="191"/>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Non-GAAP Gross Margin</w:t>
            </w: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4.4%</w:t>
            </w:r>
          </w:p>
        </w:tc>
        <w:tc>
          <w:tcPr>
            <w:tcW w:w="82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48.2%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5"/>
              </w:rPr>
              <w:t>3.9%</w:t>
            </w:r>
          </w:p>
        </w:tc>
      </w:tr>
      <w:tr>
        <w:trPr>
          <w:trHeight w:val="191"/>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Margin</w:t>
            </w:r>
          </w:p>
        </w:tc>
        <w:tc>
          <w:tcPr>
            <w:tcW w:w="2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9.5%</w:t>
            </w:r>
          </w:p>
        </w:tc>
        <w:tc>
          <w:tcPr>
            <w:tcW w:w="8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12.5%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95"/>
              </w:rPr>
              <w:t>6.5%</w:t>
            </w:r>
          </w:p>
        </w:tc>
      </w:tr>
      <w:tr>
        <w:trPr>
          <w:trHeight w:val="191"/>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Non-GAAP Net Margin</w:t>
            </w: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9.1%</w:t>
            </w:r>
          </w:p>
        </w:tc>
        <w:tc>
          <w:tcPr>
            <w:tcW w:w="82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12.8%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5"/>
              </w:rPr>
              <w:t>6.5%</w:t>
            </w:r>
          </w:p>
        </w:tc>
      </w:tr>
      <w:tr>
        <w:trPr>
          <w:trHeight w:val="191"/>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Earnings Per Share</w:t>
            </w:r>
          </w:p>
        </w:tc>
        <w:tc>
          <w:tcPr>
            <w:tcW w:w="256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0.31)</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0.09</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0.22</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0.13</w:t>
            </w:r>
          </w:p>
        </w:tc>
      </w:tr>
    </w:tbl>
    <w:p>
      <w:pPr>
        <w:spacing w:after="0" w:line="175" w:lineRule="exact"/>
        <w:rPr>
          <w:sz w:val="20"/>
          <w:szCs w:val="20"/>
          <w:color w:val="auto"/>
        </w:rPr>
      </w:pPr>
    </w:p>
    <w:p>
      <w:pPr>
        <w:jc w:val="both"/>
        <w:ind w:left="4" w:right="60"/>
        <w:spacing w:after="0" w:line="259" w:lineRule="auto"/>
        <w:rPr>
          <w:sz w:val="20"/>
          <w:szCs w:val="20"/>
          <w:color w:val="auto"/>
        </w:rPr>
      </w:pPr>
      <w:r>
        <w:rPr>
          <w:rFonts w:ascii="Times New Roman" w:cs="Times New Roman" w:eastAsia="Times New Roman" w:hAnsi="Times New Roman"/>
          <w:sz w:val="16"/>
          <w:szCs w:val="16"/>
          <w:color w:val="auto"/>
        </w:rPr>
        <w:t>“We continue to strategically look at all aspects of our business and are adjusting our cost structure as needed, including a recent focused reduction-in-force, while reallocating resources to key growth initiatives and investments in long-term programs that support our customers’ needs,” said Alon Rozner, Kornit Digital’s Chief Financial Officer. “Our extremely strong balance sheet provides us with a great foundation to navigate the current market conditions and volatility, while focusing on longer-term opportunities to drive profitable growth.”</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Second Quarter 2022 Results of Operations</w:t>
      </w:r>
    </w:p>
    <w:p>
      <w:pPr>
        <w:spacing w:after="0" w:line="200" w:lineRule="exact"/>
        <w:rPr>
          <w:sz w:val="20"/>
          <w:szCs w:val="20"/>
          <w:color w:val="auto"/>
        </w:rPr>
      </w:pPr>
    </w:p>
    <w:p>
      <w:pPr>
        <w:ind w:left="284" w:right="26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 for the second quarter of 2022 was $58.1 million, net of $4.5 million attributed to the non-cash impact of warrants, compared to $81.7 million, net of $6.6 million attributed to the non-cash impact of warrants in the prior year period.</w:t>
      </w:r>
    </w:p>
    <w:p>
      <w:pPr>
        <w:spacing w:after="0" w:line="144" w:lineRule="exact"/>
        <w:rPr>
          <w:rFonts w:ascii="Times New Roman" w:cs="Times New Roman" w:eastAsia="Times New Roman" w:hAnsi="Times New Roman"/>
          <w:sz w:val="16"/>
          <w:szCs w:val="16"/>
          <w:color w:val="auto"/>
        </w:rPr>
      </w:pPr>
    </w:p>
    <w:p>
      <w:pPr>
        <w:ind w:left="284" w:right="36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net loss for the second quarter of 2022 was $19.5 million, or ($0.39) per basic share, compared to net income of $5.6 million, or $0.12 per diluted share, for the second quarter of 2021.</w:t>
      </w:r>
    </w:p>
    <w:p>
      <w:pPr>
        <w:spacing w:after="0" w:line="144" w:lineRule="exact"/>
        <w:rPr>
          <w:rFonts w:ascii="Times New Roman" w:cs="Times New Roman" w:eastAsia="Times New Roman" w:hAnsi="Times New Roman"/>
          <w:sz w:val="16"/>
          <w:szCs w:val="16"/>
          <w:color w:val="auto"/>
        </w:rPr>
      </w:pPr>
    </w:p>
    <w:p>
      <w:pPr>
        <w:jc w:val="both"/>
        <w:ind w:left="284" w:right="80" w:hanging="284"/>
        <w:spacing w:after="0" w:line="265"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loss for the second quarter of 2022 was $15.6 million, or ($0.31) per basic share, net of $0.09 per basic share attributed to the non-cash impact of warrants, compared to non-GAAP net income of $10.5 million, or $0.22 per diluted share, net of $0.13 per diluted share attributed to the non-cash impact of warrants, for the second quarter of 2021.</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Third Quarter 2022 Guidance</w:t>
      </w:r>
    </w:p>
    <w:p>
      <w:pPr>
        <w:spacing w:after="0" w:line="200" w:lineRule="exact"/>
        <w:rPr>
          <w:sz w:val="20"/>
          <w:szCs w:val="20"/>
          <w:color w:val="auto"/>
        </w:rPr>
      </w:pPr>
    </w:p>
    <w:p>
      <w:pPr>
        <w:ind w:left="4" w:right="160"/>
        <w:spacing w:after="0" w:line="265" w:lineRule="auto"/>
        <w:rPr>
          <w:sz w:val="20"/>
          <w:szCs w:val="20"/>
          <w:color w:val="auto"/>
        </w:rPr>
      </w:pPr>
      <w:r>
        <w:rPr>
          <w:rFonts w:ascii="Times New Roman" w:cs="Times New Roman" w:eastAsia="Times New Roman" w:hAnsi="Times New Roman"/>
          <w:sz w:val="16"/>
          <w:szCs w:val="16"/>
          <w:color w:val="auto"/>
        </w:rPr>
        <w:t>For the third quarter of 2022, the Company expects revenue to be in the range of $66 million to $70 million; non-GAAP operating margins to be in the range of -15% to -11% of revenue; EBITDA Margins to be in the range of -12% to -8%. Consistent with past practice, this guidance excludes the impact of the fair value of issued warrants in the quarter.</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$75 million Share Repurchase Authorization</w:t>
      </w:r>
    </w:p>
    <w:p>
      <w:pPr>
        <w:spacing w:after="0" w:line="200" w:lineRule="exact"/>
        <w:rPr>
          <w:sz w:val="20"/>
          <w:szCs w:val="20"/>
          <w:color w:val="auto"/>
        </w:rPr>
      </w:pPr>
    </w:p>
    <w:p>
      <w:pPr>
        <w:ind w:left="4" w:right="240"/>
        <w:spacing w:after="0" w:line="280" w:lineRule="auto"/>
        <w:rPr>
          <w:sz w:val="20"/>
          <w:szCs w:val="20"/>
          <w:color w:val="auto"/>
        </w:rPr>
      </w:pPr>
      <w:r>
        <w:rPr>
          <w:rFonts w:ascii="Times New Roman" w:cs="Times New Roman" w:eastAsia="Times New Roman" w:hAnsi="Times New Roman"/>
          <w:sz w:val="16"/>
          <w:szCs w:val="16"/>
          <w:color w:val="auto"/>
        </w:rPr>
        <w:t>The Company announced today that its Board of Directors has authorized the repurchase of up to $75 million of the Company’s ordinary shares, subject to the completion of required Israeli regulatory procedures.</w:t>
      </w:r>
    </w:p>
    <w:p>
      <w:pPr>
        <w:spacing w:after="0" w:line="144" w:lineRule="exact"/>
        <w:rPr>
          <w:sz w:val="20"/>
          <w:szCs w:val="20"/>
          <w:color w:val="auto"/>
        </w:rPr>
      </w:pPr>
    </w:p>
    <w:p>
      <w:pPr>
        <w:ind w:left="4" w:right="120"/>
        <w:spacing w:after="0" w:line="259" w:lineRule="auto"/>
        <w:rPr>
          <w:sz w:val="20"/>
          <w:szCs w:val="20"/>
          <w:color w:val="auto"/>
        </w:rPr>
      </w:pPr>
      <w:r>
        <w:rPr>
          <w:rFonts w:ascii="Times New Roman" w:cs="Times New Roman" w:eastAsia="Times New Roman" w:hAnsi="Times New Roman"/>
          <w:sz w:val="16"/>
          <w:szCs w:val="16"/>
          <w:color w:val="auto"/>
        </w:rPr>
        <w:t>“A share repurchase program is a flexible way to return capital to our shareholders when we see significant value in our stock,” said Mr. Rozner. “In evaluating our capital allocation plans and the current trading levels of our stock, the Board and management believe that using a portion of the cash on our extremely strong balance sheet – which included approximately $705 million in cash, cash equivalents, and marketable securities at the end of the second quarter – for repurchases of our ordinary shares is in the best interests of the Company and its shareholders, and will not adversely impact our ability to execute on our growth plans.”</w:t>
      </w:r>
    </w:p>
    <w:p>
      <w:pPr>
        <w:spacing w:after="0" w:line="162"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6"/>
          <w:szCs w:val="16"/>
          <w:color w:val="auto"/>
        </w:rPr>
        <w:t>The program is subject to Kornit’s Board of Directors’ final confirmation that the Company meets certain liquidity-related requirements under the Israeli Companies Law, as well as Kornit’s receipt of Israeli court approval, which would cover an initial period of six months, after which period renewed court approval would be needed to continue the program. The court approval process is expected to take several months. If and when the Company receives court approval, repurchases may be made from time to time through open market repurchases or through privately negotiated transactions, subject to market conditions, applicable legal requirements, and other relevant factors. Open market repurchases will be effected in accordance with the requirements of Rule 10b-18 under the Exchange Act. The Company may also, from time to time, enter into Rule 10b5-1 plans to facilitate repurchases of its shares under this authorization. The repurchase program does not obligate the Company to acquire any particular amount of its ordinary shares, and it may be modified, suspended, or terminated, at any time at the Company’s discretion. The timing and actual number of shares repurchased may depend on a variety of factors, including price, general business and market conditions, and alternative investment opportunities.</w:t>
      </w:r>
    </w:p>
    <w:p>
      <w:pPr>
        <w:spacing w:after="0" w:line="3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Announces CFO Transition</w:t>
      </w:r>
    </w:p>
    <w:p>
      <w:pPr>
        <w:spacing w:after="0" w:line="200"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6"/>
          <w:szCs w:val="16"/>
          <w:color w:val="auto"/>
        </w:rPr>
        <w:t>The Company also announced that Alon Rozner, Chief Financial Officer, will leave the Company for personal reasons. Kornit is pleased to appoint Lauri Hanover as the Company’s new CFO. To ensure an orderly transition, Mr. Rozner will continue as CFO until his expected departure in November.</w:t>
      </w:r>
    </w:p>
    <w:p>
      <w:pPr>
        <w:spacing w:after="0" w:line="14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Since March 2015, Ms. Hanover has served as a member of the Company’s Board of Directors. Ms. Hanover has over 25 years of CFO experience and financial expertise in the software, hardware, consumer goods, and industrials sectors. Ms. Hanover holds a B.A. from the University of Pennsylvania, a B.S. in Economics from The Wharton School of the University of Pennsylvania, as well as an M.B.A. from New York University.</w:t>
      </w:r>
    </w:p>
    <w:p>
      <w:pPr>
        <w:spacing w:after="0" w:line="15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Ms. Hanover will continue as a member of the Company’s Board of Directors (“Board”), but will step down as the Company’s Audit Committee Chair and as member of the Compensation Committee effective immediately. Current Board members Mr. Dov Ofer will assume the role of Audit Chairperson and Mr. Gabi Seligsohn will join the Audit Committee, while Mr. Stephen Nigro will join the Compensation Committee. Each of the foregoing individuals heading or joining those committees of the Board is an independent director and possesses the requisite credentials for the relevant role under the Nasdaq Listing Rules.</w:t>
      </w:r>
    </w:p>
    <w:p>
      <w:pPr>
        <w:spacing w:after="0" w:line="16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6"/>
          <w:szCs w:val="16"/>
          <w:color w:val="auto"/>
        </w:rPr>
        <w:t>“Alon has been an integral member of our executive management team and an immensely valued colleague to everyone here at Kornit,” said Ronen Samuel. “His exceptional leadership and vital contributions further strengthened and expanded the financial foundation of the firm, especially through the global pandemic. We wish him only the best in the future.”</w:t>
      </w:r>
    </w:p>
    <w:p>
      <w:pPr>
        <w:spacing w:after="0" w:line="1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“It has been a pleasure to serve as Kornit’s CFO and to work with such an amazing team across the world,” said Alon Rozner. “I have the utmost confidence in the Company, its strategy, and its leadership team, and have no doubt the Company will successfully transform the fashion and textile industry. I look forward to working with Lauri on a successful transition and wish everyone at Kornit tremendous success.”</w:t>
      </w:r>
    </w:p>
    <w:p>
      <w:pPr>
        <w:spacing w:after="0" w:line="155"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Commenting on her appointment, Ms. Hanover added, “I am truly honored to undertake this role with Kornit in a new capacity as CFO and look forward to working with Alon on the transition, and with the entire management team to execute on our long-term strategy and drive value creation.”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Second Quarter Earnings Conference Call Information</w:t>
      </w:r>
    </w:p>
    <w:p>
      <w:pPr>
        <w:spacing w:after="0" w:line="200"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The Company will host a conference call today at 8:30 a.m. ET, or 3:30 p.m. Israel time, to discuss the results, followed by a question-and-answer session with the investment community.</w:t>
      </w:r>
    </w:p>
    <w:p>
      <w:pPr>
        <w:spacing w:after="0" w:line="142"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A live webcast of the call </w:t>
      </w:r>
      <w:r>
        <w:rPr>
          <w:rFonts w:ascii="Times New Roman" w:cs="Times New Roman" w:eastAsia="Times New Roman" w:hAnsi="Times New Roman"/>
          <w:sz w:val="16"/>
          <w:szCs w:val="16"/>
          <w:color w:val="auto"/>
        </w:rPr>
        <w:t>can be accessed at ir.kornit.com. To access the call, participants may dial toll-free at 1-877-300-8521 or +1-412-317-6026. The toll-free Israeli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number is 1-809-213-284. The conference confirmation code is 10169717.</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To listen to a replay </w:t>
      </w:r>
      <w:r>
        <w:rPr>
          <w:rFonts w:ascii="Times New Roman" w:cs="Times New Roman" w:eastAsia="Times New Roman" w:hAnsi="Times New Roman"/>
          <w:sz w:val="16"/>
          <w:szCs w:val="16"/>
          <w:color w:val="auto"/>
        </w:rPr>
        <w:t>of the conference call, dial toll-free 1-844-512-2921 or +1-412-317-6671 (international) and enter confirmation code 10169717. The telephonic replay will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available approximately two hours after the completion of the live call until 11:59 pm ET on Wednesday, August 24, 2022. The call will also be available for replay via the webcast link on Kornit’s Investor Relations website.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Kornit Digital</w:t>
      </w:r>
    </w:p>
    <w:p>
      <w:pPr>
        <w:spacing w:after="0" w:line="204"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6"/>
          <w:szCs w:val="16"/>
          <w:color w:val="auto"/>
        </w:rPr>
        <w:t>Kornit Digital (NASDAQ: KRNT) is a worldwide market leader in sustainable, on-demand, digital fashion</w:t>
      </w:r>
      <w:r>
        <w:rPr>
          <w:rFonts w:ascii="Times New Roman" w:cs="Times New Roman" w:eastAsia="Times New Roman" w:hAnsi="Times New Roman"/>
          <w:sz w:val="26"/>
          <w:szCs w:val="26"/>
          <w:color w:val="auto"/>
          <w:vertAlign w:val="superscript"/>
        </w:rPr>
        <w:t>x</w:t>
      </w:r>
      <w:r>
        <w:rPr>
          <w:rFonts w:ascii="Times New Roman" w:cs="Times New Roman" w:eastAsia="Times New Roman" w:hAnsi="Times New Roman"/>
          <w:sz w:val="16"/>
          <w:szCs w:val="16"/>
          <w:color w:val="auto"/>
        </w:rPr>
        <w:t xml:space="preserve">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one hundred countries and states worldwide. To learn more about how Kornit Digital is boldly transforming the world of fashion and textiles, visit www.kornit.com.</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20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Company’s degree of success in developing, introducing and selling new or improved products and product enhancements including specifically the Company’s Poly Pro and Presto products; the extent of the Company’s ability to consummate sales to large accounts with multi-system delivery plans; the degree of the Company’s ability to fill orders for Kornit’s systems; the extent of the Company’s ability to increase sales of Kornit’s systems, ink and consumables; the extent of the Company’s ability to leverage Kornit’s global infrastructure build-out; the development of the market for digital textile printing; the availability of alternative ink; competition; sales concentration; changes to the Company’s relationships with suppliers; the extent of the Company’s success in marketing; the duration and severity of the adverse macro-economic trends triggered by the global COVID-19 pandemic, such as supply-chain delays inflationary pressures, and rising interest rates, which could potentially impact, in a material adverse manner, the Company’s operations, financial position and cash flows, and those of the Company’s customers and suppliers; receipt of court approval to effect the Company’s proposed share repurchase program; and those additional factors referred to under “Risk Factors” in Item 3.D of the Company’s Annual Report on Form 20-F for the year ended December 31, 2021, filed with the SEC on March 30, 2022. Any forward-looking statements in this press release are made as of the date hereof, whether as a result of new information, future events or otherwise, except as required by law.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Discussion Disclosure</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The non-GAAP financial measures presented consist of GAAP financial measures adjusted to exclude the impact of share-based compensation expenses, amortization of acquired intangible assets, acquisition related expenses, foreign exchange differences associated with ASC 842 and the related tax effect of the foregoing. The purpose of such adjustments is to provide an indication of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However,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ASSETS: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Short-term bank deposit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Marketable securities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Trade receivables, net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Inventory</w:t>
      </w:r>
    </w:p>
    <w:p>
      <w:pPr>
        <w:spacing w:after="0" w:line="7" w:lineRule="exact"/>
        <w:rPr>
          <w:sz w:val="20"/>
          <w:szCs w:val="20"/>
          <w:color w:val="auto"/>
        </w:rPr>
      </w:pPr>
    </w:p>
    <w:p>
      <w:pPr>
        <w:ind w:right="320" w:firstLine="143"/>
        <w:spacing w:after="0" w:line="289" w:lineRule="auto"/>
        <w:rPr>
          <w:sz w:val="20"/>
          <w:szCs w:val="20"/>
          <w:color w:val="auto"/>
        </w:rPr>
      </w:pPr>
      <w:r>
        <w:rPr>
          <w:rFonts w:ascii="Times New Roman" w:cs="Times New Roman" w:eastAsia="Times New Roman" w:hAnsi="Times New Roman"/>
          <w:sz w:val="16"/>
          <w:szCs w:val="16"/>
          <w:color w:val="auto"/>
        </w:rPr>
        <w:t>Other accounts receivable and prepaid expenses Total current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LONG-TERM ASSETS: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Marketable securities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Deposits and other long-term assets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Severance pay fund</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Deferred taxes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Property,plant and equipment, net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Intangible assets, net</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Goodwill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long-term assets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assets</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19"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180" w:lineRule="exact"/>
        <w:rPr>
          <w:sz w:val="20"/>
          <w:szCs w:val="20"/>
          <w:color w:val="auto"/>
        </w:rPr>
      </w:pPr>
    </w:p>
    <w:tbl>
      <w:tblPr>
        <w:tblLayout w:type="fixed"/>
        <w:tblInd w:w="444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4"/>
        </w:trPr>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5"/>
        </w:trPr>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57"/>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196,611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611,551</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260,063</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9,168</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21,726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28,116</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60,473</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49,797</w:t>
            </w:r>
          </w:p>
        </w:tc>
      </w:tr>
      <w:tr>
        <w:trPr>
          <w:trHeight w:val="203"/>
        </w:trPr>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89,580</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63,017</w:t>
            </w:r>
          </w:p>
        </w:tc>
      </w:tr>
      <w:tr>
        <w:trPr>
          <w:trHeight w:val="212"/>
        </w:trPr>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13,465</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13,694</w:t>
            </w:r>
          </w:p>
        </w:tc>
      </w:tr>
      <w:tr>
        <w:trPr>
          <w:trHeight w:val="195"/>
        </w:trPr>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641,918</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775,343</w:t>
            </w:r>
          </w:p>
        </w:tc>
      </w:tr>
      <w:tr>
        <w:trPr>
          <w:trHeight w:val="557"/>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226,173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149,269</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2,531</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14,153</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9,339</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53,189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45,046</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28,658</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25,155</w:t>
            </w:r>
          </w:p>
        </w:tc>
      </w:tr>
      <w:tr>
        <w:trPr>
          <w:trHeight w:val="203"/>
        </w:trPr>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10,063</w:t>
            </w:r>
          </w:p>
        </w:tc>
      </w:tr>
      <w:tr>
        <w:trPr>
          <w:trHeight w:val="212"/>
        </w:trPr>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29,164</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25,447</w:t>
            </w:r>
          </w:p>
        </w:tc>
      </w:tr>
      <w:tr>
        <w:trPr>
          <w:trHeight w:val="195"/>
        </w:trPr>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365,462</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265,532</w:t>
            </w:r>
          </w:p>
        </w:tc>
      </w:tr>
      <w:tr>
        <w:trPr>
          <w:trHeight w:val="422"/>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1,007,380</w:t>
            </w:r>
          </w:p>
        </w:tc>
        <w:tc>
          <w:tcPr>
            <w:tcW w:w="24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1,040,875</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-2564130</wp:posOffset>
            </wp:positionV>
            <wp:extent cx="7148195" cy="121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-2321560</wp:posOffset>
            </wp:positionV>
            <wp:extent cx="7148195" cy="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-2078355</wp:posOffset>
            </wp:positionV>
            <wp:extent cx="7148195"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-1820545</wp:posOffset>
            </wp:positionV>
            <wp:extent cx="7148195" cy="136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-1555115</wp:posOffset>
            </wp:positionV>
            <wp:extent cx="7148195" cy="121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-1311910</wp:posOffset>
            </wp:positionV>
            <wp:extent cx="7148195" cy="121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-1069340</wp:posOffset>
            </wp:positionV>
            <wp:extent cx="7148195"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-826770</wp:posOffset>
            </wp:positionV>
            <wp:extent cx="7148195" cy="12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-583565</wp:posOffset>
            </wp:positionV>
            <wp:extent cx="7148195" cy="136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-310515</wp:posOffset>
            </wp:positionV>
            <wp:extent cx="714819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20" w:space="720"/>
            <w:col w:w="7020"/>
          </w:cols>
          <w:pgMar w:left="320" w:top="814" w:right="319" w:bottom="1440" w:gutter="0" w:footer="0" w:header="0"/>
        </w:sectPr>
      </w:pPr>
    </w:p>
    <w:tbl>
      <w:tblPr>
        <w:tblLayout w:type="fixed"/>
        <w:tblInd w:w="0" w:type="dxa"/>
        <w:tblCellMar>
          <w:top w:w="0" w:type="dxa"/>
          <w:left w:w="0" w:type="dxa"/>
          <w:bottom w:w="0" w:type="dxa"/>
          <w:right w:w="0" w:type="dxa"/>
        </w:tblCellMar>
      </w:tblPr>
      <w:tr>
        <w:trPr>
          <w:trHeight w:val="171"/>
        </w:trPr>
        <w:tc>
          <w:tcPr>
            <w:tcW w:w="4520" w:type="dxa"/>
            <w:vAlign w:val="bottom"/>
            <w:shd w:val="clear" w:color="auto" w:fill="CCEEFF"/>
          </w:tcPr>
          <w:p>
            <w:pPr>
              <w:spacing w:after="0"/>
              <w:rPr>
                <w:sz w:val="14"/>
                <w:szCs w:val="14"/>
                <w:color w:val="auto"/>
              </w:rPr>
            </w:pPr>
          </w:p>
        </w:tc>
        <w:tc>
          <w:tcPr>
            <w:tcW w:w="4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payables</w:t>
            </w:r>
          </w:p>
        </w:tc>
        <w:tc>
          <w:tcPr>
            <w:tcW w:w="4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30,788</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46,448</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4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15,364</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22,482</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3,013</w:t>
            </w:r>
          </w:p>
        </w:tc>
        <w:tc>
          <w:tcPr>
            <w:tcW w:w="2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5,401</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5,071</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5,058</w:t>
            </w: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21,046</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17,287</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75,282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4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severance pay</w:t>
            </w:r>
          </w:p>
        </w:tc>
        <w:tc>
          <w:tcPr>
            <w:tcW w:w="4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1,217</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1,543</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22,533</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21,900</w:t>
            </w: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1,932</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1,203</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4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906,416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919,553</w:t>
            </w:r>
          </w:p>
        </w:tc>
        <w:tc>
          <w:tcPr>
            <w:tcW w:w="0" w:type="dxa"/>
            <w:vAlign w:val="bottom"/>
          </w:tcPr>
          <w:p>
            <w:pPr>
              <w:spacing w:after="0"/>
              <w:rPr>
                <w:sz w:val="1"/>
                <w:szCs w:val="1"/>
                <w:color w:val="auto"/>
              </w:rPr>
            </w:pPr>
          </w:p>
        </w:tc>
      </w:tr>
      <w:tr>
        <w:trPr>
          <w:trHeight w:val="191"/>
        </w:trPr>
        <w:tc>
          <w:tcPr>
            <w:tcW w:w="4520" w:type="dxa"/>
            <w:vAlign w:val="bottom"/>
            <w:tcBorders>
              <w:top w:val="single" w:sz="8" w:color="CCEEFF"/>
            </w:tcBorders>
          </w:tcPr>
          <w:p>
            <w:pPr>
              <w:spacing w:after="0"/>
              <w:rPr>
                <w:sz w:val="16"/>
                <w:szCs w:val="16"/>
                <w:color w:val="auto"/>
              </w:rPr>
            </w:pPr>
          </w:p>
        </w:tc>
        <w:tc>
          <w:tcPr>
            <w:tcW w:w="416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4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1,007,380</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1,040,875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right"/>
              <w:ind w:right="2940"/>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5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type w:val="continuous"/>
        </w:sectPr>
      </w:pPr>
    </w:p>
    <w:bookmarkStart w:id="9" w:name="page10"/>
    <w:bookmarkEnd w:id="9"/>
    <w:p>
      <w:pPr>
        <w:ind w:left="474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6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6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47,566</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72,176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120,080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130,122</w:t>
            </w:r>
          </w:p>
        </w:tc>
        <w:tc>
          <w:tcPr>
            <w:tcW w:w="0" w:type="dxa"/>
            <w:vAlign w:val="bottom"/>
          </w:tcPr>
          <w:p>
            <w:pPr>
              <w:spacing w:after="0"/>
              <w:rPr>
                <w:sz w:val="1"/>
                <w:szCs w:val="1"/>
                <w:color w:val="auto"/>
              </w:rPr>
            </w:pPr>
          </w:p>
        </w:tc>
      </w:tr>
      <w:tr>
        <w:trPr>
          <w:trHeight w:val="207"/>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10,570</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21,349</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17,667</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58,136</w:t>
            </w: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81,666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141,429</w:t>
            </w: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147,789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25,667</w:t>
            </w:r>
          </w:p>
        </w:tc>
        <w:tc>
          <w:tcPr>
            <w:tcW w:w="3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34,254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64,904</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62,429</w:t>
            </w: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11,937</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22,591</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16,368</w:t>
            </w:r>
          </w:p>
        </w:tc>
        <w:tc>
          <w:tcPr>
            <w:tcW w:w="0" w:type="dxa"/>
            <w:vAlign w:val="bottom"/>
          </w:tcPr>
          <w:p>
            <w:pPr>
              <w:spacing w:after="0"/>
              <w:rPr>
                <w:sz w:val="1"/>
                <w:szCs w:val="1"/>
                <w:color w:val="auto"/>
              </w:rPr>
            </w:pPr>
          </w:p>
        </w:tc>
      </w:tr>
      <w:tr>
        <w:trPr>
          <w:trHeight w:val="175"/>
        </w:trPr>
        <w:tc>
          <w:tcPr>
            <w:tcW w:w="5980" w:type="dxa"/>
            <w:vAlign w:val="bottom"/>
            <w:tcBorders>
              <w:top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Total cost of revenues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37,604</w:t>
            </w:r>
          </w:p>
        </w:tc>
        <w:tc>
          <w:tcPr>
            <w:tcW w:w="24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43,084</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87,495</w:t>
            </w:r>
          </w:p>
        </w:tc>
        <w:tc>
          <w:tcPr>
            <w:tcW w:w="2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78,797</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980" w:type="dxa"/>
            <w:vAlign w:val="bottom"/>
            <w:tcBorders>
              <w:bottom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20,532</w:t>
            </w:r>
          </w:p>
        </w:tc>
        <w:tc>
          <w:tcPr>
            <w:tcW w:w="2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38,582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53,934</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68,992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0" w:type="dxa"/>
            <w:vAlign w:val="bottom"/>
            <w:shd w:val="clear" w:color="auto" w:fill="CCEEFF"/>
          </w:tcPr>
          <w:p>
            <w:pPr>
              <w:spacing w:after="0"/>
              <w:rPr>
                <w:sz w:val="16"/>
                <w:szCs w:val="16"/>
                <w:color w:val="auto"/>
              </w:rPr>
            </w:pPr>
          </w:p>
        </w:tc>
        <w:tc>
          <w:tcPr>
            <w:tcW w:w="5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14,081</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28,091</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19,243</w:t>
            </w:r>
          </w:p>
        </w:tc>
        <w:tc>
          <w:tcPr>
            <w:tcW w:w="0" w:type="dxa"/>
            <w:vAlign w:val="bottom"/>
          </w:tcPr>
          <w:p>
            <w:pPr>
              <w:spacing w:after="0"/>
              <w:rPr>
                <w:sz w:val="1"/>
                <w:szCs w:val="1"/>
                <w:color w:val="auto"/>
              </w:rPr>
            </w:pPr>
          </w:p>
        </w:tc>
      </w:tr>
      <w:tr>
        <w:trPr>
          <w:trHeight w:val="191"/>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21,100</w:t>
            </w:r>
          </w:p>
        </w:tc>
        <w:tc>
          <w:tcPr>
            <w:tcW w:w="3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13,830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37,631</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24,879</w:t>
            </w: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10,250</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20,016</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15,689</w:t>
            </w:r>
          </w:p>
        </w:tc>
        <w:tc>
          <w:tcPr>
            <w:tcW w:w="0" w:type="dxa"/>
            <w:vAlign w:val="bottom"/>
          </w:tcPr>
          <w:p>
            <w:pPr>
              <w:spacing w:after="0"/>
              <w:rPr>
                <w:sz w:val="1"/>
                <w:szCs w:val="1"/>
                <w:color w:val="auto"/>
              </w:rPr>
            </w:pPr>
          </w:p>
        </w:tc>
      </w:tr>
      <w:tr>
        <w:trPr>
          <w:trHeight w:val="139"/>
        </w:trPr>
        <w:tc>
          <w:tcPr>
            <w:tcW w:w="5980" w:type="dxa"/>
            <w:vAlign w:val="bottom"/>
            <w:tcBorders>
              <w:top w:val="single" w:sz="8" w:color="CCEEFF"/>
            </w:tcBorders>
            <w:gridSpan w:val="2"/>
          </w:tcPr>
          <w:p>
            <w:pPr>
              <w:spacing w:after="0" w:line="139" w:lineRule="exact"/>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45,431</w:t>
            </w:r>
          </w:p>
        </w:tc>
        <w:tc>
          <w:tcPr>
            <w:tcW w:w="24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32,510</w:t>
            </w: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85,738</w:t>
            </w:r>
          </w:p>
        </w:tc>
        <w:tc>
          <w:tcPr>
            <w:tcW w:w="2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59,811</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320" w:type="dxa"/>
            <w:vAlign w:val="bottom"/>
            <w:shd w:val="clear" w:color="auto" w:fill="000000"/>
          </w:tcPr>
          <w:p>
            <w:pPr>
              <w:spacing w:after="0"/>
              <w:rPr>
                <w:sz w:val="2"/>
                <w:szCs w:val="2"/>
                <w:color w:val="auto"/>
              </w:rPr>
            </w:pPr>
          </w:p>
        </w:tc>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(24,899)</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(31,804)</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9,181</w:t>
            </w:r>
          </w:p>
        </w:tc>
        <w:tc>
          <w:tcPr>
            <w:tcW w:w="0" w:type="dxa"/>
            <w:vAlign w:val="bottom"/>
          </w:tcPr>
          <w:p>
            <w:pPr>
              <w:spacing w:after="0"/>
              <w:rPr>
                <w:sz w:val="1"/>
                <w:szCs w:val="1"/>
                <w:color w:val="auto"/>
              </w:rPr>
            </w:pPr>
          </w:p>
        </w:tc>
      </w:t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income, net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4,324</w:t>
            </w: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2,416</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taxes on income (tax benefits)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(20,575)</w:t>
            </w: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(25,681)</w:t>
            </w: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on income (tax benefits)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(1,099)</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(1,008)</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(19,476</w:t>
            </w:r>
          </w:p>
        </w:tc>
        <w:tc>
          <w:tcPr>
            <w:tcW w:w="2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(24,673</w:t>
            </w:r>
          </w:p>
        </w:tc>
        <w:tc>
          <w:tcPr>
            <w:tcW w:w="2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10,701</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net income (loss) per share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line="227" w:lineRule="exact"/>
              <w:rPr>
                <w:sz w:val="20"/>
                <w:szCs w:val="20"/>
                <w:color w:val="auto"/>
              </w:rPr>
            </w:pPr>
            <w:r>
              <w:rPr>
                <w:rFonts w:ascii="Times New Roman" w:cs="Times New Roman" w:eastAsia="Times New Roman" w:hAnsi="Times New Roman"/>
                <w:sz w:val="14"/>
                <w:szCs w:val="14"/>
                <w:color w:val="auto"/>
              </w:rPr>
              <w:t>(0.39</w:t>
            </w:r>
            <w:r>
              <w:rPr>
                <w:rFonts w:ascii="Times New Roman" w:cs="Times New Roman" w:eastAsia="Times New Roman" w:hAnsi="Times New Roman"/>
                <w:sz w:val="26"/>
                <w:szCs w:val="26"/>
                <w:color w:val="auto"/>
                <w:vertAlign w:val="superscript"/>
              </w:rPr>
              <w:t>)</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line="227" w:lineRule="exact"/>
              <w:rPr>
                <w:sz w:val="20"/>
                <w:szCs w:val="20"/>
                <w:color w:val="auto"/>
              </w:rPr>
            </w:pPr>
            <w:r>
              <w:rPr>
                <w:rFonts w:ascii="Times New Roman" w:cs="Times New Roman" w:eastAsia="Times New Roman" w:hAnsi="Times New Roman"/>
                <w:sz w:val="14"/>
                <w:szCs w:val="14"/>
                <w:color w:val="auto"/>
              </w:rPr>
              <w:t>(0.50</w:t>
            </w:r>
            <w:r>
              <w:rPr>
                <w:rFonts w:ascii="Times New Roman" w:cs="Times New Roman" w:eastAsia="Times New Roman" w:hAnsi="Times New Roman"/>
                <w:sz w:val="26"/>
                <w:szCs w:val="26"/>
                <w:color w:val="auto"/>
                <w:vertAlign w:val="superscript"/>
              </w:rPr>
              <w:t>)</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basic net income (loss) per share</w:t>
            </w:r>
          </w:p>
        </w:tc>
        <w:tc>
          <w:tcPr>
            <w:tcW w:w="2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49,756,990</w:t>
            </w:r>
          </w:p>
        </w:tc>
        <w:tc>
          <w:tcPr>
            <w:tcW w:w="36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46,196,720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49,707,782</w:t>
            </w:r>
          </w:p>
        </w:tc>
        <w:tc>
          <w:tcPr>
            <w:tcW w:w="340" w:type="dxa"/>
            <w:vAlign w:val="bottom"/>
          </w:tcPr>
          <w:p>
            <w:pPr>
              <w:spacing w:after="0"/>
              <w:rPr>
                <w:sz w:val="23"/>
                <w:szCs w:val="2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46,119,416</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Diluted net income (loss) per share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line="227" w:lineRule="exact"/>
              <w:rPr>
                <w:sz w:val="20"/>
                <w:szCs w:val="20"/>
                <w:color w:val="auto"/>
              </w:rPr>
            </w:pPr>
            <w:r>
              <w:rPr>
                <w:rFonts w:ascii="Times New Roman" w:cs="Times New Roman" w:eastAsia="Times New Roman" w:hAnsi="Times New Roman"/>
                <w:sz w:val="14"/>
                <w:szCs w:val="14"/>
                <w:color w:val="auto"/>
              </w:rPr>
              <w:t>(0.39</w:t>
            </w:r>
            <w:r>
              <w:rPr>
                <w:rFonts w:ascii="Times New Roman" w:cs="Times New Roman" w:eastAsia="Times New Roman" w:hAnsi="Times New Roman"/>
                <w:sz w:val="26"/>
                <w:szCs w:val="26"/>
                <w:color w:val="auto"/>
                <w:vertAlign w:val="superscript"/>
              </w:rPr>
              <w:t>)</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line="227" w:lineRule="exact"/>
              <w:rPr>
                <w:sz w:val="20"/>
                <w:szCs w:val="20"/>
                <w:color w:val="auto"/>
              </w:rPr>
            </w:pPr>
            <w:r>
              <w:rPr>
                <w:rFonts w:ascii="Times New Roman" w:cs="Times New Roman" w:eastAsia="Times New Roman" w:hAnsi="Times New Roman"/>
                <w:sz w:val="14"/>
                <w:szCs w:val="14"/>
                <w:color w:val="auto"/>
              </w:rPr>
              <w:t>(0.50</w:t>
            </w:r>
            <w:r>
              <w:rPr>
                <w:rFonts w:ascii="Times New Roman" w:cs="Times New Roman" w:eastAsia="Times New Roman" w:hAnsi="Times New Roman"/>
                <w:sz w:val="26"/>
                <w:szCs w:val="26"/>
                <w:color w:val="auto"/>
                <w:vertAlign w:val="superscript"/>
              </w:rPr>
              <w:t>)</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6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diluted net income (loss) per share</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49,756,990</w:t>
            </w:r>
          </w:p>
        </w:tc>
        <w:tc>
          <w:tcPr>
            <w:tcW w:w="3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47,849,783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49,707,782</w:t>
            </w:r>
          </w:p>
        </w:tc>
        <w:tc>
          <w:tcPr>
            <w:tcW w:w="3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47,709,429</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ind w:left="5580"/>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598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RECONCILATION OF GAAP TO NON-GAAP 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ectPr>
          <w:pgSz w:w="11900" w:h="16838" w:orient="portrait"/>
          <w:cols w:equalWidth="0" w:num="1">
            <w:col w:w="11260"/>
          </w:cols>
          <w:pgMar w:left="320" w:top="814" w:right="319" w:bottom="0" w:gutter="0" w:footer="0" w:header="0"/>
        </w:sectPr>
      </w:pPr>
    </w:p>
    <w:p>
      <w:pPr>
        <w:spacing w:after="0" w:line="180"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12065</wp:posOffset>
            </wp:positionV>
            <wp:extent cx="159321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6" w:lineRule="exact"/>
        <w:rPr>
          <w:sz w:val="20"/>
          <w:szCs w:val="20"/>
          <w:color w:val="auto"/>
        </w:rPr>
      </w:pPr>
    </w:p>
    <w:p>
      <w:pPr>
        <w:ind w:left="63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12065</wp:posOffset>
            </wp:positionV>
            <wp:extent cx="154813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2022</w:t>
      </w:r>
      <w:r>
        <w:rPr>
          <w:sz w:val="20"/>
          <w:szCs w:val="20"/>
          <w:color w:val="auto"/>
        </w:rPr>
        <w:tab/>
      </w:r>
      <w:r>
        <w:rPr>
          <w:rFonts w:ascii="Times New Roman" w:cs="Times New Roman" w:eastAsia="Times New Roman" w:hAnsi="Times New Roman"/>
          <w:sz w:val="15"/>
          <w:szCs w:val="15"/>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154813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16510</wp:posOffset>
            </wp:positionV>
            <wp:extent cx="154813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80" w:space="720"/>
            <w:col w:w="2160"/>
          </w:cols>
          <w:pgMar w:left="320" w:top="814" w:right="319" w:bottom="0" w:gutter="0" w:footer="0" w:header="0"/>
          <w:type w:val="continuous"/>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58,136</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81,666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141,429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147,789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GAAP cost of revenues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37,604</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43,084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87,495</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78,797</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product recorded for 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(606)</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(1,055)</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 recorded for 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(461)</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(846)</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on cost of product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(666)</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(839)</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amortization on cost of service (3)</w:t>
            </w: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(160)</w:t>
            </w:r>
          </w:p>
        </w:tc>
        <w:tc>
          <w:tcPr>
            <w:tcW w:w="2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(320)</w:t>
            </w: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cost of revenues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35,711</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42,313</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84,435</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77,309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gross profit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20,532</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38,582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53,934</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68,992</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adjustments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1,893</w:t>
            </w: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1,488</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22,425</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39,353</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56,994</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70,480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operating expenses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45,431</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32,510</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85,738</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59,811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(4,414)</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(3,241)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(8,878)</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(5,781)</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related expenses (2)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(512)</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amortization (3)</w:t>
            </w: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(333)</w:t>
            </w:r>
          </w:p>
        </w:tc>
        <w:tc>
          <w:tcPr>
            <w:tcW w:w="2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(419)</w:t>
            </w: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40,684</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29,150</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75,929</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53,792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Financial income, net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4,324</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2,416</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losses associated with ASC 842</w:t>
            </w: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(2,480)</w:t>
            </w: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(3,129)</w:t>
            </w: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Financial income,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1,844</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738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Taxes on income (tax benefit)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(1,099)</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821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(1,008)</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896</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Tax effect on to the above non-GAAP adjustments</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(187)</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140</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benefit based on an Israeli statutory tax rate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437</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Non-GAAP Taxes on income (tax benefit)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240" w:type="dxa"/>
            <w:vAlign w:val="bottom"/>
            <w:vMerge w:val="continue"/>
          </w:tcPr>
          <w:p>
            <w:pPr>
              <w:spacing w:after="0"/>
              <w:rPr>
                <w:sz w:val="21"/>
                <w:szCs w:val="21"/>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220" w:type="dxa"/>
            <w:vAlign w:val="bottom"/>
            <w:vMerge w:val="continue"/>
          </w:tcPr>
          <w:p>
            <w:pPr>
              <w:spacing w:after="0"/>
              <w:rPr>
                <w:sz w:val="21"/>
                <w:szCs w:val="21"/>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GAAP net income (loss)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(19,476)</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5,602</w:t>
            </w:r>
          </w:p>
        </w:tc>
        <w:tc>
          <w:tcPr>
            <w:tcW w:w="1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(24,673)</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10,701</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5,481</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10,779</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6,899</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expenses (2)</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512</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1,159</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losses associated with ASC 842</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(2,480)</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(3,129)</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effect ofthe above non-GAAP adjustments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187</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benefit at the Israeli statutory tax rate</w:t>
            </w: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(437)</w:t>
            </w: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(327)</w:t>
            </w: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(15,566</w:t>
            </w:r>
          </w:p>
        </w:tc>
        <w:tc>
          <w:tcPr>
            <w:tcW w:w="2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10,484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(15,400</w:t>
            </w:r>
          </w:p>
        </w:tc>
        <w:tc>
          <w:tcPr>
            <w:tcW w:w="2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18,214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diluted earning (loss) per share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00"/>
              <w:spacing w:after="0" w:line="227" w:lineRule="exact"/>
              <w:rPr>
                <w:sz w:val="20"/>
                <w:szCs w:val="20"/>
                <w:color w:val="auto"/>
              </w:rPr>
            </w:pPr>
            <w:r>
              <w:rPr>
                <w:rFonts w:ascii="Times New Roman" w:cs="Times New Roman" w:eastAsia="Times New Roman" w:hAnsi="Times New Roman"/>
                <w:sz w:val="14"/>
                <w:szCs w:val="14"/>
                <w:color w:val="auto"/>
              </w:rPr>
              <w:t>(0.39</w:t>
            </w:r>
            <w:r>
              <w:rPr>
                <w:rFonts w:ascii="Times New Roman" w:cs="Times New Roman" w:eastAsia="Times New Roman" w:hAnsi="Times New Roman"/>
                <w:sz w:val="26"/>
                <w:szCs w:val="26"/>
                <w:color w:val="auto"/>
                <w:vertAlign w:val="superscript"/>
              </w:rPr>
              <w:t>)</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0.12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line="227" w:lineRule="exact"/>
              <w:rPr>
                <w:sz w:val="20"/>
                <w:szCs w:val="20"/>
                <w:color w:val="auto"/>
              </w:rPr>
            </w:pPr>
            <w:r>
              <w:rPr>
                <w:rFonts w:ascii="Times New Roman" w:cs="Times New Roman" w:eastAsia="Times New Roman" w:hAnsi="Times New Roman"/>
                <w:sz w:val="14"/>
                <w:szCs w:val="14"/>
                <w:color w:val="auto"/>
              </w:rPr>
              <w:t>(0.50</w:t>
            </w:r>
            <w:r>
              <w:rPr>
                <w:rFonts w:ascii="Times New Roman" w:cs="Times New Roman" w:eastAsia="Times New Roman" w:hAnsi="Times New Roman"/>
                <w:sz w:val="26"/>
                <w:szCs w:val="26"/>
                <w:color w:val="auto"/>
                <w:vertAlign w:val="superscript"/>
              </w:rPr>
              <w: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earning (loss) per share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00"/>
              <w:spacing w:after="0" w:line="227" w:lineRule="exact"/>
              <w:rPr>
                <w:sz w:val="20"/>
                <w:szCs w:val="20"/>
                <w:color w:val="auto"/>
              </w:rPr>
            </w:pPr>
            <w:r>
              <w:rPr>
                <w:rFonts w:ascii="Times New Roman" w:cs="Times New Roman" w:eastAsia="Times New Roman" w:hAnsi="Times New Roman"/>
                <w:sz w:val="14"/>
                <w:szCs w:val="14"/>
                <w:color w:val="auto"/>
              </w:rPr>
              <w:t>(0.31</w:t>
            </w:r>
            <w:r>
              <w:rPr>
                <w:rFonts w:ascii="Times New Roman" w:cs="Times New Roman" w:eastAsia="Times New Roman" w:hAnsi="Times New Roman"/>
                <w:sz w:val="26"/>
                <w:szCs w:val="26"/>
                <w:color w:val="auto"/>
                <w:vertAlign w:val="superscript"/>
              </w:rPr>
              <w:t>)</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0.22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line="227" w:lineRule="exact"/>
              <w:rPr>
                <w:sz w:val="20"/>
                <w:szCs w:val="20"/>
                <w:color w:val="auto"/>
              </w:rPr>
            </w:pPr>
            <w:r>
              <w:rPr>
                <w:rFonts w:ascii="Times New Roman" w:cs="Times New Roman" w:eastAsia="Times New Roman" w:hAnsi="Times New Roman"/>
                <w:sz w:val="14"/>
                <w:szCs w:val="14"/>
                <w:color w:val="auto"/>
              </w:rPr>
              <w:t>(0.31</w:t>
            </w:r>
            <w:r>
              <w:rPr>
                <w:rFonts w:ascii="Times New Roman" w:cs="Times New Roman" w:eastAsia="Times New Roman" w:hAnsi="Times New Roman"/>
                <w:sz w:val="26"/>
                <w:szCs w:val="26"/>
                <w:color w:val="auto"/>
                <w:vertAlign w:val="superscript"/>
              </w:rPr>
              <w: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GAAP diluted net earning (loss)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49,756,990</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47,849,783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49,707,782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47,709,429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Non-GAAP diluted net earning (loss)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49,756,990</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48,189,266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49,707,782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47,941,113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 Share-based compensation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606</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220" w:type="dxa"/>
            <w:vAlign w:val="bottom"/>
          </w:tcPr>
          <w:p>
            <w:pPr>
              <w:spacing w:after="0"/>
              <w:rPr>
                <w:sz w:val="16"/>
                <w:szCs w:val="16"/>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461</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846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1,268</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1,071</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1,491</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2,333</w:t>
            </w:r>
          </w:p>
        </w:tc>
        <w:tc>
          <w:tcPr>
            <w:tcW w:w="0" w:type="dxa"/>
            <w:vAlign w:val="bottom"/>
          </w:tcPr>
          <w:p>
            <w:pPr>
              <w:spacing w:after="0"/>
              <w:rPr>
                <w:sz w:val="1"/>
                <w:szCs w:val="1"/>
                <w:color w:val="auto"/>
              </w:rPr>
            </w:pPr>
          </w:p>
        </w:tc>
      </w:tr>
      <w:tr>
        <w:trPr>
          <w:trHeight w:val="203"/>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1,655</w:t>
            </w: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2,377</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5,481</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10,779</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6,899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(2) Acquisition related expenses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512</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5980" w:type="dxa"/>
            <w:vAlign w:val="bottom"/>
          </w:tcPr>
          <w:p>
            <w:pPr>
              <w:spacing w:after="0"/>
              <w:rPr>
                <w:sz w:val="22"/>
                <w:szCs w:val="22"/>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512</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(3) Intangible assets amortization</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666</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839</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160</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03"/>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333</w:t>
            </w: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419</w:t>
            </w: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1,159</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814" w:right="319" w:bottom="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ectPr>
          <w:pgSz w:w="11900" w:h="16838" w:orient="portrait"/>
          <w:cols w:equalWidth="0" w:num="1">
            <w:col w:w="11260"/>
          </w:cols>
          <w:pgMar w:left="320" w:top="814" w:right="319" w:bottom="1440" w:gutter="0" w:footer="0" w:header="0"/>
        </w:sectPr>
      </w:pPr>
    </w:p>
    <w:p>
      <w:pPr>
        <w:spacing w:after="0" w:line="180"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12065</wp:posOffset>
            </wp:positionV>
            <wp:extent cx="159321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6" w:lineRule="exact"/>
        <w:rPr>
          <w:sz w:val="20"/>
          <w:szCs w:val="20"/>
          <w:color w:val="auto"/>
        </w:rPr>
      </w:pPr>
    </w:p>
    <w:p>
      <w:pPr>
        <w:ind w:left="63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12065</wp:posOffset>
            </wp:positionV>
            <wp:extent cx="154813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2022</w:t>
      </w:r>
      <w:r>
        <w:rPr>
          <w:sz w:val="20"/>
          <w:szCs w:val="20"/>
          <w:color w:val="auto"/>
        </w:rPr>
        <w:tab/>
      </w:r>
      <w:r>
        <w:rPr>
          <w:rFonts w:ascii="Times New Roman" w:cs="Times New Roman" w:eastAsia="Times New Roman" w:hAnsi="Times New Roman"/>
          <w:sz w:val="15"/>
          <w:szCs w:val="15"/>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154813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6" w:lineRule="exact"/>
        <w:rPr>
          <w:sz w:val="20"/>
          <w:szCs w:val="20"/>
          <w:color w:val="auto"/>
        </w:rPr>
      </w:pPr>
    </w:p>
    <w:p>
      <w:pPr>
        <w:sectPr>
          <w:pgSz w:w="11900" w:h="16838" w:orient="portrait"/>
          <w:cols w:equalWidth="0" w:num="2">
            <w:col w:w="8380" w:space="720"/>
            <w:col w:w="2160"/>
          </w:cols>
          <w:pgMar w:left="320" w:top="814" w:right="319" w:bottom="1440" w:gutter="0" w:footer="0" w:header="0"/>
          <w:type w:val="continuous"/>
        </w:sectPr>
      </w:pPr>
    </w:p>
    <w:tbl>
      <w:tblPr>
        <w:tblLayout w:type="fixed"/>
        <w:tblInd w:w="0" w:type="dxa"/>
        <w:tblCellMar>
          <w:top w:w="0" w:type="dxa"/>
          <w:left w:w="0" w:type="dxa"/>
          <w:bottom w:w="0" w:type="dxa"/>
          <w:right w:w="0" w:type="dxa"/>
        </w:tblCellMar>
      </w:tblPr>
      <w:tr>
        <w:trPr>
          <w:trHeight w:val="159"/>
        </w:trPr>
        <w:tc>
          <w:tcPr>
            <w:tcW w:w="5980" w:type="dxa"/>
            <w:vAlign w:val="bottom"/>
            <w:gridSpan w:val="4"/>
          </w:tcPr>
          <w:p>
            <w:pPr>
              <w:spacing w:after="0" w:line="159"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40"/>
        </w:trPr>
        <w:tc>
          <w:tcPr>
            <w:tcW w:w="2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(19,476)</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5,602</w:t>
            </w:r>
          </w:p>
        </w:tc>
        <w:tc>
          <w:tcPr>
            <w:tcW w:w="1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(24,673)</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10,701</w:t>
            </w:r>
          </w:p>
        </w:tc>
      </w:tr>
      <w:tr>
        <w:trPr>
          <w:trHeight w:val="175"/>
        </w:trPr>
        <w:tc>
          <w:tcPr>
            <w:tcW w:w="59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8"/>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activities: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3,322</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3,035</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Fair value of warrants deducted from revenues</w:t>
            </w:r>
          </w:p>
        </w:tc>
        <w:tc>
          <w:tcPr>
            <w:tcW w:w="3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4,516</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12,521</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9,711</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5,481</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10,779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6,899</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Amortization of premium and accretion of discount on marketable securities, net</w:t>
            </w:r>
          </w:p>
        </w:tc>
        <w:tc>
          <w:tcPr>
            <w:tcW w:w="3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484</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(1,298)</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gain on sale and redemption of marketable securities</w:t>
            </w: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63"/>
        </w:trPr>
        <w:tc>
          <w:tcPr>
            <w:tcW w:w="598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Change in operating assets and liabilities: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9"/>
        </w:trPr>
        <w:tc>
          <w:tcPr>
            <w:tcW w:w="2640" w:type="dxa"/>
            <w:vAlign w:val="bottom"/>
            <w:tcBorders>
              <w:top w:val="single" w:sz="8" w:color="auto"/>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receivables, net</w:t>
            </w:r>
          </w:p>
        </w:tc>
        <w:tc>
          <w:tcPr>
            <w:tcW w:w="3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22,189</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(9,597)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(9,004)</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(11,085)</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Other accounts receivables and prepaid expenses</w:t>
            </w:r>
          </w:p>
        </w:tc>
        <w:tc>
          <w:tcPr>
            <w:tcW w:w="3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673</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(3,063)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(1,791)</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(1,513)</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(14,816)</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(23,852)</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(526)</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Operating leases right-of-use assets and liabilities, net</w:t>
            </w:r>
          </w:p>
        </w:tc>
        <w:tc>
          <w:tcPr>
            <w:tcW w:w="3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(2,449)</w:t>
            </w: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(2,857)</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(519)</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taxes</w:t>
            </w: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(2,111)</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565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(2,416)</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245</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Deposits and other long term assets</w:t>
            </w:r>
          </w:p>
        </w:tc>
        <w:tc>
          <w:tcPr>
            <w:tcW w:w="3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(1,327)</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(1,321)</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payables</w:t>
            </w: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(4,476)</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(11,920)</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(2,417)</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3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(364)</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(6,834)</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2,104</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(2,643)</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(8,029)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(4,114)</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(11,401)</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3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3,081</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3,440</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5,676</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severance pay, net</w:t>
            </w: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(103)</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(292)</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Other long - term liabilities</w:t>
            </w:r>
          </w:p>
        </w:tc>
        <w:tc>
          <w:tcPr>
            <w:tcW w:w="3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413</w:t>
            </w: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729</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800</w:t>
            </w:r>
          </w:p>
        </w:tc>
      </w:tr>
      <w:tr>
        <w:trPr>
          <w:trHeight w:val="223"/>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sale and disposal of property, plant and Equipment</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r>
      <w:tr>
        <w:trPr>
          <w:trHeight w:val="179"/>
        </w:trPr>
        <w:tc>
          <w:tcPr>
            <w:tcW w:w="5980" w:type="dxa"/>
            <w:vAlign w:val="bottom"/>
            <w:tcBorders>
              <w:top w:val="single" w:sz="8" w:color="CCEEFF"/>
              <w:bottom w:val="single" w:sz="8" w:color="CCEEFF"/>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(7,558</w:t>
            </w:r>
          </w:p>
        </w:tc>
        <w:tc>
          <w:tcPr>
            <w:tcW w:w="240" w:type="dxa"/>
            <w:vAlign w:val="bottom"/>
            <w:tcBorders>
              <w:top w:val="single" w:sz="8" w:color="CCEEFF"/>
              <w:bottom w:val="single" w:sz="8" w:color="CCEEFF"/>
            </w:tcBorders>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5,211</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(54,640</w:t>
            </w:r>
          </w:p>
        </w:tc>
        <w:tc>
          <w:tcPr>
            <w:tcW w:w="220" w:type="dxa"/>
            <w:vAlign w:val="bottom"/>
            <w:tcBorders>
              <w:top w:val="single" w:sz="8" w:color="CCEEFF"/>
              <w:bottom w:val="single" w:sz="8" w:color="CCEEFF"/>
            </w:tcBorders>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10,330</w:t>
            </w:r>
          </w:p>
        </w:tc>
        <w:tc>
          <w:tcPr>
            <w:tcW w:w="120" w:type="dxa"/>
            <w:vAlign w:val="bottom"/>
            <w:tcBorders>
              <w:top w:val="single" w:sz="8" w:color="CCEEFF"/>
              <w:bottom w:val="single" w:sz="8" w:color="CCEEFF"/>
            </w:tcBorders>
          </w:tcPr>
          <w:p>
            <w:pPr>
              <w:spacing w:after="0"/>
              <w:rPr>
                <w:sz w:val="15"/>
                <w:szCs w:val="15"/>
                <w:color w:val="auto"/>
              </w:rPr>
            </w:pP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55"/>
        </w:trPr>
        <w:tc>
          <w:tcPr>
            <w:tcW w:w="598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
        </w:trPr>
        <w:tc>
          <w:tcPr>
            <w:tcW w:w="2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(1,985)</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(2,988)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(9,447)</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(5,555)</w:t>
            </w: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Investment in equity securities</w:t>
            </w:r>
          </w:p>
        </w:tc>
        <w:tc>
          <w:tcPr>
            <w:tcW w:w="3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(354)</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(354)</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intangible assets</w:t>
            </w: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(133)</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(133)</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3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in connection with acquisition, net of cash acquired</w:t>
            </w: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(14,654)</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(14,654)</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Proceeds from (Investment in) bank deposits</w:t>
            </w:r>
          </w:p>
        </w:tc>
        <w:tc>
          <w:tcPr>
            <w:tcW w:w="3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160,090</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(250,895)</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(10,132)</w:t>
            </w: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sales and redemption of marketable securities</w:t>
            </w: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1,500</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2,050</w:t>
            </w: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Proceeds from maturity of marketable securities</w:t>
            </w:r>
          </w:p>
        </w:tc>
        <w:tc>
          <w:tcPr>
            <w:tcW w:w="3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5,500</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17,422</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marketable securities</w:t>
            </w: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(23,003)</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(15,220)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(103,897)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(30,510)</w:t>
            </w:r>
          </w:p>
        </w:tc>
      </w:tr>
    </w:tbl>
    <w:p>
      <w:pPr>
        <w:spacing w:after="0" w:line="183" w:lineRule="exact"/>
        <w:rPr>
          <w:sz w:val="20"/>
          <w:szCs w:val="20"/>
          <w:color w:val="auto"/>
        </w:rPr>
      </w:pPr>
    </w:p>
    <w:p>
      <w:pPr>
        <w:sectPr>
          <w:pgSz w:w="11900" w:h="16838" w:orient="portrait"/>
          <w:cols w:equalWidth="0" w:num="1">
            <w:col w:w="11260"/>
          </w:cols>
          <w:pgMar w:left="320" w:top="814" w:right="31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Cash flows from financing activities: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Exercise of employee stock options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Payments related to shares withheld for taxes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and cash equivalents at the beginning of the period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127,016</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(359,958</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(44,147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557"/>
        </w:trPr>
        <w:tc>
          <w:tcPr>
            <w:tcW w:w="3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w:t>
            </w: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340</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60" w:type="dxa"/>
            <w:vAlign w:val="bottom"/>
          </w:tcPr>
          <w:p>
            <w:pPr>
              <w:spacing w:after="0"/>
              <w:rPr>
                <w:sz w:val="24"/>
                <w:szCs w:val="24"/>
                <w:color w:val="auto"/>
              </w:rPr>
            </w:pPr>
          </w:p>
        </w:tc>
      </w:tr>
      <w:tr>
        <w:trPr>
          <w:trHeight w:val="224"/>
        </w:trPr>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(172)</w:t>
            </w: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(682)</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(1,146)</w:t>
            </w:r>
          </w:p>
        </w:tc>
      </w:tr>
      <w:tr>
        <w:trPr>
          <w:trHeight w:val="195"/>
        </w:trPr>
        <w:tc>
          <w:tcPr>
            <w:tcW w:w="3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60" w:type="dxa"/>
            <w:vAlign w:val="bottom"/>
          </w:tcPr>
          <w:p>
            <w:pPr>
              <w:spacing w:after="0"/>
              <w:rPr>
                <w:sz w:val="16"/>
                <w:szCs w:val="16"/>
                <w:color w:val="auto"/>
              </w:rPr>
            </w:pPr>
          </w:p>
        </w:tc>
      </w:tr>
      <w:tr>
        <w:trPr>
          <w:trHeight w:val="378"/>
        </w:trPr>
        <w:tc>
          <w:tcPr>
            <w:tcW w:w="3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119,327</w:t>
            </w:r>
          </w:p>
        </w:tc>
        <w:tc>
          <w:tcPr>
            <w:tcW w:w="4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(414,940)</w:t>
            </w:r>
          </w:p>
        </w:tc>
        <w:tc>
          <w:tcPr>
            <w:tcW w:w="3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(33,209)</w:t>
            </w:r>
          </w:p>
        </w:tc>
      </w:tr>
      <w:tr>
        <w:trPr>
          <w:trHeight w:val="208"/>
        </w:trPr>
        <w:tc>
          <w:tcPr>
            <w:tcW w:w="3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77,284</w:t>
            </w:r>
          </w:p>
        </w:tc>
        <w:tc>
          <w:tcPr>
            <w:tcW w:w="4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94,171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611,551</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125,777</w:t>
            </w:r>
          </w:p>
        </w:tc>
        <w:tc>
          <w:tcPr>
            <w:tcW w:w="60" w:type="dxa"/>
            <w:vAlign w:val="bottom"/>
          </w:tcPr>
          <w:p>
            <w:pPr>
              <w:spacing w:after="0"/>
              <w:rPr>
                <w:sz w:val="18"/>
                <w:szCs w:val="18"/>
                <w:color w:val="auto"/>
              </w:rPr>
            </w:pPr>
          </w:p>
        </w:tc>
      </w:tr>
      <w:tr>
        <w:trPr>
          <w:trHeight w:val="24"/>
        </w:trPr>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9"/>
        </w:trPr>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196,611</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92,568</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196,611</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92,568</w:t>
            </w:r>
          </w:p>
        </w:tc>
        <w:tc>
          <w:tcPr>
            <w:tcW w:w="60" w:type="dxa"/>
            <w:vAlign w:val="bottom"/>
          </w:tcPr>
          <w:p>
            <w:pPr>
              <w:spacing w:after="0"/>
              <w:rPr>
                <w:sz w:val="19"/>
                <w:szCs w:val="19"/>
                <w:color w:val="auto"/>
              </w:rPr>
            </w:pP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-1350010</wp:posOffset>
            </wp:positionV>
            <wp:extent cx="7148195" cy="136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-1084580</wp:posOffset>
            </wp:positionV>
            <wp:extent cx="7148195" cy="121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-841375</wp:posOffset>
            </wp:positionV>
            <wp:extent cx="7148195" cy="136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-568325</wp:posOffset>
            </wp:positionV>
            <wp:extent cx="714819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48195" cy="12890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-318135</wp:posOffset>
            </wp:positionV>
            <wp:extent cx="7148195" cy="136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60" w:space="720"/>
            <w:col w:w="5280"/>
          </w:cols>
          <w:pgMar w:left="320" w:top="814"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486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91"/>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and equipment on credit</w:t>
            </w:r>
          </w:p>
        </w:tc>
        <w:tc>
          <w:tcPr>
            <w:tcW w:w="276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1,823</w:t>
            </w:r>
          </w:p>
        </w:tc>
        <w:tc>
          <w:tcPr>
            <w:tcW w:w="136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2,678</w:t>
            </w:r>
          </w:p>
        </w:tc>
        <w:tc>
          <w:tcPr>
            <w:tcW w:w="13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1,823</w:t>
            </w: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2,678</w:t>
            </w:r>
          </w:p>
        </w:tc>
      </w:tr>
      <w:tr>
        <w:trPr>
          <w:trHeight w:val="191"/>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Inventory transferred to be used as property and equipment</w:t>
            </w:r>
          </w:p>
        </w:tc>
        <w:tc>
          <w:tcPr>
            <w:tcW w:w="27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592</w:t>
            </w:r>
          </w:p>
        </w:tc>
        <w:tc>
          <w:tcPr>
            <w:tcW w:w="136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rPr>
              <w:t>51</w:t>
            </w:r>
          </w:p>
        </w:tc>
        <w:tc>
          <w:tcPr>
            <w:tcW w:w="13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1,289</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463</w:t>
            </w:r>
          </w:p>
        </w:tc>
      </w:tr>
      <w:tr>
        <w:trPr>
          <w:trHeight w:val="191"/>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transferred to be used as inventory</w:t>
            </w:r>
          </w:p>
        </w:tc>
        <w:tc>
          <w:tcPr>
            <w:tcW w:w="276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5</w:t>
            </w:r>
          </w:p>
        </w:tc>
        <w:tc>
          <w:tcPr>
            <w:tcW w:w="136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9</w:t>
            </w: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r>
      <w:tr>
        <w:trPr>
          <w:trHeight w:val="191"/>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Receipt on account of shares</w:t>
            </w:r>
          </w:p>
        </w:tc>
        <w:tc>
          <w:tcPr>
            <w:tcW w:w="276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27</w:t>
            </w:r>
          </w:p>
        </w:tc>
        <w:tc>
          <w:tcPr>
            <w:tcW w:w="136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rPr>
              <w:t>32</w:t>
            </w:r>
          </w:p>
        </w:tc>
        <w:tc>
          <w:tcPr>
            <w:tcW w:w="132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27</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r>
      <w:tr>
        <w:trPr>
          <w:trHeight w:val="191"/>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276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641</w:t>
            </w:r>
          </w:p>
        </w:tc>
        <w:tc>
          <w:tcPr>
            <w:tcW w:w="136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1,033</w:t>
            </w:r>
          </w:p>
        </w:tc>
        <w:tc>
          <w:tcPr>
            <w:tcW w:w="132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6,387</w:t>
            </w: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1,296</w:t>
            </w:r>
          </w:p>
        </w:tc>
      </w:tr>
      <w:tr>
        <w:trPr>
          <w:trHeight w:val="195"/>
        </w:trPr>
        <w:tc>
          <w:tcPr>
            <w:tcW w:w="48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jc w:val="right"/>
              <w:ind w:right="1900"/>
              <w:spacing w:after="0"/>
              <w:rPr>
                <w:sz w:val="20"/>
                <w:szCs w:val="20"/>
                <w:color w:val="auto"/>
              </w:rPr>
            </w:pPr>
            <w:r>
              <w:rPr>
                <w:rFonts w:ascii="Times New Roman" w:cs="Times New Roman" w:eastAsia="Times New Roman" w:hAnsi="Times New Roman"/>
                <w:sz w:val="16"/>
                <w:szCs w:val="16"/>
                <w:color w:val="auto"/>
              </w:rPr>
              <w:t>8</w:t>
            </w:r>
          </w:p>
        </w:tc>
        <w:tc>
          <w:tcPr>
            <w:tcW w:w="1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bl>
    <w:p>
      <w:pPr>
        <w:sectPr>
          <w:pgSz w:w="11900" w:h="16838" w:orient="portrait"/>
          <w:cols w:equalWidth="0" w:num="1">
            <w:col w:w="11260"/>
          </w:cols>
          <w:pgMar w:left="320" w:top="814" w:right="319" w:bottom="1440" w:gutter="0" w:footer="0" w:header="0"/>
          <w:type w:val="continuous"/>
        </w:sectPr>
      </w:pPr>
    </w:p>
    <w:bookmarkStart w:id="13" w:name="page14"/>
    <w:bookmarkEnd w:id="13"/>
    <w:p>
      <w:pPr>
        <w:ind w:left="9140"/>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152400</wp:posOffset>
            </wp:positionV>
            <wp:extent cx="7203440" cy="433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12" w:right="31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13" Type="http://schemas.openxmlformats.org/officeDocument/2006/relationships/hyperlink" Target="http://www.sec.gov/Archives/edgar/data/1625791/000121390021017777/ea138332-s8_kornitdigital.htm" TargetMode="External"/><Relationship Id="rId14" Type="http://schemas.openxmlformats.org/officeDocument/2006/relationships/hyperlink" Target="https://www.sec.gov/Archives/edgar/data/000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2022-08-10T07:46:27Z</dcterms:created>
  <dcterms:modified xsi:type="dcterms:W3CDTF">2022-08-10T07:46:27Z</dcterms:modified>
</cp:coreProperties>
</file>