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February 2023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3" w:lineRule="exact"/>
        <w:rPr>
          <w:sz w:val="24"/>
          <w:szCs w:val="24"/>
          <w:color w:val="auto"/>
        </w:rPr>
      </w:pPr>
    </w:p>
    <w:p>
      <w:pPr>
        <w:ind w:left="4680"/>
        <w:spacing w:after="0" w:line="184" w:lineRule="exact"/>
        <w:tabs>
          <w:tab w:leader="none" w:pos="56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21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Fourth Quarter and Full-Year 2022</w:t>
      </w:r>
    </w:p>
    <w:p>
      <w:pPr>
        <w:spacing w:after="0" w:line="200" w:lineRule="exact"/>
        <w:rPr>
          <w:sz w:val="20"/>
          <w:szCs w:val="20"/>
          <w:color w:val="auto"/>
        </w:rPr>
      </w:pPr>
    </w:p>
    <w:p>
      <w:pPr>
        <w:ind w:right="220" w:firstLine="565"/>
        <w:spacing w:after="0" w:line="283" w:lineRule="auto"/>
        <w:rPr>
          <w:sz w:val="20"/>
          <w:szCs w:val="20"/>
          <w:color w:val="auto"/>
        </w:rPr>
      </w:pPr>
      <w:r>
        <w:rPr>
          <w:rFonts w:ascii="Times New Roman" w:cs="Times New Roman" w:eastAsia="Times New Roman" w:hAnsi="Times New Roman"/>
          <w:sz w:val="16"/>
          <w:szCs w:val="16"/>
          <w:color w:val="auto"/>
        </w:rPr>
        <w:t>On February 15, 2023,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issued a press release entitled “Kornit Digital Reports Fourth Quarter and Full-Year 2022 Results,” in which Kornit reported its results of operations for the quarter and year ended December 31, 2022. A copy of that press release is furnished as Exhibit 99.1 hereto.</w:t>
      </w:r>
    </w:p>
    <w:p>
      <w:pPr>
        <w:spacing w:after="0" w:line="142" w:lineRule="exact"/>
        <w:rPr>
          <w:sz w:val="20"/>
          <w:szCs w:val="20"/>
          <w:color w:val="auto"/>
        </w:rPr>
      </w:pPr>
    </w:p>
    <w:p>
      <w:pPr>
        <w:ind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February 15, 2023 to discuss its quarterly and annual results for the quarter and year ended December 31, 2022 and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ind w:right="120" w:firstLine="565"/>
        <w:spacing w:after="0" w:line="259" w:lineRule="auto"/>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Times New Roman" w:cs="Times New Roman" w:eastAsia="Times New Roman" w:hAnsi="Times New Roman"/>
            <w:sz w:val="16"/>
            <w:szCs w:val="16"/>
            <w:color w:val="auto"/>
          </w:rPr>
          <w:t xml:space="preserve">Registration Statements on Form F-3 (File No. </w:t>
        </w:r>
        <w:r>
          <w:rPr>
            <w:rFonts w:ascii="Times New Roman" w:cs="Times New Roman" w:eastAsia="Times New Roman" w:hAnsi="Times New Roman"/>
            <w:sz w:val="16"/>
            <w:szCs w:val="16"/>
            <w:u w:val="single" w:color="auto"/>
            <w:color w:val="0000EE"/>
          </w:rPr>
          <w:t>333-248784</w:t>
        </w:r>
        <w:r>
          <w:rPr>
            <w:rFonts w:ascii="Times New Roman" w:cs="Times New Roman" w:eastAsia="Times New Roman" w:hAnsi="Times New Roman"/>
            <w:sz w:val="16"/>
            <w:szCs w:val="16"/>
            <w:color w:val="auto"/>
          </w:rPr>
          <w:t xml:space="preserve">) and Form S-8 (File No.’s </w:t>
        </w:r>
        <w:r>
          <w:rPr>
            <w:rFonts w:ascii="Times New Roman" w:cs="Times New Roman" w:eastAsia="Times New Roman" w:hAnsi="Times New Roman"/>
            <w:sz w:val="16"/>
            <w:szCs w:val="16"/>
            <w:u w:val="single" w:color="auto"/>
            <w:color w:val="0000EE"/>
          </w:rPr>
          <w:t>333-203970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333-214015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333-217039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333-223794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333-230567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333-237346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333-</w:t>
        </w:r>
      </w:hyperlink>
      <w:hyperlink r:id="rId13">
        <w:r>
          <w:rPr>
            <w:rFonts w:ascii="Times New Roman" w:cs="Times New Roman" w:eastAsia="Times New Roman" w:hAnsi="Times New Roman"/>
            <w:sz w:val="16"/>
            <w:szCs w:val="16"/>
            <w:u w:val="single" w:color="auto"/>
            <w:color w:val="0000EE"/>
          </w:rPr>
          <w:t>254749</w:t>
        </w:r>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color w:val="0000EE"/>
          </w:rPr>
          <w:t xml:space="preserve"> </w:t>
        </w:r>
      </w:hyperlink>
      <w:hyperlink r:id="rId14">
        <w:r>
          <w:rPr>
            <w:rFonts w:ascii="Times New Roman" w:cs="Times New Roman" w:eastAsia="Times New Roman" w:hAnsi="Times New Roman"/>
            <w:sz w:val="16"/>
            <w:szCs w:val="16"/>
            <w:u w:val="single" w:color="auto"/>
            <w:color w:val="0000EE"/>
          </w:rPr>
          <w:t>333-263975</w:t>
        </w:r>
      </w:hyperlink>
      <w:hyperlink r:id="rId13">
        <w:r>
          <w:rPr>
            <w:rFonts w:ascii="Times New Roman" w:cs="Times New Roman" w:eastAsia="Times New Roman" w:hAnsi="Times New Roman"/>
            <w:sz w:val="16"/>
            <w:szCs w:val="16"/>
            <w:color w:val="000000"/>
          </w:rPr>
          <w:t>).</w:t>
        </w:r>
      </w:hyperlink>
    </w:p>
    <w:p>
      <w:pPr>
        <w:spacing w:after="0" w:line="20" w:lineRule="exact"/>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0000EE"/>
        </w:rPr>
        <w:drawing>
          <wp:anchor simplePos="0" relativeHeight="251657728" behindDoc="1" locked="0" layoutInCell="0" allowOverlap="1">
            <wp:simplePos x="0" y="0"/>
            <wp:positionH relativeFrom="column">
              <wp:posOffset>6710045</wp:posOffset>
            </wp:positionH>
            <wp:positionV relativeFrom="paragraph">
              <wp:posOffset>-151765</wp:posOffset>
            </wp:positionV>
            <wp:extent cx="210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10820" cy="7620"/>
                    </a:xfrm>
                    <a:prstGeom prst="rect">
                      <a:avLst/>
                    </a:prstGeom>
                    <a:noFill/>
                  </pic:spPr>
                </pic:pic>
              </a:graphicData>
            </a:graphic>
          </wp:anchor>
        </w:drawing>
      </w:r>
    </w:p>
    <w:p>
      <w:pPr>
        <w:spacing w:after="0" w:line="333" w:lineRule="exact"/>
        <w:rPr>
          <w:rFonts w:ascii="Times New Roman" w:cs="Times New Roman" w:eastAsia="Times New Roman" w:hAnsi="Times New Roman"/>
          <w:sz w:val="16"/>
          <w:szCs w:val="16"/>
          <w:color w:val="0000EE"/>
        </w:rPr>
      </w:pPr>
    </w:p>
    <w:p>
      <w:pPr>
        <w:jc w:val="center"/>
        <w:ind w:right="-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814"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10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7700" w:type="dxa"/>
            <w:vAlign w:val="bottom"/>
            <w:gridSpan w:val="2"/>
          </w:tcPr>
          <w:p>
            <w:pPr>
              <w:ind w:left="3200"/>
              <w:spacing w:after="0"/>
              <w:rPr>
                <w:sz w:val="20"/>
                <w:szCs w:val="20"/>
                <w:color w:val="auto"/>
              </w:rPr>
            </w:pPr>
            <w:r>
              <w:rPr>
                <w:rFonts w:ascii="Times New Roman" w:cs="Times New Roman" w:eastAsia="Times New Roman" w:hAnsi="Times New Roman"/>
                <w:sz w:val="16"/>
                <w:szCs w:val="16"/>
                <w:color w:val="auto"/>
              </w:rPr>
              <w:t>KORNIT DIGITAL LTD.</w:t>
            </w:r>
          </w:p>
        </w:tc>
        <w:tc>
          <w:tcPr>
            <w:tcW w:w="0" w:type="dxa"/>
            <w:vAlign w:val="bottom"/>
          </w:tcPr>
          <w:p>
            <w:pPr>
              <w:spacing w:after="0"/>
              <w:rPr>
                <w:sz w:val="1"/>
                <w:szCs w:val="1"/>
                <w:color w:val="auto"/>
              </w:rPr>
            </w:pPr>
          </w:p>
        </w:tc>
      </w:tr>
      <w:tr>
        <w:trPr>
          <w:trHeight w:val="38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15, 2023</w:t>
            </w:r>
          </w:p>
        </w:tc>
        <w:tc>
          <w:tcPr>
            <w:tcW w:w="376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 Lauri Hanover</w:t>
            </w:r>
          </w:p>
        </w:tc>
        <w:tc>
          <w:tcPr>
            <w:tcW w:w="0" w:type="dxa"/>
            <w:vAlign w:val="bottom"/>
          </w:tcPr>
          <w:p>
            <w:pPr>
              <w:spacing w:after="0"/>
              <w:rPr>
                <w:sz w:val="1"/>
                <w:szCs w:val="1"/>
                <w:color w:val="auto"/>
              </w:rPr>
            </w:pPr>
          </w:p>
        </w:tc>
      </w:tr>
      <w:tr>
        <w:trPr>
          <w:trHeight w:val="28"/>
        </w:trPr>
        <w:tc>
          <w:tcPr>
            <w:tcW w:w="3560" w:type="dxa"/>
            <w:vAlign w:val="bottom"/>
          </w:tcPr>
          <w:p>
            <w:pPr>
              <w:spacing w:after="0"/>
              <w:rPr>
                <w:sz w:val="2"/>
                <w:szCs w:val="2"/>
                <w:color w:val="auto"/>
              </w:rPr>
            </w:pPr>
          </w:p>
        </w:tc>
        <w:tc>
          <w:tcPr>
            <w:tcW w:w="3760" w:type="dxa"/>
            <w:vAlign w:val="bottom"/>
            <w:vMerge w:val="restart"/>
          </w:tcPr>
          <w:p>
            <w:pPr>
              <w:ind w:left="3200"/>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Lauri Hanover</w:t>
            </w:r>
          </w:p>
        </w:tc>
        <w:tc>
          <w:tcPr>
            <w:tcW w:w="0" w:type="dxa"/>
            <w:vAlign w:val="bottom"/>
          </w:tcPr>
          <w:p>
            <w:pPr>
              <w:spacing w:after="0"/>
              <w:rPr>
                <w:sz w:val="1"/>
                <w:szCs w:val="1"/>
                <w:color w:val="auto"/>
              </w:rPr>
            </w:pPr>
          </w:p>
        </w:tc>
      </w:tr>
      <w:tr>
        <w:trPr>
          <w:trHeight w:val="208"/>
        </w:trPr>
        <w:tc>
          <w:tcPr>
            <w:tcW w:w="3560" w:type="dxa"/>
            <w:vAlign w:val="bottom"/>
          </w:tcPr>
          <w:p>
            <w:pPr>
              <w:spacing w:after="0"/>
              <w:rPr>
                <w:sz w:val="18"/>
                <w:szCs w:val="18"/>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577"/>
        </w:trPr>
        <w:tc>
          <w:tcPr>
            <w:tcW w:w="3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140" w:type="dxa"/>
            <w:vAlign w:val="bottom"/>
            <w:gridSpan w:val="3"/>
          </w:tcPr>
          <w:p>
            <w:pPr>
              <w:jc w:val="center"/>
              <w:ind w:right="31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2"/>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100" w:type="dxa"/>
            <w:vAlign w:val="bottom"/>
          </w:tcPr>
          <w:p>
            <w:pPr>
              <w:spacing w:after="0"/>
              <w:rPr>
                <w:sz w:val="24"/>
                <w:szCs w:val="24"/>
                <w:color w:val="auto"/>
              </w:rPr>
            </w:pPr>
          </w:p>
        </w:tc>
        <w:tc>
          <w:tcPr>
            <w:tcW w:w="8140" w:type="dxa"/>
            <w:vAlign w:val="bottom"/>
            <w:gridSpan w:val="3"/>
          </w:tcPr>
          <w:p>
            <w:pPr>
              <w:ind w:left="26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
        </w:trPr>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71"/>
        </w:trPr>
        <w:tc>
          <w:tcPr>
            <w:tcW w:w="9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24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February 15, 2023, titled “Kornit Digital Reports Fourth Quarter and Full-Year 2022 Results”</w:t>
            </w:r>
          </w:p>
        </w:tc>
      </w:tr>
      <w:tr>
        <w:trPr>
          <w:trHeight w:val="191"/>
        </w:trPr>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100" w:type="dxa"/>
            <w:vAlign w:val="bottom"/>
            <w:tcBorders>
              <w:top w:val="single" w:sz="8" w:color="0000EE"/>
            </w:tcBorders>
          </w:tcPr>
          <w:p>
            <w:pPr>
              <w:spacing w:after="0"/>
              <w:rPr>
                <w:sz w:val="16"/>
                <w:szCs w:val="16"/>
                <w:color w:val="auto"/>
              </w:rPr>
            </w:pPr>
          </w:p>
        </w:tc>
        <w:tc>
          <w:tcPr>
            <w:tcW w:w="5140" w:type="dxa"/>
            <w:vAlign w:val="bottom"/>
            <w:tcBorders>
              <w:top w:val="single" w:sz="8" w:color="0000EE"/>
            </w:tcBorders>
          </w:tcPr>
          <w:p>
            <w:pPr>
              <w:spacing w:after="0"/>
              <w:rPr>
                <w:sz w:val="16"/>
                <w:szCs w:val="16"/>
                <w:color w:val="auto"/>
              </w:rPr>
            </w:pPr>
          </w:p>
        </w:tc>
        <w:tc>
          <w:tcPr>
            <w:tcW w:w="25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r>
      <w:tr>
        <w:trPr>
          <w:trHeight w:val="155"/>
        </w:trPr>
        <w:tc>
          <w:tcPr>
            <w:tcW w:w="9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bottom w:val="single" w:sz="8" w:color="CCEEFF"/>
            </w:tcBorders>
            <w:shd w:val="clear" w:color="auto" w:fill="CCEEFF"/>
          </w:tcPr>
          <w:p>
            <w:pPr>
              <w:spacing w:after="0"/>
              <w:rPr>
                <w:sz w:val="13"/>
                <w:szCs w:val="13"/>
                <w:color w:val="auto"/>
              </w:rPr>
            </w:pPr>
          </w:p>
        </w:tc>
        <w:tc>
          <w:tcPr>
            <w:tcW w:w="9800" w:type="dxa"/>
            <w:vAlign w:val="bottom"/>
            <w:tcBorders>
              <w:bottom w:val="single" w:sz="8" w:color="0000EE"/>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9"/>
              </w:rPr>
              <w:t>Slide presentation for conference call of Kornit held on February 15, 2023 discussing quarterly and annual financial results for the quarter and year ended</w:t>
            </w:r>
          </w:p>
        </w:tc>
        <w:tc>
          <w:tcPr>
            <w:tcW w:w="440" w:type="dxa"/>
            <w:vAlign w:val="bottom"/>
            <w:tcBorders>
              <w:bottom w:val="single" w:sz="8" w:color="CCEEFF"/>
            </w:tcBorders>
            <w:shd w:val="clear" w:color="auto" w:fill="CCEEFF"/>
          </w:tcPr>
          <w:p>
            <w:pPr>
              <w:spacing w:after="0"/>
              <w:rPr>
                <w:sz w:val="13"/>
                <w:szCs w:val="13"/>
                <w:color w:val="auto"/>
              </w:rPr>
            </w:pPr>
          </w:p>
        </w:tc>
      </w:tr>
      <w:tr>
        <w:trPr>
          <w:trHeight w:val="187"/>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0000EE"/>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w w:val="98"/>
              </w:rPr>
              <w:t>December 31, 2022, respectively</w:t>
            </w:r>
          </w:p>
        </w:tc>
        <w:tc>
          <w:tcPr>
            <w:tcW w:w="8140" w:type="dxa"/>
            <w:vAlign w:val="bottom"/>
            <w:tcBorders>
              <w:bottom w:val="single" w:sz="8" w:color="CCEEFF"/>
            </w:tcBorders>
            <w:gridSpan w:val="3"/>
            <w:shd w:val="clear" w:color="auto" w:fill="CCEEFF"/>
          </w:tcPr>
          <w:p>
            <w:pPr>
              <w:spacing w:after="0"/>
              <w:rPr>
                <w:sz w:val="16"/>
                <w:szCs w:val="16"/>
                <w:color w:val="auto"/>
              </w:rPr>
            </w:pPr>
          </w:p>
        </w:tc>
      </w:tr>
      <w:tr>
        <w:trPr>
          <w:trHeight w:val="577"/>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2"/>
          </w:tcPr>
          <w:p>
            <w:pPr>
              <w:jc w:val="right"/>
              <w:ind w:right="2520"/>
              <w:spacing w:after="0"/>
              <w:rPr>
                <w:sz w:val="20"/>
                <w:szCs w:val="20"/>
                <w:color w:val="auto"/>
              </w:rPr>
            </w:pPr>
            <w:r>
              <w:rPr>
                <w:rFonts w:ascii="Times New Roman" w:cs="Times New Roman" w:eastAsia="Times New Roman" w:hAnsi="Times New Roman"/>
                <w:sz w:val="16"/>
                <w:szCs w:val="16"/>
                <w:color w:val="auto"/>
              </w:rPr>
              <w:t>3</w:t>
            </w:r>
          </w:p>
        </w:tc>
        <w:tc>
          <w:tcPr>
            <w:tcW w:w="2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Kornit Digital Reports Fourth Quarter and Full-Year 2022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revenues of $63.3 million, net of non-cash warrants impact of $4.3 million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GAAP operating loss of $16.7 million; non-GAAP operating loss of $9.9 million, net of non-cash warrants impact of $4.3 million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Solid peak season; Consumables and services revenues up for the fourth quarter and full year</w:t>
      </w:r>
    </w:p>
    <w:p>
      <w:pPr>
        <w:spacing w:after="0" w:line="20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Key 2023 focus areas include returning to profitability, successfully launching Apollo, and scaling Kornit</w:t>
      </w:r>
      <w:r>
        <w:rPr>
          <w:rFonts w:ascii="Times New Roman" w:cs="Times New Roman" w:eastAsia="Times New Roman" w:hAnsi="Times New Roman"/>
          <w:sz w:val="26"/>
          <w:szCs w:val="26"/>
          <w:color w:val="auto"/>
          <w:vertAlign w:val="superscript"/>
        </w:rPr>
        <w:t>X</w:t>
      </w:r>
    </w:p>
    <w:p>
      <w:pPr>
        <w:spacing w:after="0" w:line="88" w:lineRule="exact"/>
        <w:rPr>
          <w:rFonts w:ascii="Times New Roman" w:cs="Times New Roman" w:eastAsia="Times New Roman" w:hAnsi="Times New Roman"/>
          <w:sz w:val="32"/>
          <w:szCs w:val="32"/>
          <w:color w:val="auto"/>
          <w:vertAlign w:val="superscript"/>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growth drivers firmly intact as supply chain turmoil in the textile industry continues</w:t>
      </w:r>
    </w:p>
    <w:p>
      <w:pPr>
        <w:spacing w:after="0" w:line="196" w:lineRule="exact"/>
        <w:rPr>
          <w:sz w:val="20"/>
          <w:szCs w:val="20"/>
          <w:color w:val="auto"/>
        </w:rPr>
      </w:pPr>
    </w:p>
    <w:p>
      <w:pPr>
        <w:ind w:left="4" w:right="4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Rosh-Ha’Ayin, Israel – February 15, 2023 </w:t>
      </w:r>
      <w:r>
        <w:rPr>
          <w:rFonts w:ascii="Times New Roman" w:cs="Times New Roman" w:eastAsia="Times New Roman" w:hAnsi="Times New Roman"/>
          <w:sz w:val="16"/>
          <w:szCs w:val="16"/>
          <w:color w:val="auto"/>
        </w:rPr>
        <w:t>– Kornit Digital Ltd. (“Kornit” or “the Company”) (Nasdaq: KRNT), a worldwide market leader in sustainable, on-demand, digital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reported today results for the fourth quarter and full year ended December 31, 2022.</w:t>
      </w:r>
    </w:p>
    <w:p>
      <w:pPr>
        <w:spacing w:after="0" w:line="26" w:lineRule="exact"/>
        <w:rPr>
          <w:sz w:val="20"/>
          <w:szCs w:val="20"/>
          <w:color w:val="auto"/>
        </w:rPr>
      </w:pPr>
    </w:p>
    <w:p>
      <w:pPr>
        <w:ind w:left="4" w:right="200"/>
        <w:spacing w:after="0" w:line="265" w:lineRule="auto"/>
        <w:rPr>
          <w:sz w:val="20"/>
          <w:szCs w:val="20"/>
          <w:color w:val="auto"/>
        </w:rPr>
      </w:pPr>
      <w:r>
        <w:rPr>
          <w:rFonts w:ascii="Times New Roman" w:cs="Times New Roman" w:eastAsia="Times New Roman" w:hAnsi="Times New Roman"/>
          <w:sz w:val="16"/>
          <w:szCs w:val="16"/>
          <w:color w:val="auto"/>
        </w:rPr>
        <w:t>“A solid peak season drove fourth quarter growth in consumables and services revenues,” said Ronen Samuel, Kornit’s Chief Executive Officer. “There is no doubt that 2022 was a very difficult year for us, our customers and the global fashion and textile industry. We took decisive actions throughout the year to adjust operations to reflect market conditions and are positioning ourselves to return to sustainable, profitable growth.”</w:t>
      </w:r>
    </w:p>
    <w:p>
      <w:pPr>
        <w:spacing w:after="0" w:line="159" w:lineRule="exact"/>
        <w:rPr>
          <w:sz w:val="20"/>
          <w:szCs w:val="20"/>
          <w:color w:val="auto"/>
        </w:rPr>
      </w:pPr>
    </w:p>
    <w:p>
      <w:pPr>
        <w:ind w:left="4" w:right="20"/>
        <w:spacing w:after="0" w:line="223" w:lineRule="auto"/>
        <w:rPr>
          <w:sz w:val="20"/>
          <w:szCs w:val="20"/>
          <w:color w:val="auto"/>
        </w:rPr>
      </w:pPr>
      <w:r>
        <w:rPr>
          <w:rFonts w:ascii="Times New Roman" w:cs="Times New Roman" w:eastAsia="Times New Roman" w:hAnsi="Times New Roman"/>
          <w:sz w:val="16"/>
          <w:szCs w:val="16"/>
          <w:color w:val="auto"/>
        </w:rPr>
        <w:t>Mr. Samuel concluded, “In 2023 we will focus on three key areas including: returning to profitability; successfully launching the Apollo and scaling Kornit</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We believe Kornit continues to be best positioned to lead the retail supply chain transformation of the fashion and textile industry, enabling us to meaningfully scale the business and achieve our long-term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5" w:name="page6"/>
    <w:bookmarkEnd w:id="5"/>
    <w:p>
      <w:pPr>
        <w:ind w:right="180"/>
        <w:spacing w:after="0" w:line="280" w:lineRule="auto"/>
        <w:rPr>
          <w:sz w:val="20"/>
          <w:szCs w:val="20"/>
          <w:color w:val="auto"/>
        </w:rPr>
      </w:pPr>
      <w:r>
        <w:rPr>
          <w:rFonts w:ascii="Times New Roman" w:cs="Times New Roman" w:eastAsia="Times New Roman" w:hAnsi="Times New Roman"/>
          <w:sz w:val="16"/>
          <w:szCs w:val="16"/>
          <w:color w:val="auto"/>
        </w:rPr>
        <w:t>The following table compares the adverse, non-cash impact that the Company’s outstanding warrants had on the Company’s results of operations during the fourth quarters of 2022 and 2021,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50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Fourth Quarter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6"/>
        </w:trPr>
        <w:tc>
          <w:tcPr>
            <w:tcW w:w="3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3"/>
        </w:trPr>
        <w:tc>
          <w:tcPr>
            <w:tcW w:w="37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line="173" w:lineRule="exact"/>
              <w:rPr>
                <w:sz w:val="20"/>
                <w:szCs w:val="20"/>
                <w:color w:val="auto"/>
              </w:rPr>
            </w:pPr>
            <w:r>
              <w:rPr>
                <w:rFonts w:ascii="Times New Roman" w:cs="Times New Roman" w:eastAsia="Times New Roman" w:hAnsi="Times New Roman"/>
                <w:sz w:val="16"/>
                <w:szCs w:val="16"/>
                <w:b w:val="1"/>
                <w:bCs w:val="1"/>
                <w:color w:val="auto"/>
                <w:w w:val="96"/>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14"/>
        </w:trPr>
        <w:tc>
          <w:tcPr>
            <w:tcW w:w="3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Impact</w:t>
            </w:r>
          </w:p>
        </w:tc>
      </w:tr>
      <w:tr>
        <w:trPr>
          <w:trHeight w:val="191"/>
        </w:trPr>
        <w:tc>
          <w:tcPr>
            <w:tcW w:w="37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63.3M</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4.3M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87.5M</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7.9M</w:t>
            </w:r>
          </w:p>
        </w:tc>
      </w:tr>
      <w:tr>
        <w:trPr>
          <w:trHeight w:val="19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Margin</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Margin</w:t>
            </w:r>
          </w:p>
        </w:tc>
        <w:tc>
          <w:tcPr>
            <w:tcW w:w="2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Non-GAAP Net Margin</w:t>
            </w: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r>
      <w:tr>
        <w:trPr>
          <w:trHeight w:val="19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(Loss) Per Share</w:t>
            </w:r>
          </w:p>
        </w:tc>
        <w:tc>
          <w:tcPr>
            <w:tcW w:w="2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(0.13)</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0.13</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0.16</w:t>
            </w:r>
          </w:p>
        </w:tc>
      </w:tr>
    </w:tbl>
    <w:p>
      <w:pPr>
        <w:spacing w:after="0" w:line="175"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following table compares the adverse, non-cash impact that the Company’s outstanding warrants had on the Company’s results of operations during the full-years 2022 and 2021,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338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Full-Year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6"/>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3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3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3"/>
        </w:trPr>
        <w:tc>
          <w:tcPr>
            <w:tcW w:w="3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line="173" w:lineRule="exact"/>
              <w:rPr>
                <w:sz w:val="20"/>
                <w:szCs w:val="20"/>
                <w:color w:val="auto"/>
              </w:rPr>
            </w:pPr>
            <w:r>
              <w:rPr>
                <w:rFonts w:ascii="Times New Roman" w:cs="Times New Roman" w:eastAsia="Times New Roman" w:hAnsi="Times New Roman"/>
                <w:sz w:val="16"/>
                <w:szCs w:val="16"/>
                <w:b w:val="1"/>
                <w:bCs w:val="1"/>
                <w:color w:val="auto"/>
                <w:w w:val="96"/>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40"/>
              <w:spacing w:after="0" w:line="173" w:lineRule="exact"/>
              <w:rPr>
                <w:sz w:val="20"/>
                <w:szCs w:val="20"/>
                <w:color w:val="auto"/>
              </w:rPr>
            </w:pPr>
            <w:r>
              <w:rPr>
                <w:rFonts w:ascii="Times New Roman" w:cs="Times New Roman" w:eastAsia="Times New Roman" w:hAnsi="Times New Roman"/>
                <w:sz w:val="16"/>
                <w:szCs w:val="16"/>
                <w:b w:val="1"/>
                <w:bCs w:val="1"/>
                <w:color w:val="auto"/>
              </w:rPr>
              <w:t>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3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14"/>
        </w:trPr>
        <w:tc>
          <w:tcPr>
            <w:tcW w:w="3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Impact</w:t>
            </w:r>
          </w:p>
        </w:tc>
      </w:tr>
      <w:tr>
        <w:trPr>
          <w:trHeight w:val="191"/>
        </w:trPr>
        <w:tc>
          <w:tcPr>
            <w:tcW w:w="3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271.5M</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22.5M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322.0M</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25.4M</w:t>
            </w:r>
          </w:p>
        </w:tc>
      </w:tr>
      <w:tr>
        <w:trPr>
          <w:trHeight w:val="191"/>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Margin</w:t>
            </w: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19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Margin</w:t>
            </w:r>
          </w:p>
        </w:tc>
        <w:tc>
          <w:tcPr>
            <w:tcW w:w="2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191"/>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Non-GAAP Net Margin</w:t>
            </w: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(Loss) Per Share</w:t>
            </w:r>
          </w:p>
        </w:tc>
        <w:tc>
          <w:tcPr>
            <w:tcW w:w="2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(0.65)</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0.74</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0.52</w:t>
            </w:r>
          </w:p>
        </w:tc>
      </w:tr>
    </w:tbl>
    <w:p>
      <w:pPr>
        <w:spacing w:after="0" w:line="17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6"/>
          <w:szCs w:val="16"/>
          <w:color w:val="auto"/>
        </w:rPr>
        <w:t>“I am pleased to have a more active role with the Company and be part of this journey to transform the textile industry,” said Lauri Hanover, Kornit’s Chief Financial Officer. “In the fourth quarter, we started to realize benefits from the actions taken to adjust our business operations to the current market dynamics. We will continue to reallocate resources to higher ROI projects that further position the Company for sustainable, long-term, profitable growth.”</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Fourth Quarter 2022 Results of Operations</w:t>
      </w:r>
    </w:p>
    <w:p>
      <w:pPr>
        <w:spacing w:after="0" w:line="200" w:lineRule="exact"/>
        <w:rPr>
          <w:sz w:val="20"/>
          <w:szCs w:val="20"/>
          <w:color w:val="auto"/>
        </w:rPr>
      </w:pPr>
    </w:p>
    <w:p>
      <w:pPr>
        <w:ind w:left="284" w:right="28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fourth quarter of 2022 was $63.3 million, net of $4.3 million attributed to the non-cash impact of warrants, compared to $87.5 million, net of $7.9 million attributed to the non-cash impact of warrants in the prior year period.</w:t>
      </w:r>
    </w:p>
    <w:p>
      <w:pPr>
        <w:spacing w:after="0" w:line="144" w:lineRule="exact"/>
        <w:rPr>
          <w:rFonts w:ascii="Times New Roman" w:cs="Times New Roman" w:eastAsia="Times New Roman" w:hAnsi="Times New Roman"/>
          <w:sz w:val="16"/>
          <w:szCs w:val="16"/>
          <w:color w:val="auto"/>
        </w:rPr>
      </w:pPr>
    </w:p>
    <w:p>
      <w:pPr>
        <w:ind w:left="284" w:right="38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fourth quarter of 2022 was $35.4 million, or ($0.71) per basic share, compared to net income of $1.0 million, or $0.02 per diluted share, for the fourth quarter of 2021.</w:t>
      </w:r>
    </w:p>
    <w:p>
      <w:pPr>
        <w:spacing w:after="0" w:line="144" w:lineRule="exact"/>
        <w:rPr>
          <w:rFonts w:ascii="Times New Roman" w:cs="Times New Roman" w:eastAsia="Times New Roman" w:hAnsi="Times New Roman"/>
          <w:sz w:val="16"/>
          <w:szCs w:val="16"/>
          <w:color w:val="auto"/>
        </w:rPr>
      </w:pPr>
    </w:p>
    <w:p>
      <w:pPr>
        <w:jc w:val="both"/>
        <w:ind w:left="284" w:right="160" w:hanging="284"/>
        <w:spacing w:after="0" w:line="265"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loss for the fourth quarter of 2022 was $6.6 million, or ($0.13) per basic share, net of $0.09 per basic share attributed to the non-cash impact of warrants, compared to non-GAAP net income of $6.4 million, or $0.13 per diluted share, net of $0.16 per diluted share attributed to the non-cash impact of warrants, for the fourth quarter of 2021.</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Full-Year 2022 Results of Operations</w:t>
      </w:r>
    </w:p>
    <w:p>
      <w:pPr>
        <w:spacing w:after="0" w:line="200" w:lineRule="exact"/>
        <w:rPr>
          <w:sz w:val="20"/>
          <w:szCs w:val="20"/>
          <w:color w:val="auto"/>
        </w:rPr>
      </w:pPr>
    </w:p>
    <w:p>
      <w:pPr>
        <w:ind w:left="284" w:right="46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full-year 2022 was $271.5 million, net of $22.5 million attributed to the non-cash impact of warrants, compared to $322.0 million, net of $25.4 million attributed to the non-cash impact of warrants in the prior year period.</w:t>
      </w:r>
    </w:p>
    <w:p>
      <w:pPr>
        <w:spacing w:after="0" w:line="144" w:lineRule="exact"/>
        <w:rPr>
          <w:rFonts w:ascii="Times New Roman" w:cs="Times New Roman" w:eastAsia="Times New Roman" w:hAnsi="Times New Roman"/>
          <w:sz w:val="16"/>
          <w:szCs w:val="16"/>
          <w:color w:val="auto"/>
        </w:rPr>
      </w:pPr>
    </w:p>
    <w:p>
      <w:pPr>
        <w:ind w:left="284" w:right="20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full-year 2022 was $79.1 million, or ($1.58) per basic share, compared to net income of $15.5 million, or $0.32 per diluted share, for the full-year 2021.</w:t>
      </w:r>
    </w:p>
    <w:p>
      <w:pPr>
        <w:spacing w:after="0" w:line="144" w:lineRule="exact"/>
        <w:rPr>
          <w:rFonts w:ascii="Times New Roman" w:cs="Times New Roman" w:eastAsia="Times New Roman" w:hAnsi="Times New Roman"/>
          <w:sz w:val="16"/>
          <w:szCs w:val="16"/>
          <w:color w:val="auto"/>
        </w:rPr>
      </w:pPr>
    </w:p>
    <w:p>
      <w:pPr>
        <w:ind w:left="284" w:right="200" w:hanging="284"/>
        <w:spacing w:after="0" w:line="265"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loss for the full-year 2022 was $32.6 million, or ($0.65) per basic share, net of $0.45 per basic share attributed to the non-cash impact of warrants, compared to non-GAAP net income of $36.1 million, or $0.74 per diluted share, net of $0.52 per diluted share attributed to the non-cash impact of warrants, for the full-year 2021.</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First Quarter 2023 Guidance</w:t>
      </w:r>
    </w:p>
    <w:p>
      <w:pPr>
        <w:spacing w:after="0" w:line="200" w:lineRule="exact"/>
        <w:rPr>
          <w:sz w:val="20"/>
          <w:szCs w:val="20"/>
          <w:color w:val="auto"/>
        </w:rPr>
      </w:pPr>
    </w:p>
    <w:p>
      <w:pPr>
        <w:ind w:left="4" w:right="140"/>
        <w:spacing w:after="0" w:line="265" w:lineRule="auto"/>
        <w:rPr>
          <w:sz w:val="20"/>
          <w:szCs w:val="20"/>
          <w:color w:val="auto"/>
        </w:rPr>
      </w:pPr>
      <w:r>
        <w:rPr>
          <w:rFonts w:ascii="Times New Roman" w:cs="Times New Roman" w:eastAsia="Times New Roman" w:hAnsi="Times New Roman"/>
          <w:sz w:val="16"/>
          <w:szCs w:val="16"/>
          <w:color w:val="auto"/>
        </w:rPr>
        <w:t xml:space="preserve">For the first quarter of 2023, the Company expects revenues to be in the range of $47 million to $52 million and adjusted EBITDA margin between -27% to -35% of revenue. The guidance for revenue and adjusted EBITDA margin </w:t>
      </w:r>
      <w:r>
        <w:rPr>
          <w:rFonts w:ascii="Times New Roman" w:cs="Times New Roman" w:eastAsia="Times New Roman" w:hAnsi="Times New Roman"/>
          <w:sz w:val="16"/>
          <w:szCs w:val="16"/>
          <w:u w:val="single" w:color="auto"/>
          <w:color w:val="auto"/>
        </w:rPr>
        <w:t>includes</w:t>
      </w:r>
      <w:r>
        <w:rPr>
          <w:rFonts w:ascii="Times New Roman" w:cs="Times New Roman" w:eastAsia="Times New Roman" w:hAnsi="Times New Roman"/>
          <w:sz w:val="16"/>
          <w:szCs w:val="16"/>
          <w:color w:val="auto"/>
        </w:rPr>
        <w:t xml:space="preserve"> the impact of the non-cash expense associated with the fair value of the Company’s warrants. Prior to this period, the Company had not included such impact in its guidance and has changed its prior practice to align better with its reported metrics.</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Fourth Quarter and Full-Year 2022 Earnings Conference Call Information</w:t>
      </w:r>
    </w:p>
    <w:p>
      <w:pPr>
        <w:spacing w:after="0" w:line="200" w:lineRule="exact"/>
        <w:rPr>
          <w:sz w:val="20"/>
          <w:szCs w:val="20"/>
          <w:color w:val="auto"/>
        </w:rPr>
      </w:pPr>
    </w:p>
    <w:p>
      <w:pPr>
        <w:ind w:left="4" w:right="30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ind w:left="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toll-free Israeli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1-809-406-247. The conference confirmation code is 13735879.</w:t>
      </w:r>
    </w:p>
    <w:p>
      <w:pPr>
        <w:spacing w:after="0" w:line="14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(international) and enter confirmation code 13735879. The telephonic replay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available approximately three hours after the completion of the live call until 11:59 pm ET on Wednesday, March 1, 2023. The call will also be available for replay via the webcast link on Kornit’s Investor Relations website.</w:t>
      </w:r>
    </w:p>
    <w:p>
      <w:pPr>
        <w:spacing w:after="0" w:line="34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8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4" w:lineRule="exact"/>
        <w:rPr>
          <w:sz w:val="20"/>
          <w:szCs w:val="20"/>
          <w:color w:val="auto"/>
        </w:rPr>
      </w:pPr>
    </w:p>
    <w:p>
      <w:pPr>
        <w:jc w:val="both"/>
        <w:ind w:right="120"/>
        <w:spacing w:after="0" w:line="229" w:lineRule="auto"/>
        <w:rPr>
          <w:sz w:val="20"/>
          <w:szCs w:val="20"/>
          <w:color w:val="auto"/>
        </w:rPr>
      </w:pPr>
      <w:r>
        <w:rPr>
          <w:rFonts w:ascii="Times New Roman" w:cs="Times New Roman" w:eastAsia="Times New Roman" w:hAnsi="Times New Roman"/>
          <w:sz w:val="16"/>
          <w:szCs w:val="16"/>
          <w:color w:val="auto"/>
        </w:rPr>
        <w:t>Kornit Digital Ltd. (NASDAQ: KRNT) is a worldwide market leader in sustainable, on-demand, digital 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serves customers in more than one hundred countries and states worldwide. To learn more about how Kornit Digital is boldly transforming the world of fashion and textiles, visit www.kornit.com.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current adverse macro-economic headwinds being caused by supply-chain delays, inflationary pressures, and rising interest rates, which have been impacting,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its systems;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years ended December 31, 2021 and December 31, 2022, filed with the SEC on March 30, 2022, and to be filed with the SEC in the coming weeks, respectively. Any forward-looking statements in this press release are made as of the date hereof, whether as a result of new information, future events or otherwise, except as required by law.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and annual results. These non-GAAP financial measures reflect adjustments to corresponding GAAP financial measures in order to exclude the impact of the following: share-based compensation expenses; amortization of intangible assets; acquisition related expenses; restructuring expenses; foreign exchange differences associated with ASC 842; non-cash deferred tax expenses (income); and taxes attributed to tax settlement.</w:t>
      </w:r>
    </w:p>
    <w:p>
      <w:pPr>
        <w:spacing w:after="0" w:line="16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In order to enable investors to compare our Adjusted EBITDA and other non-GAAP financial results for the three-month and full-year periods ended December 31, 2022 presented herein with our corresponding results for prior periods, the Company has included herein reconciliation tables of our GAAP net income to adjusted EBITDA covering the following additional historical periods: each quarter of the years ended December 31, 2022 and 2021; and each of the years ended December 31, 2022, 2021, and 2020.</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Short-term bank deposit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Trade receivables,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Inventory</w:t>
      </w:r>
    </w:p>
    <w:p>
      <w:pPr>
        <w:spacing w:after="0" w:line="7" w:lineRule="exact"/>
        <w:rPr>
          <w:sz w:val="20"/>
          <w:szCs w:val="20"/>
          <w:color w:val="auto"/>
        </w:rPr>
      </w:pPr>
    </w:p>
    <w:p>
      <w:pPr>
        <w:ind w:right="320" w:firstLine="143"/>
        <w:spacing w:after="0" w:line="289" w:lineRule="auto"/>
        <w:rPr>
          <w:sz w:val="20"/>
          <w:szCs w:val="20"/>
          <w:color w:val="auto"/>
        </w:rPr>
      </w:pPr>
      <w:r>
        <w:rPr>
          <w:rFonts w:ascii="Times New Roman" w:cs="Times New Roman" w:eastAsia="Times New Roman" w:hAnsi="Times New Roman"/>
          <w:sz w:val="16"/>
          <w:szCs w:val="16"/>
          <w:color w:val="auto"/>
        </w:rPr>
        <w:t>Other accounts receivable and prepaid expenses Total current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ASSETS: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Severance pay fund</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long-term assets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8"/>
                <w:szCs w:val="18"/>
                <w:color w:val="auto"/>
              </w:rPr>
            </w:pPr>
          </w:p>
        </w:tc>
      </w:tr>
      <w:tr>
        <w:trPr>
          <w:trHeight w:val="195"/>
        </w:trPr>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20" w:type="dxa"/>
            <w:vAlign w:val="bottom"/>
          </w:tcPr>
          <w:p>
            <w:pPr>
              <w:spacing w:after="0"/>
              <w:rPr>
                <w:sz w:val="16"/>
                <w:szCs w:val="16"/>
                <w:color w:val="auto"/>
              </w:rPr>
            </w:pPr>
          </w:p>
        </w:tc>
      </w:tr>
      <w:tr>
        <w:trPr>
          <w:trHeight w:val="557"/>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104,597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611,551</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275,033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9,168</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20,380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w:t>
            </w:r>
          </w:p>
        </w:tc>
        <w:tc>
          <w:tcPr>
            <w:tcW w:w="20" w:type="dxa"/>
            <w:vAlign w:val="bottom"/>
          </w:tcPr>
          <w:p>
            <w:pPr>
              <w:spacing w:after="0"/>
              <w:rPr>
                <w:sz w:val="16"/>
                <w:szCs w:val="16"/>
                <w:color w:val="auto"/>
              </w:rPr>
            </w:pP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67,360</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49,797</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89,415</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63,017</w:t>
            </w:r>
          </w:p>
        </w:tc>
      </w:tr>
      <w:tr>
        <w:trPr>
          <w:trHeight w:val="212"/>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22,054</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13,694</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578,839</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775,343</w:t>
            </w:r>
          </w:p>
        </w:tc>
      </w:tr>
      <w:tr>
        <w:trPr>
          <w:trHeight w:val="557"/>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245,970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149,269</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357</w:t>
            </w:r>
          </w:p>
        </w:tc>
      </w:tr>
      <w:tr>
        <w:trPr>
          <w:trHeight w:val="191"/>
        </w:trPr>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9,339</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60,463</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45,046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27,139</w:t>
            </w: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25,155</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9,890</w:t>
            </w: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10,063</w:t>
            </w:r>
          </w:p>
        </w:tc>
      </w:tr>
      <w:tr>
        <w:trPr>
          <w:trHeight w:val="212"/>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25,447</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378,827</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265,532</w:t>
            </w:r>
          </w:p>
        </w:tc>
        <w:tc>
          <w:tcPr>
            <w:tcW w:w="20" w:type="dxa"/>
            <w:vAlign w:val="bottom"/>
            <w:tcBorders>
              <w:top w:val="single" w:sz="8" w:color="auto"/>
            </w:tcBorders>
          </w:tcPr>
          <w:p>
            <w:pPr>
              <w:spacing w:after="0"/>
              <w:rPr>
                <w:sz w:val="16"/>
                <w:szCs w:val="16"/>
                <w:color w:val="auto"/>
              </w:rPr>
            </w:pPr>
          </w:p>
        </w:tc>
      </w:tr>
      <w:tr>
        <w:trPr>
          <w:trHeight w:val="422"/>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957,666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1,040,875</w:t>
            </w:r>
          </w:p>
        </w:tc>
        <w:tc>
          <w:tcPr>
            <w:tcW w:w="20" w:type="dxa"/>
            <w:vAlign w:val="bottom"/>
          </w:tcPr>
          <w:p>
            <w:pPr>
              <w:spacing w:after="0"/>
              <w:rPr>
                <w:sz w:val="24"/>
                <w:szCs w:val="24"/>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14,833</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46,448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14,255</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22,482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5,701</w:t>
            </w:r>
          </w:p>
        </w:tc>
        <w:tc>
          <w:tcPr>
            <w:tcW w:w="2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4,989</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25,592</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17,287</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1,223</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21,035</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21,900</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1,216</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868,822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919,553</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957,666</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1,040,875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10" w:name="page11"/>
    <w:bookmarkEnd w:id="10"/>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49,795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75,955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222,502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282,637</w:t>
            </w:r>
          </w:p>
        </w:tc>
        <w:tc>
          <w:tcPr>
            <w:tcW w:w="0" w:type="dxa"/>
            <w:vAlign w:val="bottom"/>
          </w:tcPr>
          <w:p>
            <w:pPr>
              <w:spacing w:after="0"/>
              <w:rPr>
                <w:sz w:val="1"/>
                <w:szCs w:val="1"/>
                <w:color w:val="auto"/>
              </w:rPr>
            </w:pPr>
          </w:p>
        </w:tc>
      </w:tr>
      <w:tr>
        <w:trPr>
          <w:trHeight w:val="20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13,503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49,016</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39,369</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63,298</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271,518</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322,006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29,026</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34,273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132,730</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12,923</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10,888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49,083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37,365</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41,949</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45,161</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175,018</w:t>
            </w: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170,095</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21,349</w:t>
            </w:r>
          </w:p>
        </w:tc>
        <w:tc>
          <w:tcPr>
            <w:tcW w:w="2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42,387</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96,500</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151,911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13,251</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12,993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56,026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43,729</w:t>
            </w: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16,150</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71,067</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58,752</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8,657</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39,289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36,637</w:t>
            </w:r>
          </w:p>
        </w:tc>
        <w:tc>
          <w:tcPr>
            <w:tcW w:w="0" w:type="dxa"/>
            <w:vAlign w:val="bottom"/>
          </w:tcPr>
          <w:p>
            <w:pPr>
              <w:spacing w:after="0"/>
              <w:rPr>
                <w:sz w:val="1"/>
                <w:szCs w:val="1"/>
                <w:color w:val="auto"/>
              </w:rPr>
            </w:pPr>
          </w:p>
        </w:tc>
      </w:tr>
      <w:tr>
        <w:trPr>
          <w:trHeight w:val="147"/>
        </w:trPr>
        <w:tc>
          <w:tcPr>
            <w:tcW w:w="598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38,058</w:t>
            </w:r>
          </w:p>
        </w:tc>
        <w:tc>
          <w:tcPr>
            <w:tcW w:w="24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42,694</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166,382</w:t>
            </w: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139,118</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20" w:type="dxa"/>
            <w:vAlign w:val="bottom"/>
            <w:tcBorders>
              <w:top w:val="single" w:sz="8" w:color="auto"/>
            </w:tcBorders>
            <w:shd w:val="clear" w:color="auto" w:fill="CCEEFF"/>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(16,709)</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(69,882)</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12,793</w:t>
            </w:r>
          </w:p>
        </w:tc>
        <w:tc>
          <w:tcPr>
            <w:tcW w:w="0" w:type="dxa"/>
            <w:vAlign w:val="bottom"/>
          </w:tcPr>
          <w:p>
            <w:pPr>
              <w:spacing w:after="0"/>
              <w:rPr>
                <w:sz w:val="1"/>
                <w:szCs w:val="1"/>
                <w:color w:val="auto"/>
              </w:rPr>
            </w:pPr>
          </w:p>
        </w:tc>
      </w:tr>
      <w:tr>
        <w:trPr>
          <w:trHeight w:val="191"/>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(expenses),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5,052</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13,382</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 on income (tax benefits)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(56,500)</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 (tax benefits)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23,703</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22,565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(35,360</w:t>
            </w:r>
          </w:p>
        </w:tc>
        <w:tc>
          <w:tcPr>
            <w:tcW w:w="2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2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15,527</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(1.58</w:t>
            </w:r>
            <w:r>
              <w:rPr>
                <w:rFonts w:ascii="Times New Roman" w:cs="Times New Roman" w:eastAsia="Times New Roman" w:hAnsi="Times New Roman"/>
                <w:sz w:val="26"/>
                <w:szCs w:val="26"/>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income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49,913,898</w:t>
            </w:r>
          </w:p>
        </w:tc>
        <w:tc>
          <w:tcPr>
            <w:tcW w:w="38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47,778,868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50,104,342</w:t>
            </w:r>
          </w:p>
        </w:tc>
        <w:tc>
          <w:tcPr>
            <w:tcW w:w="14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47,079,358</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net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(1.58</w:t>
            </w:r>
            <w:r>
              <w:rPr>
                <w:rFonts w:ascii="Times New Roman" w:cs="Times New Roman" w:eastAsia="Times New Roman" w:hAnsi="Times New Roman"/>
                <w:sz w:val="26"/>
                <w:szCs w:val="26"/>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income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49,913,898</w:t>
            </w:r>
          </w:p>
        </w:tc>
        <w:tc>
          <w:tcPr>
            <w:tcW w:w="3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48,926,240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50,104,342</w:t>
            </w: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48,600,095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1" w:name="page12"/>
    <w:bookmarkEnd w:id="11"/>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63,298</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87,548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271,518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322,006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41,949</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45,161</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175,018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170,095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(543)</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(2,185)</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(1,402)</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(640)</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(663)</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expenses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(701)</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40,267</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44,115</w:t>
            </w:r>
          </w:p>
        </w:tc>
        <w:tc>
          <w:tcPr>
            <w:tcW w:w="14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167,751</w:t>
            </w:r>
          </w:p>
        </w:tc>
        <w:tc>
          <w:tcPr>
            <w:tcW w:w="220" w:type="dxa"/>
            <w:vAlign w:val="bottom"/>
          </w:tcPr>
          <w:p>
            <w:pPr>
              <w:spacing w:after="0"/>
              <w:rPr>
                <w:sz w:val="21"/>
                <w:szCs w:val="21"/>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166,658</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21,349</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42,387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96,500</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151,911</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1,682</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23,031</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43,433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103,767</w:t>
            </w:r>
          </w:p>
        </w:tc>
        <w:tc>
          <w:tcPr>
            <w:tcW w:w="220" w:type="dxa"/>
            <w:vAlign w:val="bottom"/>
          </w:tcPr>
          <w:p>
            <w:pPr>
              <w:spacing w:after="0"/>
              <w:rPr>
                <w:sz w:val="21"/>
                <w:szCs w:val="21"/>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155,348</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38,058</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42,694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166,382</w:t>
            </w:r>
          </w:p>
        </w:tc>
        <w:tc>
          <w:tcPr>
            <w:tcW w:w="220" w:type="dxa"/>
            <w:vAlign w:val="bottom"/>
          </w:tcPr>
          <w:p>
            <w:pPr>
              <w:spacing w:after="0"/>
              <w:rPr>
                <w:sz w:val="16"/>
                <w:szCs w:val="16"/>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139,118</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(4,264)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(18,788)</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(512)</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(711)</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32,945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38,377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145,589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125,052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5,052</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13,382</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w:t>
            </w: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(3,123)</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5,337</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10,259</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 (tax benefit)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23,703</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22,565</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 (expenses)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(10,234)</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(10,014)</w:t>
            </w:r>
          </w:p>
        </w:tc>
        <w:tc>
          <w:tcPr>
            <w:tcW w:w="3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tax payment (a)</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(11,485)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(11,485)</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Taxes on income (tax benefit)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1,984</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40" w:type="dxa"/>
            <w:vAlign w:val="bottom"/>
            <w:vMerge w:val="continue"/>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220" w:type="dxa"/>
            <w:vAlign w:val="bottom"/>
          </w:tcPr>
          <w:p>
            <w:pPr>
              <w:spacing w:after="0"/>
              <w:rPr>
                <w:sz w:val="21"/>
                <w:szCs w:val="21"/>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net income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(35,360)</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(79,065)</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15,527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5,215</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22,649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15,133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(4)</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1,016</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663</w:t>
            </w: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(3,123)</w:t>
            </w: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deferred tax expenses (income)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10,234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10,014</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Non-recurring tax payment (a)</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11,485</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2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(32,629</w:t>
            </w:r>
          </w:p>
        </w:tc>
        <w:tc>
          <w:tcPr>
            <w:tcW w:w="2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36,099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earnings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0.02</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(1.58</w:t>
            </w:r>
            <w:r>
              <w:rPr>
                <w:rFonts w:ascii="Times New Roman" w:cs="Times New Roman" w:eastAsia="Times New Roman" w:hAnsi="Times New Roman"/>
                <w:sz w:val="26"/>
                <w:szCs w:val="26"/>
                <w:color w:val="auto"/>
                <w:vertAlign w:val="superscript"/>
              </w:rPr>
              <w:t>)</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(0.13</w:t>
            </w:r>
            <w:r>
              <w:rPr>
                <w:rFonts w:ascii="Times New Roman" w:cs="Times New Roman" w:eastAsia="Times New Roman" w:hAnsi="Times New Roman"/>
                <w:sz w:val="26"/>
                <w:szCs w:val="26"/>
                <w:color w:val="auto"/>
                <w:vertAlign w:val="superscript"/>
              </w:rPr>
              <w:t>)</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(0.65</w:t>
            </w:r>
            <w:r>
              <w:rPr>
                <w:rFonts w:ascii="Times New Roman" w:cs="Times New Roman" w:eastAsia="Times New Roman" w:hAnsi="Times New Roman"/>
                <w:sz w:val="26"/>
                <w:szCs w:val="26"/>
                <w:color w:val="auto"/>
                <w:vertAlign w:val="superscript"/>
              </w:rPr>
              <w:t>)</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earnings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49,913,898</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48,926,240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50,104,342</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48,600,095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earnings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49,913,898</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49,163,475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50,104,342</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48,836,435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543</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220" w:type="dxa"/>
            <w:vAlign w:val="bottom"/>
          </w:tcPr>
          <w:p>
            <w:pPr>
              <w:spacing w:after="0"/>
              <w:rPr>
                <w:sz w:val="16"/>
                <w:szCs w:val="16"/>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1,340</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1,693</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5,005</w:t>
            </w:r>
          </w:p>
        </w:tc>
        <w:tc>
          <w:tcPr>
            <w:tcW w:w="0" w:type="dxa"/>
            <w:vAlign w:val="bottom"/>
          </w:tcPr>
          <w:p>
            <w:pPr>
              <w:spacing w:after="0"/>
              <w:rPr>
                <w:sz w:val="1"/>
                <w:szCs w:val="1"/>
                <w:color w:val="auto"/>
              </w:rPr>
            </w:pPr>
          </w:p>
        </w:tc>
      </w:tr>
      <w:tr>
        <w:trPr>
          <w:trHeight w:val="203"/>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1,231</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6,115</w:t>
            </w:r>
          </w:p>
        </w:tc>
        <w:tc>
          <w:tcPr>
            <w:tcW w:w="3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4,983</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5,215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22,649</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 Acquisition related expenses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663</w:t>
            </w: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20" w:type="dxa"/>
            <w:vAlign w:val="bottom"/>
          </w:tcPr>
          <w:p>
            <w:pPr>
              <w:spacing w:after="0"/>
              <w:rPr>
                <w:sz w:val="22"/>
                <w:szCs w:val="22"/>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25"/>
        </w:trPr>
        <w:tc>
          <w:tcPr>
            <w:tcW w:w="59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14" w:right="319" w:bottom="0" w:gutter="0" w:footer="0" w:header="0"/>
        </w:sectPr>
      </w:pPr>
    </w:p>
    <w:bookmarkStart w:id="12" w:name="page13"/>
    <w:bookmarkEnd w:id="12"/>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59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(3) Intangible assets amortization</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266</w:t>
            </w: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w:t>
            </w: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w:t>
            </w:r>
          </w:p>
        </w:tc>
        <w:tc>
          <w:tcPr>
            <w:tcW w:w="5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640</w:t>
            </w:r>
          </w:p>
        </w:tc>
        <w:tc>
          <w:tcPr>
            <w:tcW w:w="4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640</w:t>
            </w:r>
          </w:p>
        </w:tc>
      </w:tr>
      <w:tr>
        <w:trPr>
          <w:trHeight w:val="203"/>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Sales and marketing</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138</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501</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w:t>
            </w:r>
          </w:p>
        </w:tc>
      </w:tr>
      <w:tr>
        <w:trPr>
          <w:trHeight w:val="24"/>
        </w:trPr>
        <w:tc>
          <w:tcPr>
            <w:tcW w:w="59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9"/>
        </w:trPr>
        <w:tc>
          <w:tcPr>
            <w:tcW w:w="5980" w:type="dxa"/>
            <w:vAlign w:val="bottom"/>
          </w:tcPr>
          <w:p>
            <w:pPr>
              <w:spacing w:after="0"/>
              <w:rPr>
                <w:sz w:val="22"/>
                <w:szCs w:val="22"/>
                <w:color w:val="auto"/>
              </w:rPr>
            </w:pP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564</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433</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220" w:type="dxa"/>
            <w:vAlign w:val="bottom"/>
          </w:tcPr>
          <w:p>
            <w:pPr>
              <w:spacing w:after="0"/>
              <w:rPr>
                <w:sz w:val="22"/>
                <w:szCs w:val="22"/>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1,410</w:t>
            </w: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(4) Restructuring expenses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42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305</w:t>
            </w: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689</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137</w:t>
            </w: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201</w:t>
            </w: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Selling and marketing</w:t>
            </w: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487</w:t>
            </w:r>
          </w:p>
        </w:tc>
        <w:tc>
          <w:tcPr>
            <w:tcW w:w="5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675</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3"/>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87</w:t>
            </w: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r>
      <w:tr>
        <w:trPr>
          <w:trHeight w:val="24"/>
        </w:trPr>
        <w:tc>
          <w:tcPr>
            <w:tcW w:w="59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9"/>
        </w:trPr>
        <w:tc>
          <w:tcPr>
            <w:tcW w:w="5980" w:type="dxa"/>
            <w:vAlign w:val="bottom"/>
          </w:tcPr>
          <w:p>
            <w:pPr>
              <w:spacing w:after="0"/>
              <w:rPr>
                <w:sz w:val="19"/>
                <w:szCs w:val="19"/>
                <w:color w:val="auto"/>
              </w:rPr>
            </w:pPr>
          </w:p>
        </w:tc>
        <w:tc>
          <w:tcPr>
            <w:tcW w:w="4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1,016</w:t>
            </w:r>
          </w:p>
        </w:tc>
        <w:tc>
          <w:tcPr>
            <w:tcW w:w="5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20" w:type="dxa"/>
            <w:vAlign w:val="bottom"/>
          </w:tcPr>
          <w:p>
            <w:pPr>
              <w:spacing w:after="0"/>
              <w:rPr>
                <w:sz w:val="19"/>
                <w:szCs w:val="19"/>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4" w:hanging="284"/>
        <w:spacing w:after="0"/>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Attributed to tax settlement with the Israeli Tax Authority</w:t>
      </w:r>
    </w:p>
    <w:p>
      <w:pPr>
        <w:spacing w:after="0" w:line="2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 cash impact related to the recognition of deferred taxes with respect to carryforward losses in Israel.</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costs related to the secondary offering of the company’s shares.</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40" w:type="dxa"/>
            <w:vAlign w:val="bottom"/>
            <w:gridSpan w:val="4"/>
          </w:tcPr>
          <w:p>
            <w:pPr>
              <w:spacing w:after="0" w:line="17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(35,360)</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954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(79,065)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15,527</w:t>
            </w:r>
          </w:p>
        </w:tc>
        <w:tc>
          <w:tcPr>
            <w:tcW w:w="0" w:type="dxa"/>
            <w:vAlign w:val="bottom"/>
          </w:tcPr>
          <w:p>
            <w:pPr>
              <w:spacing w:after="0"/>
              <w:rPr>
                <w:sz w:val="1"/>
                <w:szCs w:val="1"/>
                <w:color w:val="auto"/>
              </w:rPr>
            </w:pPr>
          </w:p>
        </w:tc>
      </w:tr>
      <w:tr>
        <w:trPr>
          <w:trHeight w:val="175"/>
        </w:trPr>
        <w:tc>
          <w:tcPr>
            <w:tcW w:w="55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w w:val="99"/>
              </w:rPr>
              <w:t>Adjustments to reconcile net income (loss) to net cash provided by (used in) operating</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activities: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4,399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13,565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7,096</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4,339</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22,500</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25,423</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5,215</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22,649</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15,133</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gain on sale and redemption of marketable securities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63"/>
        </w:trPr>
        <w:tc>
          <w:tcPr>
            <w:tcW w:w="554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4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2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(3,673)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(15,891)</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(2,501)</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(8,635)</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(4,134)</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(2,437)</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(29,004)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(14,079)</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(2,918)</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11,523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(1,859)</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(4,251)</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(9,068)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15,265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(26,948)</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12,865</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(2,222)</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(7,674)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9,698</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(21,668)</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(8,873)</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5,648</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191"/>
        </w:trPr>
        <w:tc>
          <w:tcPr>
            <w:tcW w:w="55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330</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23"/>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from sale and disposal of property, plant and Equipment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54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(39,577</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10,514</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(99,347</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53,644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4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(5,776)</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(5,055)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(18,042)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(14,477)</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3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paid in connection with acquisition, net of cash acquired</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(14,654)</w:t>
            </w:r>
          </w:p>
        </w:tc>
        <w:tc>
          <w:tcPr>
            <w:tcW w:w="14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(14,991)</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bank deposits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85,089</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(265,865)</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215,636</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maturity of marketable securities</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6,500</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27,898</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13,526</w:t>
            </w:r>
          </w:p>
        </w:tc>
        <w:tc>
          <w:tcPr>
            <w:tcW w:w="0" w:type="dxa"/>
            <w:vAlign w:val="bottom"/>
          </w:tcPr>
          <w:p>
            <w:pPr>
              <w:spacing w:after="0"/>
              <w:rPr>
                <w:sz w:val="1"/>
                <w:szCs w:val="1"/>
                <w:color w:val="auto"/>
              </w:rPr>
            </w:pPr>
          </w:p>
        </w:tc>
      </w:tr>
      <w:tr>
        <w:trPr>
          <w:trHeight w:val="207"/>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(8,135)</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(66,148)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(137,500)</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(110,458)</w:t>
            </w:r>
          </w:p>
        </w:tc>
        <w:tc>
          <w:tcPr>
            <w:tcW w:w="0" w:type="dxa"/>
            <w:vAlign w:val="bottom"/>
          </w:tcPr>
          <w:p>
            <w:pPr>
              <w:spacing w:after="0"/>
              <w:rPr>
                <w:sz w:val="1"/>
                <w:szCs w:val="1"/>
                <w:color w:val="auto"/>
              </w:rPr>
            </w:pPr>
          </w:p>
        </w:tc>
      </w:tr>
      <w:tr>
        <w:trPr>
          <w:trHeight w:val="195"/>
        </w:trPr>
        <w:tc>
          <w:tcPr>
            <w:tcW w:w="55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77,412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(407,275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4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90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public offering, net of issuance cost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339,760</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339,760</w:t>
            </w: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w:t>
            </w:r>
          </w:p>
        </w:tc>
        <w:tc>
          <w:tcPr>
            <w:tcW w:w="3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619</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23"/>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(2,235)</w:t>
            </w:r>
          </w:p>
        </w:tc>
        <w:tc>
          <w:tcPr>
            <w:tcW w:w="0" w:type="dxa"/>
            <w:vAlign w:val="bottom"/>
          </w:tcPr>
          <w:p>
            <w:pPr>
              <w:spacing w:after="0"/>
              <w:rPr>
                <w:sz w:val="1"/>
                <w:szCs w:val="1"/>
                <w:color w:val="auto"/>
              </w:rPr>
            </w:pPr>
          </w:p>
        </w:tc>
      </w:tr>
      <w:tr>
        <w:trPr>
          <w:trHeight w:val="179"/>
        </w:trPr>
        <w:tc>
          <w:tcPr>
            <w:tcW w:w="554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4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69</w:t>
            </w:r>
          </w:p>
        </w:tc>
        <w:tc>
          <w:tcPr>
            <w:tcW w:w="24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339,896</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(332</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342,375</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37,904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514,883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(506,954)</w:t>
            </w: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485,774</w:t>
            </w:r>
          </w:p>
        </w:tc>
        <w:tc>
          <w:tcPr>
            <w:tcW w:w="0" w:type="dxa"/>
            <w:vAlign w:val="bottom"/>
          </w:tcPr>
          <w:p>
            <w:pPr>
              <w:spacing w:after="0"/>
              <w:rPr>
                <w:sz w:val="1"/>
                <w:szCs w:val="1"/>
                <w:color w:val="auto"/>
              </w:rPr>
            </w:pPr>
          </w:p>
        </w:tc>
      </w:tr>
      <w:tr>
        <w:trPr>
          <w:trHeight w:val="203"/>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66,693</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96,668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611,551</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125,777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40" w:type="dxa"/>
            <w:vAlign w:val="bottom"/>
            <w:gridSpan w:val="4"/>
            <w:vMerge w:val="continue"/>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104,597</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611,551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611,551</w:t>
            </w:r>
          </w:p>
        </w:tc>
        <w:tc>
          <w:tcPr>
            <w:tcW w:w="0" w:type="dxa"/>
            <w:vAlign w:val="bottom"/>
          </w:tcPr>
          <w:p>
            <w:pPr>
              <w:spacing w:after="0"/>
              <w:rPr>
                <w:sz w:val="1"/>
                <w:szCs w:val="1"/>
                <w:color w:val="auto"/>
              </w:rPr>
            </w:pPr>
          </w:p>
        </w:tc>
      </w:tr>
      <w:tr>
        <w:trPr>
          <w:trHeight w:val="187"/>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1,692</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2,461</w:t>
            </w:r>
          </w:p>
        </w:tc>
        <w:tc>
          <w:tcPr>
            <w:tcW w:w="0" w:type="dxa"/>
            <w:vAlign w:val="bottom"/>
          </w:tcPr>
          <w:p>
            <w:pPr>
              <w:spacing w:after="0"/>
              <w:rPr>
                <w:sz w:val="1"/>
                <w:szCs w:val="1"/>
                <w:color w:val="auto"/>
              </w:rPr>
            </w:pPr>
          </w:p>
        </w:tc>
      </w:tr>
      <w:tr>
        <w:trPr>
          <w:trHeight w:val="191"/>
        </w:trPr>
        <w:tc>
          <w:tcPr>
            <w:tcW w:w="5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5,248</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3,572</w:t>
            </w:r>
          </w:p>
        </w:tc>
        <w:tc>
          <w:tcPr>
            <w:tcW w:w="0" w:type="dxa"/>
            <w:vAlign w:val="bottom"/>
          </w:tcPr>
          <w:p>
            <w:pPr>
              <w:spacing w:after="0"/>
              <w:rPr>
                <w:sz w:val="1"/>
                <w:szCs w:val="1"/>
                <w:color w:val="auto"/>
              </w:rPr>
            </w:pPr>
          </w:p>
        </w:tc>
      </w:tr>
      <w:tr>
        <w:trPr>
          <w:trHeight w:val="208"/>
        </w:trPr>
        <w:tc>
          <w:tcPr>
            <w:tcW w:w="5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5,688</w:t>
            </w:r>
          </w:p>
        </w:tc>
        <w:tc>
          <w:tcPr>
            <w:tcW w:w="0" w:type="dxa"/>
            <w:vAlign w:val="bottom"/>
          </w:tcPr>
          <w:p>
            <w:pPr>
              <w:spacing w:after="0"/>
              <w:rPr>
                <w:sz w:val="1"/>
                <w:szCs w:val="1"/>
                <w:color w:val="auto"/>
              </w:rPr>
            </w:pPr>
          </w:p>
        </w:tc>
      </w:tr>
      <w:tr>
        <w:trPr>
          <w:trHeight w:val="585"/>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GAAP NET INCOME TO ADJUSTED EBITDA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b w:val="1"/>
                <w:bCs w:val="1"/>
                <w:color w:val="auto"/>
                <w:w w:val="94"/>
              </w:rPr>
              <w:t>March 31,</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58"/>
              <w:spacing w:after="0" w:line="144"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58"/>
              <w:spacing w:after="0" w:line="144"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Borders>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8"/>
              </w:rPr>
              <w:t>March 31,</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60" w:type="dxa"/>
            <w:vAlign w:val="bottom"/>
            <w:tcBorders>
              <w:bottom w:val="single" w:sz="8" w:color="auto"/>
            </w:tcBorders>
            <w:gridSpan w:val="3"/>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jc w:val="center"/>
              <w:ind w:right="80"/>
              <w:spacing w:after="0" w:line="14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center"/>
              <w:ind w:left="277"/>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center"/>
              <w:ind w:left="256"/>
              <w:spacing w:after="0" w:line="144"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4" w:lineRule="exact"/>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76"/>
              <w:spacing w:after="0" w:line="144" w:lineRule="exact"/>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4" w:lineRule="exact"/>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ind w:left="277"/>
              <w:spacing w:after="0" w:line="132"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center"/>
              <w:ind w:left="256"/>
              <w:spacing w:after="0" w:line="132"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center"/>
              <w:ind w:right="100"/>
              <w:spacing w:after="0" w:line="132"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GAAP Revenues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58,136</w:t>
            </w:r>
          </w:p>
        </w:tc>
        <w:tc>
          <w:tcPr>
            <w:tcW w:w="3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66,791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63,298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66,123</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81,666</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86,669</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87,548</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271,518</w:t>
            </w: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322,006</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193,331</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GAAP Net Income (Loss)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(5,197)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(19,476)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(19,032)</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(35,360)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5,099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5,602</w:t>
            </w:r>
          </w:p>
        </w:tc>
        <w:tc>
          <w:tcPr>
            <w:tcW w:w="3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3,872</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954</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(79,065)</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15,527</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2" w:lineRule="exact"/>
              <w:rPr>
                <w:sz w:val="20"/>
                <w:szCs w:val="20"/>
                <w:color w:val="auto"/>
              </w:rPr>
            </w:pPr>
            <w:r>
              <w:rPr>
                <w:rFonts w:ascii="Times New Roman" w:cs="Times New Roman" w:eastAsia="Times New Roman" w:hAnsi="Times New Roman"/>
                <w:sz w:val="13"/>
                <w:szCs w:val="13"/>
                <w:color w:val="auto"/>
              </w:rPr>
              <w:t>(4,783)</w:t>
            </w:r>
          </w:p>
        </w:tc>
        <w:tc>
          <w:tcPr>
            <w:tcW w:w="0" w:type="dxa"/>
            <w:vAlign w:val="bottom"/>
          </w:tcPr>
          <w:p>
            <w:pPr>
              <w:spacing w:after="0"/>
              <w:rPr>
                <w:sz w:val="1"/>
                <w:szCs w:val="1"/>
                <w:color w:val="auto"/>
              </w:rPr>
            </w:pPr>
          </w:p>
        </w:tc>
      </w:tr>
      <w:tr>
        <w:trPr>
          <w:trHeight w:val="131"/>
        </w:trPr>
        <w:tc>
          <w:tcPr>
            <w:tcW w:w="194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auto"/>
              </w:rPr>
              <w:t>Taxes on income (tax benefits)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1"/>
                <w:szCs w:val="11"/>
                <w:color w:val="auto"/>
              </w:rPr>
            </w:pPr>
          </w:p>
        </w:tc>
        <w:tc>
          <w:tcPr>
            <w:tcW w:w="70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(1,099)</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(130)</w:t>
            </w:r>
          </w:p>
        </w:tc>
        <w:tc>
          <w:tcPr>
            <w:tcW w:w="200" w:type="dxa"/>
            <w:vAlign w:val="bottom"/>
          </w:tcPr>
          <w:p>
            <w:pPr>
              <w:spacing w:after="0"/>
              <w:rPr>
                <w:sz w:val="11"/>
                <w:szCs w:val="11"/>
                <w:color w:val="auto"/>
              </w:rPr>
            </w:pPr>
          </w:p>
        </w:tc>
        <w:tc>
          <w:tcPr>
            <w:tcW w:w="620" w:type="dxa"/>
            <w:vAlign w:val="bottom"/>
            <w:gridSpan w:val="2"/>
          </w:tcPr>
          <w:p>
            <w:pPr>
              <w:jc w:val="right"/>
              <w:ind w:right="16"/>
              <w:spacing w:after="0" w:line="132" w:lineRule="exact"/>
              <w:rPr>
                <w:sz w:val="20"/>
                <w:szCs w:val="20"/>
                <w:color w:val="auto"/>
              </w:rPr>
            </w:pPr>
            <w:r>
              <w:rPr>
                <w:rFonts w:ascii="Times New Roman" w:cs="Times New Roman" w:eastAsia="Times New Roman" w:hAnsi="Times New Roman"/>
                <w:sz w:val="13"/>
                <w:szCs w:val="13"/>
                <w:color w:val="auto"/>
              </w:rPr>
              <w:t>23,703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75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821</w:t>
            </w:r>
          </w:p>
        </w:tc>
        <w:tc>
          <w:tcPr>
            <w:tcW w:w="380" w:type="dxa"/>
            <w:vAlign w:val="bottom"/>
          </w:tcPr>
          <w:p>
            <w:pPr>
              <w:spacing w:after="0"/>
              <w:rPr>
                <w:sz w:val="11"/>
                <w:szCs w:val="11"/>
                <w:color w:val="auto"/>
              </w:rPr>
            </w:pPr>
          </w:p>
        </w:tc>
        <w:tc>
          <w:tcPr>
            <w:tcW w:w="4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266</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(1,297)</w:t>
            </w:r>
          </w:p>
        </w:tc>
        <w:tc>
          <w:tcPr>
            <w:tcW w:w="140" w:type="dxa"/>
            <w:vAlign w:val="bottom"/>
          </w:tcPr>
          <w:p>
            <w:pPr>
              <w:spacing w:after="0"/>
              <w:rPr>
                <w:sz w:val="11"/>
                <w:szCs w:val="11"/>
                <w:color w:val="auto"/>
              </w:rPr>
            </w:pPr>
          </w:p>
        </w:tc>
        <w:tc>
          <w:tcPr>
            <w:tcW w:w="66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22,565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(135)</w:t>
            </w:r>
          </w:p>
        </w:tc>
        <w:tc>
          <w:tcPr>
            <w:tcW w:w="160" w:type="dxa"/>
            <w:vAlign w:val="bottom"/>
          </w:tcPr>
          <w:p>
            <w:pPr>
              <w:spacing w:after="0"/>
              <w:rPr>
                <w:sz w:val="11"/>
                <w:szCs w:val="11"/>
                <w:color w:val="auto"/>
              </w:rPr>
            </w:pPr>
          </w:p>
        </w:tc>
        <w:tc>
          <w:tcPr>
            <w:tcW w:w="64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1,552</w:t>
            </w: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140"/>
              <w:spacing w:after="0" w:line="132" w:lineRule="exact"/>
              <w:rPr>
                <w:sz w:val="20"/>
                <w:szCs w:val="20"/>
                <w:color w:val="auto"/>
              </w:rPr>
            </w:pPr>
            <w:r>
              <w:rPr>
                <w:rFonts w:ascii="Times New Roman" w:cs="Times New Roman" w:eastAsia="Times New Roman" w:hAnsi="Times New Roman"/>
                <w:sz w:val="13"/>
                <w:szCs w:val="13"/>
                <w:color w:val="auto"/>
              </w:rPr>
              <w:t>Financial expenses (income)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(1,799)</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(4,324)</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(2,207)</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(5,052)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(2,065)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(351)</w:t>
            </w:r>
          </w:p>
        </w:tc>
        <w:tc>
          <w:tcPr>
            <w:tcW w:w="3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(219)</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(13,382)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(2,599)</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
              <w:spacing w:after="0" w:line="132" w:lineRule="exact"/>
              <w:rPr>
                <w:sz w:val="20"/>
                <w:szCs w:val="20"/>
                <w:color w:val="auto"/>
              </w:rPr>
            </w:pPr>
            <w:r>
              <w:rPr>
                <w:rFonts w:ascii="Times New Roman" w:cs="Times New Roman" w:eastAsia="Times New Roman" w:hAnsi="Times New Roman"/>
                <w:sz w:val="13"/>
                <w:szCs w:val="13"/>
                <w:color w:val="auto"/>
              </w:rPr>
              <w:t>(3,498)</w:t>
            </w:r>
          </w:p>
        </w:tc>
        <w:tc>
          <w:tcPr>
            <w:tcW w:w="0" w:type="dxa"/>
            <w:vAlign w:val="bottom"/>
          </w:tcPr>
          <w:p>
            <w:pPr>
              <w:spacing w:after="0"/>
              <w:rPr>
                <w:sz w:val="1"/>
                <w:szCs w:val="1"/>
                <w:color w:val="auto"/>
              </w:rPr>
            </w:pPr>
          </w:p>
        </w:tc>
      </w:tr>
      <w:tr>
        <w:trPr>
          <w:trHeight w:val="131"/>
        </w:trPr>
        <w:tc>
          <w:tcPr>
            <w:tcW w:w="194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auto"/>
              </w:rPr>
              <w:t>Share-based compensation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5,298</w:t>
            </w:r>
          </w:p>
        </w:tc>
        <w:tc>
          <w:tcPr>
            <w:tcW w:w="100" w:type="dxa"/>
            <w:vAlign w:val="bottom"/>
          </w:tcPr>
          <w:p>
            <w:pPr>
              <w:spacing w:after="0"/>
              <w:rPr>
                <w:sz w:val="11"/>
                <w:szCs w:val="11"/>
                <w:color w:val="auto"/>
              </w:rPr>
            </w:pPr>
          </w:p>
        </w:tc>
        <w:tc>
          <w:tcPr>
            <w:tcW w:w="70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5,481</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58"/>
              <w:spacing w:after="0" w:line="132" w:lineRule="exact"/>
              <w:rPr>
                <w:sz w:val="20"/>
                <w:szCs w:val="20"/>
                <w:color w:val="auto"/>
              </w:rPr>
            </w:pPr>
            <w:r>
              <w:rPr>
                <w:rFonts w:ascii="Times New Roman" w:cs="Times New Roman" w:eastAsia="Times New Roman" w:hAnsi="Times New Roman"/>
                <w:sz w:val="13"/>
                <w:szCs w:val="13"/>
                <w:color w:val="auto"/>
              </w:rPr>
              <w:t>6,655</w:t>
            </w:r>
          </w:p>
        </w:tc>
        <w:tc>
          <w:tcPr>
            <w:tcW w:w="200" w:type="dxa"/>
            <w:vAlign w:val="bottom"/>
          </w:tcPr>
          <w:p>
            <w:pPr>
              <w:spacing w:after="0"/>
              <w:rPr>
                <w:sz w:val="11"/>
                <w:szCs w:val="11"/>
                <w:color w:val="auto"/>
              </w:rPr>
            </w:pPr>
          </w:p>
        </w:tc>
        <w:tc>
          <w:tcPr>
            <w:tcW w:w="620" w:type="dxa"/>
            <w:vAlign w:val="bottom"/>
            <w:gridSpan w:val="2"/>
          </w:tcPr>
          <w:p>
            <w:pPr>
              <w:jc w:val="right"/>
              <w:ind w:right="16"/>
              <w:spacing w:after="0" w:line="132" w:lineRule="exact"/>
              <w:rPr>
                <w:sz w:val="20"/>
                <w:szCs w:val="20"/>
                <w:color w:val="auto"/>
              </w:rPr>
            </w:pPr>
            <w:r>
              <w:rPr>
                <w:rFonts w:ascii="Times New Roman" w:cs="Times New Roman" w:eastAsia="Times New Roman" w:hAnsi="Times New Roman"/>
                <w:sz w:val="13"/>
                <w:szCs w:val="13"/>
                <w:color w:val="auto"/>
              </w:rPr>
              <w:t>5,215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3,072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3,827</w:t>
            </w:r>
          </w:p>
        </w:tc>
        <w:tc>
          <w:tcPr>
            <w:tcW w:w="380" w:type="dxa"/>
            <w:vAlign w:val="bottom"/>
          </w:tcPr>
          <w:p>
            <w:pPr>
              <w:spacing w:after="0"/>
              <w:rPr>
                <w:sz w:val="11"/>
                <w:szCs w:val="11"/>
                <w:color w:val="auto"/>
              </w:rPr>
            </w:pPr>
          </w:p>
        </w:tc>
        <w:tc>
          <w:tcPr>
            <w:tcW w:w="4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4,070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4,164</w:t>
            </w:r>
          </w:p>
        </w:tc>
        <w:tc>
          <w:tcPr>
            <w:tcW w:w="140" w:type="dxa"/>
            <w:vAlign w:val="bottom"/>
          </w:tcPr>
          <w:p>
            <w:pPr>
              <w:spacing w:after="0"/>
              <w:rPr>
                <w:sz w:val="11"/>
                <w:szCs w:val="11"/>
                <w:color w:val="auto"/>
              </w:rPr>
            </w:pPr>
          </w:p>
        </w:tc>
        <w:tc>
          <w:tcPr>
            <w:tcW w:w="66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22,649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15,133</w:t>
            </w:r>
          </w:p>
        </w:tc>
        <w:tc>
          <w:tcPr>
            <w:tcW w:w="160" w:type="dxa"/>
            <w:vAlign w:val="bottom"/>
          </w:tcPr>
          <w:p>
            <w:pPr>
              <w:spacing w:after="0"/>
              <w:rPr>
                <w:sz w:val="11"/>
                <w:szCs w:val="11"/>
                <w:color w:val="auto"/>
              </w:rPr>
            </w:pPr>
          </w:p>
        </w:tc>
        <w:tc>
          <w:tcPr>
            <w:tcW w:w="64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10,036</w:t>
            </w: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140"/>
              <w:spacing w:after="0" w:line="132" w:lineRule="exact"/>
              <w:rPr>
                <w:sz w:val="20"/>
                <w:szCs w:val="20"/>
                <w:color w:val="auto"/>
              </w:rPr>
            </w:pPr>
            <w:r>
              <w:rPr>
                <w:rFonts w:ascii="Times New Roman" w:cs="Times New Roman" w:eastAsia="Times New Roman" w:hAnsi="Times New Roman"/>
                <w:sz w:val="13"/>
                <w:szCs w:val="13"/>
                <w:color w:val="auto"/>
              </w:rPr>
              <w:t>Intangible assets amortization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790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58"/>
              <w:spacing w:after="0" w:line="132" w:lineRule="exact"/>
              <w:rPr>
                <w:sz w:val="20"/>
                <w:szCs w:val="20"/>
                <w:color w:val="auto"/>
              </w:rPr>
            </w:pPr>
            <w:r>
              <w:rPr>
                <w:rFonts w:ascii="Times New Roman" w:cs="Times New Roman" w:eastAsia="Times New Roman" w:hAnsi="Times New Roman"/>
                <w:sz w:val="13"/>
                <w:szCs w:val="13"/>
                <w:color w:val="auto"/>
              </w:rPr>
              <w:t>770</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564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304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304</w:t>
            </w:r>
          </w:p>
        </w:tc>
        <w:tc>
          <w:tcPr>
            <w:tcW w:w="3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369</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433</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2,543</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1,410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auto"/>
              </w:rPr>
              <w:t>Acquisition related expenses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1"/>
                <w:szCs w:val="11"/>
                <w:color w:val="auto"/>
              </w:rPr>
            </w:pPr>
          </w:p>
        </w:tc>
        <w:tc>
          <w:tcPr>
            <w:tcW w:w="70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58"/>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5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4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194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766</w:t>
            </w:r>
          </w:p>
        </w:tc>
        <w:tc>
          <w:tcPr>
            <w:tcW w:w="14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512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960</w:t>
            </w:r>
          </w:p>
        </w:tc>
        <w:tc>
          <w:tcPr>
            <w:tcW w:w="1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40" w:type="dxa"/>
            <w:vAlign w:val="bottom"/>
            <w:shd w:val="clear" w:color="auto" w:fill="CCEEFF"/>
          </w:tcPr>
          <w:p>
            <w:pPr>
              <w:ind w:left="140"/>
              <w:spacing w:after="0" w:line="111" w:lineRule="exact"/>
              <w:rPr>
                <w:sz w:val="20"/>
                <w:szCs w:val="20"/>
                <w:color w:val="auto"/>
              </w:rPr>
            </w:pPr>
            <w:r>
              <w:rPr>
                <w:rFonts w:ascii="Times New Roman" w:cs="Times New Roman" w:eastAsia="Times New Roman" w:hAnsi="Times New Roman"/>
                <w:sz w:val="12"/>
                <w:szCs w:val="12"/>
                <w:color w:val="auto"/>
              </w:rPr>
              <w:t>Excess cost of product on acquired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294</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inventory</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auto"/>
              </w:rPr>
              <w:t>Restructuring expenses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58"/>
              <w:spacing w:after="0" w:line="132" w:lineRule="exact"/>
              <w:rPr>
                <w:sz w:val="20"/>
                <w:szCs w:val="20"/>
                <w:color w:val="auto"/>
              </w:rPr>
            </w:pPr>
            <w:r>
              <w:rPr>
                <w:rFonts w:ascii="Times New Roman" w:cs="Times New Roman" w:eastAsia="Times New Roman" w:hAnsi="Times New Roman"/>
                <w:sz w:val="13"/>
                <w:szCs w:val="13"/>
                <w:color w:val="auto"/>
              </w:rPr>
              <w:t>677</w:t>
            </w:r>
          </w:p>
        </w:tc>
        <w:tc>
          <w:tcPr>
            <w:tcW w:w="200" w:type="dxa"/>
            <w:vAlign w:val="bottom"/>
          </w:tcPr>
          <w:p>
            <w:pPr>
              <w:spacing w:after="0"/>
              <w:rPr>
                <w:sz w:val="11"/>
                <w:szCs w:val="11"/>
                <w:color w:val="auto"/>
              </w:rPr>
            </w:pPr>
          </w:p>
        </w:tc>
        <w:tc>
          <w:tcPr>
            <w:tcW w:w="620" w:type="dxa"/>
            <w:vAlign w:val="bottom"/>
            <w:gridSpan w:val="2"/>
          </w:tcPr>
          <w:p>
            <w:pPr>
              <w:jc w:val="right"/>
              <w:ind w:right="16"/>
              <w:spacing w:after="0" w:line="132" w:lineRule="exact"/>
              <w:rPr>
                <w:sz w:val="20"/>
                <w:szCs w:val="20"/>
                <w:color w:val="auto"/>
              </w:rPr>
            </w:pPr>
            <w:r>
              <w:rPr>
                <w:rFonts w:ascii="Times New Roman" w:cs="Times New Roman" w:eastAsia="Times New Roman" w:hAnsi="Times New Roman"/>
                <w:sz w:val="13"/>
                <w:szCs w:val="13"/>
                <w:color w:val="auto"/>
              </w:rPr>
              <w:t>1,016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4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1,693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Other</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451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940" w:type="dxa"/>
            <w:vAlign w:val="bottom"/>
            <w:tcBorders>
              <w:top w:val="single" w:sz="8" w:color="CCEEFF"/>
            </w:tcBorders>
          </w:tcPr>
          <w:p>
            <w:pPr>
              <w:spacing w:after="0" w:line="116" w:lineRule="exact"/>
              <w:rPr>
                <w:sz w:val="20"/>
                <w:szCs w:val="20"/>
                <w:color w:val="auto"/>
              </w:rPr>
            </w:pPr>
            <w:r>
              <w:rPr>
                <w:rFonts w:ascii="Times New Roman" w:cs="Times New Roman" w:eastAsia="Times New Roman" w:hAnsi="Times New Roman"/>
                <w:sz w:val="13"/>
                <w:szCs w:val="13"/>
                <w:color w:val="auto"/>
                <w:w w:val="97"/>
              </w:rPr>
              <w:t>Non-GAAP Operating Income (Loss)</w:t>
            </w: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(676)</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(18,259)</w:t>
            </w: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w w:val="94"/>
              </w:rPr>
              <w:t>(12,973)</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(9,914)</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6,485</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10,203</w:t>
            </w:r>
          </w:p>
        </w:tc>
        <w:tc>
          <w:tcPr>
            <w:tcW w:w="10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8,552</w:t>
            </w: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5,056</w:t>
            </w:r>
          </w:p>
        </w:tc>
        <w:tc>
          <w:tcPr>
            <w:tcW w:w="1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(41,822)</w:t>
            </w: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30,296</w:t>
            </w: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5,218</w:t>
            </w: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9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Depreciation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2,161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
              <w:spacing w:after="0" w:line="144" w:lineRule="exact"/>
              <w:rPr>
                <w:sz w:val="20"/>
                <w:szCs w:val="20"/>
                <w:color w:val="auto"/>
              </w:rPr>
            </w:pPr>
            <w:r>
              <w:rPr>
                <w:rFonts w:ascii="Times New Roman" w:cs="Times New Roman" w:eastAsia="Times New Roman" w:hAnsi="Times New Roman"/>
                <w:sz w:val="13"/>
                <w:szCs w:val="13"/>
                <w:color w:val="auto"/>
              </w:rPr>
              <w:t>2,532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2,494</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
              <w:spacing w:after="0" w:line="144" w:lineRule="exact"/>
              <w:rPr>
                <w:sz w:val="20"/>
                <w:szCs w:val="20"/>
                <w:color w:val="auto"/>
              </w:rPr>
            </w:pPr>
            <w:r>
              <w:rPr>
                <w:rFonts w:ascii="Times New Roman" w:cs="Times New Roman" w:eastAsia="Times New Roman" w:hAnsi="Times New Roman"/>
                <w:sz w:val="13"/>
                <w:szCs w:val="13"/>
                <w:color w:val="auto"/>
              </w:rPr>
              <w:t>3,835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1,188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1,239</w:t>
            </w: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1,541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1,718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11,022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5,686</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4" w:lineRule="exact"/>
              <w:rPr>
                <w:sz w:val="20"/>
                <w:szCs w:val="20"/>
                <w:color w:val="auto"/>
              </w:rPr>
            </w:pPr>
            <w:r>
              <w:rPr>
                <w:rFonts w:ascii="Times New Roman" w:cs="Times New Roman" w:eastAsia="Times New Roman" w:hAnsi="Times New Roman"/>
                <w:sz w:val="13"/>
                <w:szCs w:val="13"/>
                <w:color w:val="auto"/>
              </w:rPr>
              <w:t>3,899</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vMerge w:val="continue"/>
          </w:tcPr>
          <w:p>
            <w:pPr>
              <w:spacing w:after="0"/>
              <w:rPr>
                <w:sz w:val="15"/>
                <w:szCs w:val="15"/>
                <w:color w:val="auto"/>
              </w:rPr>
            </w:pPr>
          </w:p>
        </w:tc>
        <w:tc>
          <w:tcPr>
            <w:tcW w:w="12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1,485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(15,727</w:t>
            </w:r>
          </w:p>
        </w:tc>
        <w:tc>
          <w:tcPr>
            <w:tcW w:w="100" w:type="dxa"/>
            <w:vAlign w:val="bottom"/>
            <w:gridSpan w:val="2"/>
            <w:vMerge w:val="continue"/>
          </w:tcPr>
          <w:p>
            <w:pPr>
              <w:spacing w:after="0"/>
              <w:rPr>
                <w:sz w:val="15"/>
                <w:szCs w:val="15"/>
                <w:color w:val="auto"/>
              </w:rPr>
            </w:pPr>
          </w:p>
        </w:tc>
        <w:tc>
          <w:tcPr>
            <w:tcW w:w="34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(10,479</w:t>
            </w:r>
          </w:p>
        </w:tc>
        <w:tc>
          <w:tcPr>
            <w:tcW w:w="100" w:type="dxa"/>
            <w:vAlign w:val="bottom"/>
            <w:vMerge w:val="continue"/>
          </w:tcPr>
          <w:p>
            <w:pPr>
              <w:spacing w:after="0"/>
              <w:rPr>
                <w:sz w:val="15"/>
                <w:szCs w:val="15"/>
                <w:color w:val="auto"/>
              </w:rPr>
            </w:pPr>
          </w:p>
        </w:tc>
        <w:tc>
          <w:tcPr>
            <w:tcW w:w="2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(6,079</w:t>
            </w:r>
          </w:p>
        </w:tc>
        <w:tc>
          <w:tcPr>
            <w:tcW w:w="10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7,673</w:t>
            </w:r>
          </w:p>
        </w:tc>
        <w:tc>
          <w:tcPr>
            <w:tcW w:w="12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11,442</w:t>
            </w:r>
          </w:p>
        </w:tc>
        <w:tc>
          <w:tcPr>
            <w:tcW w:w="3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80"/>
              <w:spacing w:after="0" w:line="139" w:lineRule="exact"/>
              <w:rPr>
                <w:sz w:val="20"/>
                <w:szCs w:val="20"/>
                <w:color w:val="auto"/>
              </w:rPr>
            </w:pPr>
            <w:r>
              <w:rPr>
                <w:rFonts w:ascii="Times New Roman" w:cs="Times New Roman" w:eastAsia="Times New Roman" w:hAnsi="Times New Roman"/>
                <w:sz w:val="13"/>
                <w:szCs w:val="13"/>
                <w:color w:val="auto"/>
              </w:rPr>
              <w:t>10,093</w:t>
            </w:r>
          </w:p>
        </w:tc>
        <w:tc>
          <w:tcPr>
            <w:tcW w:w="2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6,774</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(30,800</w:t>
            </w:r>
          </w:p>
        </w:tc>
        <w:tc>
          <w:tcPr>
            <w:tcW w:w="80" w:type="dxa"/>
            <w:vAlign w:val="bottom"/>
            <w:gridSpan w:val="2"/>
            <w:vMerge w:val="continue"/>
          </w:tcPr>
          <w:p>
            <w:pPr>
              <w:spacing w:after="0"/>
              <w:rPr>
                <w:sz w:val="15"/>
                <w:szCs w:val="15"/>
                <w:color w:val="auto"/>
              </w:rPr>
            </w:pPr>
          </w:p>
        </w:tc>
        <w:tc>
          <w:tcPr>
            <w:tcW w:w="160" w:type="dxa"/>
            <w:vAlign w:val="bottom"/>
          </w:tcPr>
          <w:p>
            <w:pPr>
              <w:jc w:val="right"/>
              <w:ind w:right="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35,982</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9,117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9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140"/>
              <w:spacing w:after="0" w:line="132" w:lineRule="exact"/>
              <w:rPr>
                <w:sz w:val="20"/>
                <w:szCs w:val="20"/>
                <w:color w:val="auto"/>
              </w:rPr>
            </w:pPr>
            <w:r>
              <w:rPr>
                <w:rFonts w:ascii="Times New Roman" w:cs="Times New Roman" w:eastAsia="Times New Roman" w:hAnsi="Times New Roman"/>
                <w:sz w:val="13"/>
                <w:szCs w:val="13"/>
                <w:color w:val="auto"/>
              </w:rPr>
              <w:t>Warrants Impact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8,005</w:t>
            </w:r>
          </w:p>
        </w:tc>
        <w:tc>
          <w:tcPr>
            <w:tcW w:w="100" w:type="dxa"/>
            <w:vAlign w:val="bottom"/>
          </w:tcPr>
          <w:p>
            <w:pPr>
              <w:spacing w:after="0"/>
              <w:rPr>
                <w:sz w:val="11"/>
                <w:szCs w:val="11"/>
                <w:color w:val="auto"/>
              </w:rPr>
            </w:pPr>
          </w:p>
        </w:tc>
        <w:tc>
          <w:tcPr>
            <w:tcW w:w="70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4,516</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right"/>
              <w:ind w:right="58"/>
              <w:spacing w:after="0" w:line="132" w:lineRule="exact"/>
              <w:rPr>
                <w:sz w:val="20"/>
                <w:szCs w:val="20"/>
                <w:color w:val="auto"/>
              </w:rPr>
            </w:pPr>
            <w:r>
              <w:rPr>
                <w:rFonts w:ascii="Times New Roman" w:cs="Times New Roman" w:eastAsia="Times New Roman" w:hAnsi="Times New Roman"/>
                <w:sz w:val="13"/>
                <w:szCs w:val="13"/>
                <w:color w:val="auto"/>
              </w:rPr>
              <w:t>5,640</w:t>
            </w:r>
          </w:p>
        </w:tc>
        <w:tc>
          <w:tcPr>
            <w:tcW w:w="200" w:type="dxa"/>
            <w:vAlign w:val="bottom"/>
          </w:tcPr>
          <w:p>
            <w:pPr>
              <w:spacing w:after="0"/>
              <w:rPr>
                <w:sz w:val="11"/>
                <w:szCs w:val="11"/>
                <w:color w:val="auto"/>
              </w:rPr>
            </w:pPr>
          </w:p>
        </w:tc>
        <w:tc>
          <w:tcPr>
            <w:tcW w:w="620" w:type="dxa"/>
            <w:vAlign w:val="bottom"/>
            <w:gridSpan w:val="2"/>
          </w:tcPr>
          <w:p>
            <w:pPr>
              <w:jc w:val="right"/>
              <w:ind w:right="16"/>
              <w:spacing w:after="0" w:line="132" w:lineRule="exact"/>
              <w:rPr>
                <w:sz w:val="20"/>
                <w:szCs w:val="20"/>
                <w:color w:val="auto"/>
              </w:rPr>
            </w:pPr>
            <w:r>
              <w:rPr>
                <w:rFonts w:ascii="Times New Roman" w:cs="Times New Roman" w:eastAsia="Times New Roman" w:hAnsi="Times New Roman"/>
                <w:sz w:val="13"/>
                <w:szCs w:val="13"/>
                <w:color w:val="auto"/>
              </w:rPr>
              <w:t>4,339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3,139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6,572</w:t>
            </w:r>
          </w:p>
        </w:tc>
        <w:tc>
          <w:tcPr>
            <w:tcW w:w="380" w:type="dxa"/>
            <w:vAlign w:val="bottom"/>
          </w:tcPr>
          <w:p>
            <w:pPr>
              <w:spacing w:after="0"/>
              <w:rPr>
                <w:sz w:val="11"/>
                <w:szCs w:val="11"/>
                <w:color w:val="auto"/>
              </w:rPr>
            </w:pPr>
          </w:p>
        </w:tc>
        <w:tc>
          <w:tcPr>
            <w:tcW w:w="4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7,857</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7,855</w:t>
            </w:r>
          </w:p>
        </w:tc>
        <w:tc>
          <w:tcPr>
            <w:tcW w:w="140" w:type="dxa"/>
            <w:vAlign w:val="bottom"/>
          </w:tcPr>
          <w:p>
            <w:pPr>
              <w:spacing w:after="0"/>
              <w:rPr>
                <w:sz w:val="11"/>
                <w:szCs w:val="11"/>
                <w:color w:val="auto"/>
              </w:rPr>
            </w:pPr>
          </w:p>
        </w:tc>
        <w:tc>
          <w:tcPr>
            <w:tcW w:w="660" w:type="dxa"/>
            <w:vAlign w:val="bottom"/>
            <w:gridSpan w:val="2"/>
          </w:tcPr>
          <w:p>
            <w:pPr>
              <w:jc w:val="right"/>
              <w:ind w:right="18"/>
              <w:spacing w:after="0" w:line="132" w:lineRule="exact"/>
              <w:rPr>
                <w:sz w:val="20"/>
                <w:szCs w:val="20"/>
                <w:color w:val="auto"/>
              </w:rPr>
            </w:pPr>
            <w:r>
              <w:rPr>
                <w:rFonts w:ascii="Times New Roman" w:cs="Times New Roman" w:eastAsia="Times New Roman" w:hAnsi="Times New Roman"/>
                <w:sz w:val="13"/>
                <w:szCs w:val="13"/>
                <w:color w:val="auto"/>
              </w:rPr>
              <w:t>22,500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25,423</w:t>
            </w:r>
          </w:p>
        </w:tc>
        <w:tc>
          <w:tcPr>
            <w:tcW w:w="160" w:type="dxa"/>
            <w:vAlign w:val="bottom"/>
          </w:tcPr>
          <w:p>
            <w:pPr>
              <w:spacing w:after="0"/>
              <w:rPr>
                <w:sz w:val="11"/>
                <w:szCs w:val="11"/>
                <w:color w:val="auto"/>
              </w:rPr>
            </w:pPr>
          </w:p>
        </w:tc>
        <w:tc>
          <w:tcPr>
            <w:tcW w:w="64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5,366</w:t>
            </w:r>
          </w:p>
        </w:tc>
        <w:tc>
          <w:tcPr>
            <w:tcW w:w="0" w:type="dxa"/>
            <w:vAlign w:val="bottom"/>
          </w:tcPr>
          <w:p>
            <w:pPr>
              <w:spacing w:after="0"/>
              <w:rPr>
                <w:sz w:val="1"/>
                <w:szCs w:val="1"/>
                <w:color w:val="auto"/>
              </w:rPr>
            </w:pPr>
          </w:p>
        </w:tc>
      </w:tr>
      <w:tr>
        <w:trPr>
          <w:trHeight w:val="111"/>
        </w:trPr>
        <w:tc>
          <w:tcPr>
            <w:tcW w:w="1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Adjusted EBITDA, ex. Warrants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Impact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9,490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4"/>
            <w:shd w:val="clear" w:color="auto" w:fill="CCEEFF"/>
          </w:tcPr>
          <w:p>
            <w:pPr>
              <w:jc w:val="right"/>
              <w:ind w:right="222"/>
              <w:spacing w:after="0" w:line="188" w:lineRule="exact"/>
              <w:rPr>
                <w:sz w:val="20"/>
                <w:szCs w:val="20"/>
                <w:color w:val="auto"/>
              </w:rPr>
            </w:pPr>
            <w:r>
              <w:rPr>
                <w:rFonts w:ascii="Times New Roman" w:cs="Times New Roman" w:eastAsia="Times New Roman" w:hAnsi="Times New Roman"/>
                <w:sz w:val="11"/>
                <w:szCs w:val="11"/>
                <w:color w:val="auto"/>
              </w:rPr>
              <w:t>(11,211</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40" w:type="dxa"/>
            <w:vAlign w:val="bottom"/>
            <w:gridSpan w:val="3"/>
            <w:shd w:val="clear" w:color="auto" w:fill="CCEEFF"/>
          </w:tcPr>
          <w:p>
            <w:pPr>
              <w:jc w:val="right"/>
              <w:ind w:right="76"/>
              <w:spacing w:after="0" w:line="188" w:lineRule="exact"/>
              <w:rPr>
                <w:sz w:val="20"/>
                <w:szCs w:val="20"/>
                <w:color w:val="auto"/>
              </w:rPr>
            </w:pPr>
            <w:r>
              <w:rPr>
                <w:rFonts w:ascii="Times New Roman" w:cs="Times New Roman" w:eastAsia="Times New Roman" w:hAnsi="Times New Roman"/>
                <w:sz w:val="11"/>
                <w:szCs w:val="11"/>
                <w:color w:val="auto"/>
              </w:rPr>
              <w:t>(4,839</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20" w:type="dxa"/>
            <w:vAlign w:val="bottom"/>
            <w:gridSpan w:val="4"/>
            <w:shd w:val="clear" w:color="auto" w:fill="CCEEFF"/>
          </w:tcPr>
          <w:p>
            <w:pPr>
              <w:jc w:val="right"/>
              <w:spacing w:after="0" w:line="188" w:lineRule="exact"/>
              <w:rPr>
                <w:sz w:val="20"/>
                <w:szCs w:val="20"/>
                <w:color w:val="auto"/>
              </w:rPr>
            </w:pPr>
            <w:r>
              <w:rPr>
                <w:rFonts w:ascii="Times New Roman" w:cs="Times New Roman" w:eastAsia="Times New Roman" w:hAnsi="Times New Roman"/>
                <w:sz w:val="11"/>
                <w:szCs w:val="11"/>
                <w:color w:val="auto"/>
              </w:rPr>
              <w:t>(1,740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10,812</w:t>
            </w: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18,014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17,950</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14,629</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4"/>
            <w:shd w:val="clear" w:color="auto" w:fill="CCEEFF"/>
          </w:tcPr>
          <w:p>
            <w:pPr>
              <w:jc w:val="right"/>
              <w:ind w:right="16"/>
              <w:spacing w:after="0" w:line="188" w:lineRule="exact"/>
              <w:rPr>
                <w:sz w:val="20"/>
                <w:szCs w:val="20"/>
                <w:color w:val="auto"/>
              </w:rPr>
            </w:pPr>
            <w:r>
              <w:rPr>
                <w:rFonts w:ascii="Times New Roman" w:cs="Times New Roman" w:eastAsia="Times New Roman" w:hAnsi="Times New Roman"/>
                <w:sz w:val="11"/>
                <w:szCs w:val="11"/>
                <w:color w:val="auto"/>
              </w:rPr>
              <w:t>(8,300</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1"/>
                <w:szCs w:val="11"/>
                <w:color w:val="auto"/>
              </w:rPr>
              <w:t xml:space="preserve">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61,405</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14,483</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13" Type="http://schemas.openxmlformats.org/officeDocument/2006/relationships/hyperlink" Target="http://www.sec.gov/Archives/edgar/data/1625791/000121390021017777/ea138332-s8_kornitdigital.htm" TargetMode="External"/><Relationship Id="rId14" Type="http://schemas.openxmlformats.org/officeDocument/2006/relationships/hyperlink" Target="https://www.sec.gov/Archives/edgar/data/000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2023-02-15T08:54:48Z</dcterms:created>
  <dcterms:modified xsi:type="dcterms:W3CDTF">2023-02-15T08:54:48Z</dcterms:modified>
</cp:coreProperties>
</file>