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November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600"/>
        <w:spacing w:after="0" w:line="184" w:lineRule="exact"/>
        <w:tabs>
          <w:tab w:leader="none" w:pos="576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440055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and Nine Months Ended September 30, 2024</w:t>
      </w:r>
    </w:p>
    <w:p>
      <w:pPr>
        <w:spacing w:after="0" w:line="200" w:lineRule="exact"/>
        <w:rPr>
          <w:sz w:val="20"/>
          <w:szCs w:val="20"/>
          <w:color w:val="auto"/>
        </w:rPr>
      </w:pPr>
    </w:p>
    <w:p>
      <w:pPr>
        <w:jc w:val="both"/>
        <w:ind w:right="20" w:firstLine="565"/>
        <w:spacing w:after="0" w:line="283" w:lineRule="auto"/>
        <w:rPr>
          <w:sz w:val="20"/>
          <w:szCs w:val="20"/>
          <w:color w:val="auto"/>
        </w:rPr>
      </w:pPr>
      <w:r>
        <w:rPr>
          <w:rFonts w:ascii="Times New Roman" w:cs="Times New Roman" w:eastAsia="Times New Roman" w:hAnsi="Times New Roman"/>
          <w:sz w:val="16"/>
          <w:szCs w:val="16"/>
          <w:color w:val="auto"/>
        </w:rPr>
        <w:t>On November 6, 2024,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Third Quarter 2024 Results,” in which Kornit reported its results of operations for the quarter and nine months ended September 30, 2024.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November 6, 2024 to discuss its results for the quarter and nine months ended September 30, 2024 and, in connection with that call, is making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gridSpan w:val="3"/>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November 6, 2024, titled “Kornit Digital Reports Third Quarter 2024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80" w:type="dxa"/>
            <w:vAlign w:val="bottom"/>
            <w:tcBorders>
              <w:top w:val="single" w:sz="8" w:color="0000EE"/>
            </w:tcBorders>
          </w:tcPr>
          <w:p>
            <w:pPr>
              <w:spacing w:after="0"/>
              <w:rPr>
                <w:sz w:val="16"/>
                <w:szCs w:val="16"/>
                <w:color w:val="auto"/>
              </w:rPr>
            </w:pPr>
          </w:p>
        </w:tc>
        <w:tc>
          <w:tcPr>
            <w:tcW w:w="260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0000EE"/>
              </w:rPr>
              <w:t>Slide presentation for conference call of Kornit held on November 6, 2024 discussing Kornit’s financial results for the third quarter of 2024</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80" w:type="dxa"/>
            <w:vAlign w:val="bottom"/>
            <w:shd w:val="clear" w:color="auto" w:fill="0000EE"/>
          </w:tcPr>
          <w:p>
            <w:pPr>
              <w:spacing w:after="0"/>
              <w:rPr>
                <w:sz w:val="3"/>
                <w:szCs w:val="3"/>
                <w:color w:val="auto"/>
              </w:rPr>
            </w:pPr>
          </w:p>
        </w:tc>
        <w:tc>
          <w:tcPr>
            <w:tcW w:w="2600" w:type="dxa"/>
            <w:vAlign w:val="bottom"/>
            <w:shd w:val="clear" w:color="auto" w:fill="0000EE"/>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firstLine="565"/>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and </w:t>
      </w:r>
      <w:hyperlink r:id="rId20">
        <w:r>
          <w:rPr>
            <w:rFonts w:ascii="Times New Roman" w:cs="Times New Roman" w:eastAsia="Times New Roman" w:hAnsi="Times New Roman"/>
            <w:sz w:val="16"/>
            <w:szCs w:val="16"/>
            <w:u w:val="single" w:color="auto"/>
            <w:color w:val="0000EE"/>
          </w:rPr>
          <w:t>333-263975</w:t>
        </w:r>
      </w:hyperlink>
      <w:r>
        <w:rPr>
          <w:rFonts w:ascii="Times New Roman" w:cs="Times New Roman" w:eastAsia="Times New Roman" w:hAnsi="Times New Roman"/>
          <w:sz w:val="16"/>
          <w:szCs w:val="16"/>
          <w:color w:val="auto"/>
        </w:rPr>
        <w:t>).</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KORNIT DIGITAL LTD.</w:t>
      </w:r>
    </w:p>
    <w:p>
      <w:pPr>
        <w:spacing w:after="0" w:line="198" w:lineRule="exact"/>
        <w:rPr>
          <w:sz w:val="20"/>
          <w:szCs w:val="20"/>
          <w:color w:val="auto"/>
        </w:rPr>
      </w:pPr>
    </w:p>
    <w:p>
      <w:pPr>
        <w:spacing w:after="0"/>
        <w:tabs>
          <w:tab w:leader="none" w:pos="6720" w:val="left"/>
          <w:tab w:leader="none" w:pos="7180" w:val="left"/>
        </w:tabs>
        <w:rPr>
          <w:sz w:val="20"/>
          <w:szCs w:val="20"/>
          <w:color w:val="auto"/>
        </w:rPr>
      </w:pPr>
      <w:r>
        <w:rPr>
          <w:rFonts w:ascii="Times New Roman" w:cs="Times New Roman" w:eastAsia="Times New Roman" w:hAnsi="Times New Roman"/>
          <w:sz w:val="16"/>
          <w:szCs w:val="16"/>
          <w:color w:val="auto"/>
        </w:rPr>
        <w:t>Date: November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Name: Lauri Hanover</w:t>
      </w:r>
    </w:p>
    <w:p>
      <w:pPr>
        <w:spacing w:after="0" w:line="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 Maymon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 &amp; Strategic Finance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92835" cy="614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92835"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Third Quarter 2024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quarter revenues of $50.7 million, in line with previous guidance</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quarter GAAP net loss of $0.9 million; non-GAAP net income of $5.5 million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positive cash generation from operations</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year-over-year improvement in non-GAAP gross margin and return to adjusted EBITDA profitability</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Industry-leading platforms, Apollo and Atlas MAX, continue to gain adoption among screen-replacement customers, driven by the new AIC model</w:t>
      </w:r>
    </w:p>
    <w:p>
      <w:pPr>
        <w:spacing w:after="0" w:line="196"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Rosh-Ha’Ayin, Israel – November 6, 2024 </w:t>
      </w:r>
      <w:r>
        <w:rPr>
          <w:rFonts w:ascii="Times New Roman" w:cs="Times New Roman" w:eastAsia="Times New Roman" w:hAnsi="Times New Roman"/>
          <w:sz w:val="16"/>
          <w:szCs w:val="16"/>
          <w:color w:val="auto"/>
        </w:rPr>
        <w:t>– Kornit Digital Ltd. (“Kornit” or the “Company”) (Nasdaq: KRNT), a global leader in sustainable, on-demand, digital fashion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textile production technologies, today reported results for the third quarter ended September 30, 2024.</w:t>
      </w:r>
    </w:p>
    <w:p>
      <w:pPr>
        <w:spacing w:after="0" w:line="14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“I am very pleased with the operational progress we achieved this quarter. We delivered gross margin expansion, returned to adjusted EBITDA profitability, and maintained positive cash generation as planned,” said Ronen Samuel, Kornit’s Chief Executive Officer.</w:t>
      </w:r>
    </w:p>
    <w:p>
      <w:pPr>
        <w:spacing w:after="0" w:line="144"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He continued, “Our unsurpassed Apollo and MAX-powered products combined with our revamped go-to-market and our All-Inclusive-Click model are already expanding our serviceable market. This quarter we announced new customers such as Print Palace and Custom Ink that have chosen Kornit to shift their production from screen to digital-direct-to-garment. We are simultaneously seeing signs of a return to a growth-focused mindset from our core market with customers such as Monster Digital, Mad Engine Global and DO Apparel, all of whom have announced expansion of their on-demand digital production fleets with Kornit.”</w:t>
      </w:r>
    </w:p>
    <w:p>
      <w:pPr>
        <w:spacing w:after="0" w:line="16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“We are entering 2025 with the right products and the right model, and we are laser-focused on executing the plan we laid out at our Investor Event in September,” Mr. Samuel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6"/>
          <w:szCs w:val="16"/>
          <w:b w:val="1"/>
          <w:bCs w:val="1"/>
          <w:color w:val="auto"/>
        </w:rPr>
        <w:t>Third Quarter 2024 Results of Operations</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third quarter of 2024 was $50.7 million compared with $59.2 million in the prior year period, due primarily to lower systems revenues.</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third quarter of 2024 was 47.7% compared with 34.8% in the prior year period. On a non-GAAP basis, gross profit margin was 50.3% compared with 37.4% in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third quarter of 2024 were $31.3 million compared with $35.3 million in the prior year period. On a non-GAAP basis, operating expenses decreased by 14% to $26.8 million compared with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third quarter of 2024 was $0.9 million, or ($0.02) per basic share, compared with net loss of $8.2 million, or ($0.17) per basic share, for the third quarter of 2023.</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third quarter of 2024 was $5.5 million, or $0.11 per diluted share, compared with non-GAAP net loss of $3.4 million, or ($0.07) per basic share, for the third quarter of 2023.</w:t>
      </w:r>
    </w:p>
    <w:p>
      <w:pPr>
        <w:spacing w:after="0" w:line="144" w:lineRule="exact"/>
        <w:rPr>
          <w:rFonts w:ascii="Times New Roman" w:cs="Times New Roman" w:eastAsia="Times New Roman" w:hAnsi="Times New Roman"/>
          <w:sz w:val="16"/>
          <w:szCs w:val="16"/>
          <w:color w:val="auto"/>
        </w:rPr>
      </w:pPr>
    </w:p>
    <w:p>
      <w:pPr>
        <w:ind w:left="284"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for the third quarter of 2024 was $1.5 million compared with adjusted EBITDA loss of $5.6 million for the third quarter of 2023. Adjusted EBITDA margin for the third quarter of 2024 was 2.9% compared with -9.5% for the third quarter of 2023.</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Fourth Quarter 2024 Guidance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fourth quarter of 2024, the Company expects revenues to be in the range of $58 million to $63 million and adjusted EBITDA margin between 12% to 16%.</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Third Quarter Earnings Conference Call Information</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international number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1 809 406 247.</w:t>
      </w:r>
    </w:p>
    <w:p>
      <w:pPr>
        <w:spacing w:after="0" w:line="14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and enter access ID 13746039. The telephonic replay will be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three hours after the completion of the live call until 11:59 pm ET on November 20, 2024. The call will also be available for replay via the webcast link on Kornit’s Investor Relations website.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0"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2023, filed with the SEC on March 28, 2024. Any forward-looking statements in this press release are made as of the date hereof,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gridSpan w:val="2"/>
          </w:tcPr>
          <w:p>
            <w:pPr>
              <w:spacing w:after="0"/>
              <w:rPr>
                <w:sz w:val="16"/>
                <w:szCs w:val="16"/>
                <w:color w:val="auto"/>
              </w:rPr>
            </w:pPr>
          </w:p>
        </w:tc>
      </w:tr>
      <w:tr>
        <w:trPr>
          <w:trHeight w:val="175"/>
        </w:trPr>
        <w:tc>
          <w:tcPr>
            <w:tcW w:w="60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113,861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39,605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169,401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235,600</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217,949</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57,292</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74,132</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93,632</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66,326</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67,712</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27,509</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28,546</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669,178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522,387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59,910</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223,203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20,704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8,209</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46,144</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50,905</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19,248</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6,145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7,647</w:t>
            </w: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29,164</w:t>
            </w:r>
          </w:p>
        </w:tc>
        <w:tc>
          <w:tcPr>
            <w:tcW w:w="100" w:type="dxa"/>
            <w:vAlign w:val="bottom"/>
          </w:tcPr>
          <w:p>
            <w:pPr>
              <w:spacing w:after="0"/>
              <w:rPr>
                <w:sz w:val="18"/>
                <w:szCs w:val="18"/>
                <w:color w:val="auto"/>
              </w:rPr>
            </w:pP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343,193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850,791</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865,580</w:t>
            </w:r>
          </w:p>
        </w:tc>
        <w:tc>
          <w:tcPr>
            <w:tcW w:w="10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7"/>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5,061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12,483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12,121</w:t>
            </w: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1,541</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3,251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18,210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23,814</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26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40,546</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50,102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15,585</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18,533</w:t>
            </w:r>
          </w:p>
        </w:tc>
        <w:tc>
          <w:tcPr>
            <w:tcW w:w="100" w:type="dxa"/>
            <w:vAlign w:val="bottom"/>
          </w:tcPr>
          <w:p>
            <w:pPr>
              <w:spacing w:after="0"/>
              <w:rPr>
                <w:sz w:val="16"/>
                <w:szCs w:val="16"/>
                <w:color w:val="auto"/>
              </w:rPr>
            </w:pPr>
          </w:p>
        </w:tc>
      </w:tr>
      <w:tr>
        <w:trPr>
          <w:trHeight w:val="223"/>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r>
      <w:tr>
        <w:trPr>
          <w:trHeight w:val="179"/>
        </w:trPr>
        <w:tc>
          <w:tcPr>
            <w:tcW w:w="60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long-term liabilities</w:t>
            </w:r>
          </w:p>
        </w:tc>
        <w:tc>
          <w:tcPr>
            <w:tcW w:w="26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16,740</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19,811</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60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793,505</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795,667</w:t>
            </w:r>
          </w:p>
        </w:tc>
        <w:tc>
          <w:tcPr>
            <w:tcW w:w="100" w:type="dxa"/>
            <w:vAlign w:val="bottom"/>
          </w:tcPr>
          <w:p>
            <w:pPr>
              <w:spacing w:after="0"/>
              <w:rPr>
                <w:sz w:val="18"/>
                <w:szCs w:val="18"/>
                <w:color w:val="auto"/>
              </w:rPr>
            </w:pPr>
          </w:p>
        </w:tc>
      </w:tr>
      <w:tr>
        <w:trPr>
          <w:trHeight w:val="191"/>
        </w:trPr>
        <w:tc>
          <w:tcPr>
            <w:tcW w:w="606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850,791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865,580</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4"/>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8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36,996</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45,486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117,472</w:t>
            </w:r>
          </w:p>
        </w:tc>
        <w:tc>
          <w:tcPr>
            <w:tcW w:w="100" w:type="dxa"/>
            <w:vAlign w:val="bottom"/>
            <w:shd w:val="clear" w:color="auto" w:fill="CCEEFF"/>
          </w:tcPr>
          <w:p>
            <w:pPr>
              <w:spacing w:after="0"/>
              <w:rPr>
                <w:sz w:val="16"/>
                <w:szCs w:val="16"/>
                <w:color w:val="auto"/>
              </w:rPr>
            </w:pPr>
          </w:p>
        </w:tc>
      </w:tr>
      <w:tr>
        <w:trPr>
          <w:trHeight w:val="20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13,736</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42,754</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45,729</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143,129</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163,201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14,647</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43,609</w:t>
            </w:r>
          </w:p>
        </w:tc>
        <w:tc>
          <w:tcPr>
            <w:tcW w:w="3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68,391</w:t>
            </w: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11,875</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38,887</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42,425</w:t>
            </w:r>
          </w:p>
        </w:tc>
        <w:tc>
          <w:tcPr>
            <w:tcW w:w="100" w:type="dxa"/>
            <w:vAlign w:val="bottom"/>
            <w:shd w:val="clear" w:color="auto" w:fill="CCEEFF"/>
          </w:tcPr>
          <w:p>
            <w:pPr>
              <w:spacing w:after="0"/>
              <w:rPr>
                <w:sz w:val="19"/>
                <w:szCs w:val="19"/>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26,522</w:t>
            </w:r>
          </w:p>
        </w:tc>
        <w:tc>
          <w:tcPr>
            <w:tcW w:w="24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38,604</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82,496</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110,816</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24,210</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60,633</w:t>
            </w:r>
          </w:p>
        </w:tc>
        <w:tc>
          <w:tcPr>
            <w:tcW w:w="3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52,385</w:t>
            </w:r>
          </w:p>
        </w:tc>
        <w:tc>
          <w:tcPr>
            <w:tcW w:w="100" w:type="dxa"/>
            <w:vAlign w:val="bottom"/>
          </w:tcPr>
          <w:p>
            <w:pPr>
              <w:spacing w:after="0"/>
              <w:rPr>
                <w:sz w:val="16"/>
                <w:szCs w:val="16"/>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9,973</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31,797</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38,027</w:t>
            </w:r>
          </w:p>
        </w:tc>
        <w:tc>
          <w:tcPr>
            <w:tcW w:w="100" w:type="dxa"/>
            <w:vAlign w:val="bottom"/>
            <w:shd w:val="clear" w:color="auto" w:fill="CCEEFF"/>
          </w:tcPr>
          <w:p>
            <w:pPr>
              <w:spacing w:after="0"/>
              <w:rPr>
                <w:sz w:val="16"/>
                <w:szCs w:val="16"/>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14,441</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43,213</w:t>
            </w:r>
          </w:p>
        </w:tc>
        <w:tc>
          <w:tcPr>
            <w:tcW w:w="3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48,927</w:t>
            </w: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6,919</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21,728</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25,143</w:t>
            </w:r>
          </w:p>
        </w:tc>
        <w:tc>
          <w:tcPr>
            <w:tcW w:w="100" w:type="dxa"/>
            <w:vAlign w:val="bottom"/>
            <w:shd w:val="clear" w:color="auto" w:fill="CCEEFF"/>
          </w:tcPr>
          <w:p>
            <w:pPr>
              <w:spacing w:after="0"/>
              <w:rPr>
                <w:sz w:val="19"/>
                <w:szCs w:val="19"/>
                <w:color w:val="auto"/>
              </w:rPr>
            </w:pPr>
          </w:p>
        </w:tc>
      </w:tr>
      <w:tr>
        <w:trPr>
          <w:trHeight w:val="147"/>
        </w:trPr>
        <w:tc>
          <w:tcPr>
            <w:tcW w:w="598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31,333</w:t>
            </w: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35,278</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96,738</w:t>
            </w: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112,097</w:t>
            </w: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99"/>
        </w:trPr>
        <w:tc>
          <w:tcPr>
            <w:tcW w:w="320" w:type="dxa"/>
            <w:vAlign w:val="bottom"/>
            <w:tcBorders>
              <w:top w:val="single" w:sz="8" w:color="auto"/>
            </w:tcBorders>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(7,123)</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(36,105)</w:t>
            </w:r>
          </w:p>
        </w:tc>
        <w:tc>
          <w:tcPr>
            <w:tcW w:w="3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(59,712)</w:t>
            </w: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6,720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18,501</w:t>
            </w:r>
          </w:p>
        </w:tc>
        <w:tc>
          <w:tcPr>
            <w:tcW w:w="3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00" w:type="dxa"/>
            <w:vAlign w:val="bottom"/>
          </w:tcPr>
          <w:p>
            <w:pPr>
              <w:spacing w:after="0"/>
              <w:rPr>
                <w:sz w:val="18"/>
                <w:szCs w:val="18"/>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(40,986)</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 (tax benefit)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505</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r>
      <w:tr>
        <w:trPr>
          <w:trHeight w:val="243"/>
        </w:trPr>
        <w:tc>
          <w:tcPr>
            <w:tcW w:w="59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(41,417</w:t>
            </w:r>
          </w:p>
        </w:tc>
        <w:tc>
          <w:tcPr>
            <w:tcW w:w="12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(0.02)</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(0.40)</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(0.84)</w:t>
            </w: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47,604,224</w:t>
            </w:r>
          </w:p>
        </w:tc>
        <w:tc>
          <w:tcPr>
            <w:tcW w:w="40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48,968,244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47,583,631</w:t>
            </w:r>
          </w:p>
        </w:tc>
        <w:tc>
          <w:tcPr>
            <w:tcW w:w="3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49,469,717</w:t>
            </w:r>
          </w:p>
        </w:tc>
        <w:tc>
          <w:tcPr>
            <w:tcW w:w="100" w:type="dxa"/>
            <w:vAlign w:val="bottom"/>
          </w:tcPr>
          <w:p>
            <w:pPr>
              <w:spacing w:after="0"/>
              <w:rPr>
                <w:sz w:val="23"/>
                <w:szCs w:val="23"/>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(0.02)</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(0.40)</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(0.84)</w:t>
            </w: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47,604,224</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48,968,244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47,583,631</w:t>
            </w: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49,469,717</w:t>
            </w:r>
          </w:p>
        </w:tc>
        <w:tc>
          <w:tcPr>
            <w:tcW w:w="1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RECONCILIATION OF GAAP TO NON-GAAP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ectPr>
          <w:pgSz w:w="11900" w:h="16838" w:orient="portrait"/>
          <w:cols w:equalWidth="0" w:num="1">
            <w:col w:w="11260"/>
          </w:cols>
          <w:pgMar w:left="320" w:top="623" w:right="319" w:bottom="143" w:gutter="0" w:footer="0" w:header="0"/>
        </w:sectPr>
      </w:pPr>
    </w:p>
    <w:p>
      <w:pPr>
        <w:spacing w:after="0" w:line="108"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8380" w:space="720"/>
            <w:col w:w="2160"/>
          </w:cols>
          <w:pgMar w:left="320" w:top="623" w:right="319" w:bottom="143"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50,732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59,224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26,522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38,604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82,496</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(1,494)</w:t>
            </w: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(760)</w:t>
            </w: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(914)</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25,207</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37,078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77,554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24,210</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20,620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60,633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1,315</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25,525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22,146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65,575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31,333</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35,278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96,738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(4,431)</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(13,884)</w:t>
            </w: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(13,822)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(757)</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26,815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31,111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81,835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6,720</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18,501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7,161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19,058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Taxes on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(908)</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(19,016)</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(41,417)</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5,355</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16,672</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(3)</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5,539</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4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(24,227</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(0.02)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income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47,604,224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48,968,244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47,583,631</w:t>
            </w:r>
          </w:p>
        </w:tc>
        <w:tc>
          <w:tcPr>
            <w:tcW w:w="24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49,469,717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49,988,803</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48,968,244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49,166,345</w:t>
            </w:r>
          </w:p>
        </w:tc>
        <w:tc>
          <w:tcPr>
            <w:tcW w:w="24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49,469,717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1,384</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1,650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1,397</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5,355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16,672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(2) Intangible assets amortization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tcPr>
          <w:p>
            <w:pPr>
              <w:spacing w:after="0"/>
              <w:rPr>
                <w:sz w:val="22"/>
                <w:szCs w:val="22"/>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9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(3) Restructuring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3"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4"/>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8"/>
                <w:szCs w:val="18"/>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5"/>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(908)</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(19,016)</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(41,417)</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3,219</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9,001</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5,355</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16,672</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16,944</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(287)</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(278)</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6"/>
                <w:szCs w:val="16"/>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264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5,329</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19,500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(25,777)</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(447)</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4,094</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6,507</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339</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(1,723)</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(440)</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(1,659)</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227</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(1,706)</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(3,589)</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914</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(617)</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(3,651)</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(3,880)</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(6,070)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23"/>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179"/>
        </w:trPr>
        <w:tc>
          <w:tcPr>
            <w:tcW w:w="598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13,554</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(7,728</w:t>
            </w:r>
          </w:p>
        </w:tc>
        <w:tc>
          <w:tcPr>
            <w:tcW w:w="14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22,062</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(37,276</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(774)</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(3,497)</w:t>
            </w:r>
          </w:p>
        </w:tc>
        <w:tc>
          <w:tcPr>
            <w:tcW w:w="3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(6,072)</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in long term assets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(9,723)</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(9,723)</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short-term bank deposits, net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73,995</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66,199</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54,938</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7,000</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10,494</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7,240</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8,750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44,629</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14,222</w:t>
            </w:r>
          </w:p>
        </w:tc>
      </w:tr>
      <w:tr>
        <w:trPr>
          <w:trHeight w:val="223"/>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(1,282)</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(45,901)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(24,451)</w:t>
            </w:r>
          </w:p>
        </w:tc>
      </w:tr>
      <w:tr>
        <w:trPr>
          <w:trHeight w:val="179"/>
        </w:trPr>
        <w:tc>
          <w:tcPr>
            <w:tcW w:w="598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77,966</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(1,556</w:t>
            </w:r>
          </w:p>
        </w:tc>
        <w:tc>
          <w:tcPr>
            <w:tcW w:w="14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62,201</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45,877</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16"/>
          <w:szCs w:val="16"/>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employee stock options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Repurchase of ordinary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financing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and cash equivalents at the beginning of the period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Pr>
          <w:p>
            <w:pPr>
              <w:spacing w:after="0"/>
              <w:rPr>
                <w:sz w:val="16"/>
                <w:szCs w:val="16"/>
                <w:color w:val="auto"/>
              </w:rPr>
            </w:pPr>
          </w:p>
        </w:tc>
      </w:tr>
      <w:tr>
        <w:trPr>
          <w:trHeight w:val="191"/>
        </w:trPr>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24"/>
        </w:trPr>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(9,055)</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(36,766)</w:t>
            </w:r>
          </w:p>
        </w:tc>
      </w:tr>
      <w:tr>
        <w:trPr>
          <w:trHeight w:val="195"/>
        </w:trPr>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8"/>
        </w:trPr>
        <w:tc>
          <w:tcPr>
            <w:tcW w:w="3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91,339</w:t>
            </w:r>
          </w:p>
        </w:tc>
        <w:tc>
          <w:tcPr>
            <w:tcW w:w="3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74,256</w:t>
            </w:r>
          </w:p>
        </w:tc>
        <w:tc>
          <w:tcPr>
            <w:tcW w:w="3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(28,309)</w:t>
            </w:r>
          </w:p>
        </w:tc>
      </w:tr>
      <w:tr>
        <w:trPr>
          <w:trHeight w:val="208"/>
        </w:trPr>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22,522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39,605</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104,597</w:t>
            </w:r>
          </w:p>
        </w:tc>
        <w:tc>
          <w:tcPr>
            <w:tcW w:w="60" w:type="dxa"/>
            <w:vAlign w:val="bottom"/>
          </w:tcPr>
          <w:p>
            <w:pPr>
              <w:spacing w:after="0"/>
              <w:rPr>
                <w:sz w:val="18"/>
                <w:szCs w:val="18"/>
                <w:color w:val="auto"/>
              </w:rPr>
            </w:pPr>
          </w:p>
        </w:tc>
      </w:tr>
      <w:tr>
        <w:trPr>
          <w:trHeight w:val="24"/>
        </w:trPr>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113,861</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76,288</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113,861</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76,288</w:t>
            </w:r>
          </w:p>
        </w:tc>
        <w:tc>
          <w:tcPr>
            <w:tcW w:w="60" w:type="dxa"/>
            <w:vAlign w:val="bottom"/>
          </w:tcPr>
          <w:p>
            <w:pPr>
              <w:spacing w:after="0"/>
              <w:rPr>
                <w:sz w:val="19"/>
                <w:szCs w:val="19"/>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-963295</wp:posOffset>
            </wp:positionV>
            <wp:extent cx="7148195"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-704850</wp:posOffset>
            </wp:positionV>
            <wp:extent cx="7148195"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-439420</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-181610</wp:posOffset>
            </wp:positionV>
            <wp:extent cx="7148195" cy="159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8195" cy="1593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121285</wp:posOffset>
            </wp:positionV>
            <wp:extent cx="7148195"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5260" w:space="720"/>
            <w:col w:w="5280"/>
          </w:cols>
          <w:pgMar w:left="320" w:top="814" w:right="31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170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145</w:t>
            </w:r>
          </w:p>
        </w:tc>
        <w:tc>
          <w:tcPr>
            <w:tcW w:w="12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74</w:t>
            </w:r>
          </w:p>
        </w:tc>
        <w:tc>
          <w:tcPr>
            <w:tcW w:w="13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145</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 and long term assets</w:t>
            </w:r>
          </w:p>
        </w:tc>
        <w:tc>
          <w:tcPr>
            <w:tcW w:w="170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175</w:t>
            </w: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531</w:t>
            </w:r>
          </w:p>
        </w:tc>
        <w:tc>
          <w:tcPr>
            <w:tcW w:w="138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1,576</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170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320</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734</w:t>
            </w: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170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337</w:t>
            </w: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322</w:t>
            </w:r>
          </w:p>
        </w:tc>
        <w:tc>
          <w:tcPr>
            <w:tcW w:w="138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(1,071)</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5,809</w:t>
            </w:r>
          </w:p>
        </w:tc>
      </w:tr>
    </w:tbl>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Revenues</w:t>
      </w:r>
    </w:p>
    <w:p>
      <w:pPr>
        <w:spacing w:after="0" w:line="294" w:lineRule="exact"/>
        <w:rPr>
          <w:sz w:val="20"/>
          <w:szCs w:val="20"/>
          <w:color w:val="auto"/>
        </w:rPr>
      </w:pPr>
    </w:p>
    <w:p>
      <w:pPr>
        <w:ind w:left="140" w:right="340" w:hanging="142"/>
        <w:spacing w:after="0" w:line="255" w:lineRule="auto"/>
        <w:rPr>
          <w:sz w:val="20"/>
          <w:szCs w:val="20"/>
          <w:color w:val="auto"/>
        </w:rPr>
      </w:pPr>
      <w:r>
        <w:rPr>
          <w:rFonts w:ascii="Times New Roman" w:cs="Times New Roman" w:eastAsia="Times New Roman" w:hAnsi="Times New Roman"/>
          <w:sz w:val="16"/>
          <w:szCs w:val="16"/>
          <w:color w:val="auto"/>
        </w:rPr>
        <w:t>GAAP Net Loss Taxes on income Financial income Share-based compensation Intangible assets amortization Restructuring expenses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RECONCILIATION OF GAAP NET INCOME TO ADJUSTED EBITDA</w:t>
      </w:r>
    </w:p>
    <w:p>
      <w:pPr>
        <w:spacing w:after="0" w:line="1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4"/>
        </w:trPr>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50,732</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59,224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143,129</w:t>
            </w:r>
          </w:p>
        </w:tc>
        <w:tc>
          <w:tcPr>
            <w:tcW w:w="220" w:type="dxa"/>
            <w:vAlign w:val="bottom"/>
          </w:tcPr>
          <w:p>
            <w:pPr>
              <w:spacing w:after="0"/>
              <w:rPr>
                <w:sz w:val="24"/>
                <w:szCs w:val="24"/>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163,201</w:t>
            </w:r>
          </w:p>
        </w:tc>
        <w:tc>
          <w:tcPr>
            <w:tcW w:w="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(908)</w:t>
            </w:r>
          </w:p>
        </w:tc>
        <w:tc>
          <w:tcPr>
            <w:tcW w:w="4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(19,016)</w:t>
            </w:r>
          </w:p>
        </w:tc>
        <w:tc>
          <w:tcPr>
            <w:tcW w:w="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(41,417)</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505</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431</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(6,720)</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(18,501)</w:t>
            </w:r>
          </w:p>
        </w:tc>
        <w:tc>
          <w:tcPr>
            <w:tcW w:w="3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(18,726)</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5,355</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16,672</w:t>
            </w:r>
          </w:p>
        </w:tc>
        <w:tc>
          <w:tcPr>
            <w:tcW w:w="3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16,944</w:t>
            </w: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478</w:t>
            </w: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1,730</w:t>
            </w:r>
          </w:p>
        </w:tc>
        <w:tc>
          <w:tcPr>
            <w:tcW w:w="40" w:type="dxa"/>
            <w:vAlign w:val="bottom"/>
          </w:tcPr>
          <w:p>
            <w:pPr>
              <w:spacing w:after="0"/>
              <w:rPr>
                <w:sz w:val="17"/>
                <w:szCs w:val="17"/>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-1038860</wp:posOffset>
            </wp:positionV>
            <wp:extent cx="7148195" cy="159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8195" cy="1593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-735330</wp:posOffset>
            </wp:positionV>
            <wp:extent cx="7148195"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-492760</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-249555</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720"/>
            <w:col w:w="816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Loss</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(1,290)</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(8,965)</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(16,260)</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(40,743)</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4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2,741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9,683</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1,451</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2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(31,060</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11" w:name="page12"/>
    <w:bookmarkEnd w:id="11"/>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e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13" Type="http://schemas.openxmlformats.org/officeDocument/2006/relationships/hyperlink" Target="https://www.sec.gov/Archives/edgar/data/1625791/000161577415000908/s101052_forms8.htm" TargetMode="External"/><Relationship Id="rId14" Type="http://schemas.openxmlformats.org/officeDocument/2006/relationships/hyperlink" Target="https://www.sec.gov/Archives/edgar/data/1625791/000121390016017339/fs82016_kornitdigital.htm" TargetMode="External"/><Relationship Id="rId15" Type="http://schemas.openxmlformats.org/officeDocument/2006/relationships/hyperlink" Target="https://www.sec.gov/Archives/edgar/data/1625791/000121390017003012/fs82017_kornitdigital.htm" TargetMode="External"/><Relationship Id="rId16" Type="http://schemas.openxmlformats.org/officeDocument/2006/relationships/hyperlink" Target="https://www.sec.gov/Archives/edgar/data/1625791/000121390018003205/fs82018_kornitdigital.htm" TargetMode="External"/><Relationship Id="rId17" Type="http://schemas.openxmlformats.org/officeDocument/2006/relationships/hyperlink" Target="https://www.sec.gov/Archives/edgar/data/1625791/000121390019005079/fs82019_kornitdigitalltd.htm" TargetMode="External"/><Relationship Id="rId18" Type="http://schemas.openxmlformats.org/officeDocument/2006/relationships/hyperlink" Target="https://www.sec.gov/Archives/edgar/data/1625791/000121390020007116/ea119827-s8_kornitdigital.htm" TargetMode="External"/><Relationship Id="rId19" Type="http://schemas.openxmlformats.org/officeDocument/2006/relationships/hyperlink" Target="https://www.sec.gov/Archives/edgar/data/1625791/000121390021017777/ea138332-s8_kornitdigital.htm" TargetMode="External"/><Relationship Id="rId20" Type="http://schemas.openxmlformats.org/officeDocument/2006/relationships/hyperlink" Target="https://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2024-11-06T08:06:59Z</dcterms:created>
  <dcterms:modified xsi:type="dcterms:W3CDTF">2024-11-06T08:06:59Z</dcterms:modified>
</cp:coreProperties>
</file>