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200"/>
        <w:spacing w:after="0"/>
        <w:rPr>
          <w:sz w:val="20"/>
          <w:szCs w:val="20"/>
          <w:color w:val="auto"/>
        </w:rPr>
      </w:pPr>
      <w:r>
        <w:rPr>
          <w:rFonts w:ascii="Arial" w:cs="Arial" w:eastAsia="Arial" w:hAnsi="Arial"/>
          <w:sz w:val="36"/>
          <w:szCs w:val="36"/>
          <w:b w:val="1"/>
          <w:bCs w:val="1"/>
          <w:color w:val="auto"/>
        </w:rPr>
        <w:t>FORM 6-K</w:t>
      </w:r>
    </w:p>
    <w:p>
      <w:pPr>
        <w:spacing w:after="0" w:line="237" w:lineRule="exact"/>
        <w:rPr>
          <w:sz w:val="24"/>
          <w:szCs w:val="24"/>
          <w:color w:val="auto"/>
        </w:rPr>
      </w:pPr>
    </w:p>
    <w:p>
      <w:pPr>
        <w:jc w:val="center"/>
        <w:ind w:left="2460" w:right="88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OF THE SECURITIES EXCHANGE ACT OF 1934</w:t>
      </w:r>
    </w:p>
    <w:p>
      <w:pPr>
        <w:spacing w:after="0" w:line="16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February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33" w:lineRule="exact"/>
        <w:rPr>
          <w:sz w:val="24"/>
          <w:szCs w:val="24"/>
          <w:color w:val="auto"/>
        </w:rPr>
      </w:pPr>
    </w:p>
    <w:p>
      <w:pPr>
        <w:jc w:val="center"/>
        <w:ind w:right="-1200"/>
        <w:spacing w:after="0"/>
        <w:rPr>
          <w:sz w:val="20"/>
          <w:szCs w:val="20"/>
          <w:color w:val="auto"/>
        </w:rPr>
      </w:pPr>
      <w:r>
        <w:rPr>
          <w:rFonts w:ascii="Arial" w:cs="Arial" w:eastAsia="Arial" w:hAnsi="Arial"/>
          <w:sz w:val="36"/>
          <w:szCs w:val="36"/>
          <w:b w:val="1"/>
          <w:bCs w:val="1"/>
          <w:color w:val="auto"/>
        </w:rPr>
        <w:t>KORNIT DIGITAL LTD.</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6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647065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9, 2016, Kornit Digital Ltd. issued a press release entitled “Kornit Digital Reports 2015 Fourth Quarter and Year End Results.” A copy of this press release is furnished as Exhibit 99.1 hereto.</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7100" w:type="dxa"/>
            <w:vAlign w:val="bottom"/>
            <w:gridSpan w:val="2"/>
          </w:tcPr>
          <w:p>
            <w:pPr>
              <w:ind w:left="2540"/>
              <w:spacing w:after="0"/>
              <w:rPr>
                <w:sz w:val="20"/>
                <w:szCs w:val="20"/>
                <w:color w:val="auto"/>
              </w:rPr>
            </w:pPr>
            <w:r>
              <w:rPr>
                <w:rFonts w:ascii="Arial" w:cs="Arial" w:eastAsia="Arial" w:hAnsi="Arial"/>
                <w:sz w:val="18"/>
                <w:szCs w:val="18"/>
                <w:color w:val="auto"/>
              </w:rPr>
              <w:t>KORNIT DIGITAL LTD.</w:t>
            </w:r>
          </w:p>
        </w:tc>
      </w:tr>
      <w:tr>
        <w:trPr>
          <w:trHeight w:val="466"/>
        </w:trPr>
        <w:tc>
          <w:tcPr>
            <w:tcW w:w="4320" w:type="dxa"/>
            <w:vAlign w:val="bottom"/>
          </w:tcPr>
          <w:p>
            <w:pPr>
              <w:spacing w:after="0"/>
              <w:rPr>
                <w:sz w:val="20"/>
                <w:szCs w:val="20"/>
                <w:color w:val="auto"/>
              </w:rPr>
            </w:pPr>
            <w:r>
              <w:rPr>
                <w:rFonts w:ascii="Arial" w:cs="Arial" w:eastAsia="Arial" w:hAnsi="Arial"/>
                <w:sz w:val="18"/>
                <w:szCs w:val="18"/>
                <w:color w:val="auto"/>
              </w:rPr>
              <w:t>Date: February 10, 2016</w:t>
            </w:r>
          </w:p>
        </w:tc>
        <w:tc>
          <w:tcPr>
            <w:tcW w:w="3120" w:type="dxa"/>
            <w:vAlign w:val="bottom"/>
          </w:tcPr>
          <w:p>
            <w:pPr>
              <w:ind w:left="25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15"/>
        </w:trPr>
        <w:tc>
          <w:tcPr>
            <w:tcW w:w="4320" w:type="dxa"/>
            <w:vAlign w:val="bottom"/>
          </w:tcPr>
          <w:p>
            <w:pPr>
              <w:spacing w:after="0"/>
              <w:rPr>
                <w:sz w:val="18"/>
                <w:szCs w:val="18"/>
                <w:color w:val="auto"/>
              </w:rPr>
            </w:pPr>
          </w:p>
        </w:tc>
        <w:tc>
          <w:tcPr>
            <w:tcW w:w="3120" w:type="dxa"/>
            <w:vAlign w:val="bottom"/>
          </w:tcPr>
          <w:p>
            <w:pPr>
              <w:ind w:left="254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Guy Avidan</w:t>
            </w:r>
          </w:p>
        </w:tc>
      </w:tr>
      <w:tr>
        <w:trPr>
          <w:trHeight w:val="230"/>
        </w:trPr>
        <w:tc>
          <w:tcPr>
            <w:tcW w:w="4320" w:type="dxa"/>
            <w:vAlign w:val="bottom"/>
          </w:tcPr>
          <w:p>
            <w:pPr>
              <w:spacing w:after="0"/>
              <w:rPr>
                <w:sz w:val="20"/>
                <w:szCs w:val="20"/>
                <w:color w:val="auto"/>
              </w:rPr>
            </w:pPr>
          </w:p>
        </w:tc>
        <w:tc>
          <w:tcPr>
            <w:tcW w:w="3120" w:type="dxa"/>
            <w:vAlign w:val="bottom"/>
          </w:tcPr>
          <w:p>
            <w:pPr>
              <w:ind w:left="25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Exhibit Index</w:t>
            </w:r>
          </w:p>
        </w:tc>
      </w:tr>
      <w:tr>
        <w:trPr>
          <w:trHeight w:val="459"/>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 release dated February 9, 2016 entitled “Kornit Digital Reports 2015 Fourth Quarter and Year End Results”</w:t>
            </w:r>
          </w:p>
        </w:tc>
      </w:tr>
      <w:tr>
        <w:trPr>
          <w:trHeight w:val="655"/>
        </w:trPr>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12A25"/>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97155</wp:posOffset>
            </wp:positionV>
            <wp:extent cx="1209040" cy="728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2015 Fourth Quarter and Year End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Fourth quarter 2015 sales of $25.5 million, an increase of 35.1% over the prior-year; Full Year 2015 sales of $86.4 million, an increase of 30.2%.</w:t>
      </w:r>
    </w:p>
    <w:p>
      <w:pPr>
        <w:spacing w:after="0" w:line="236" w:lineRule="exact"/>
        <w:rPr>
          <w:rFonts w:ascii="Arial" w:cs="Arial" w:eastAsia="Arial" w:hAnsi="Arial"/>
          <w:sz w:val="17"/>
          <w:szCs w:val="17"/>
          <w:color w:val="auto"/>
        </w:rPr>
      </w:pPr>
    </w:p>
    <w:p>
      <w:pPr>
        <w:ind w:left="480" w:hanging="472"/>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Fourth quarter non-GAAP net income of $3.2 million, or $0.10 per diluted share; GAAP net income of $2.1 million, or $0.07 per diluted share</w:t>
      </w:r>
    </w:p>
    <w:p>
      <w:pPr>
        <w:spacing w:after="0" w:line="236" w:lineRule="exact"/>
        <w:rPr>
          <w:rFonts w:ascii="Arial" w:cs="Arial" w:eastAsia="Arial" w:hAnsi="Arial"/>
          <w:sz w:val="17"/>
          <w:szCs w:val="17"/>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non-GAAP net income of $9.4 million, or $0.35 per diluted share; GAAP net income of $4.7 million, or $0.18 per diluted share.</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Allegro sales accelerate in second half of 2015, with multiple customers in the United States and Europe.</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Kornit Digital selected as partner for Amazon’s Print-On-Demand Service and installed multiple systems during the quarter.</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Rosh-Ha`Ayin, Israel – February 9, 2016 – </w:t>
      </w:r>
      <w:r>
        <w:rPr>
          <w:rFonts w:ascii="Arial" w:cs="Arial" w:eastAsia="Arial" w:hAnsi="Arial"/>
          <w:sz w:val="18"/>
          <w:szCs w:val="18"/>
          <w:color w:val="auto"/>
        </w:rPr>
        <w:t>Kornit Digital Ltd. (NASDAQ:KRNT),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fourth quarter and fiscal year ended December 31,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for the fourth quarter of 2015 were $25.5 million, a 35.1% increase over the prior year period of $18.9 million. Higher sales were attributable to widespread growth in all areas, including systems and services as well as inks and consumables.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income in the fourth quarter of 2015 was $3.2 million, or $0.10 per diluted share, compared to prior-year net income of $1.6 million. On a GAAP basis, the Company reported net income of $2.1 million, or $0.07 per diluted share, compared to net income of $1.2 million, in the fourth quarter of 2014.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Gabi Seligsohn, Kornit Digital’s Chief Executive Officer commented, “We are pleased to report a strong finish to our first year as a public company, and proud of the milestones we have achieved throughout the year. Notably, operating margin improved 350 basis points over the prior-year, despite increased investment in our global infrastructure and R&amp;D, and the addition of almost 100 full-time employees during the year, bringing our total end of year headcount to 343. We expect that these investments should enable the Company to capitalize on its market leading DTG position, and support the ongoing rollout of the Allegro, the industry’s first single-step roll-to-roll solution.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Seligsohn continued, “We head into 2016 with strong momentum, which is supported by growing market penetration of the Allegro, the planned launch of the Vulcan, and an aggressive product roadmap with several product enhancements to our existing DTG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Fourth Quarter 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fourth quarter of 2015, Kornit reported sales of $25.5 million, an increase of 35.1% compared with the prior-year level of $18.9 million. Higher sales were the result of contributions from all product categories including systems, ink and consumables, and services.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Non-GAAP gross profit in the fourth quarter was $12.4 million, or 48.6% of sales, compared with $8.6 million, or 45.6% of sales in the prior-year. On a GAAP basis, fourth quarter gross profit was $12.1 million, compared with $8.5 million, in the prior-year. Higher gross margins primarily reflected a favorable sales mix of high throughput systems, and a stronger contribution from ink and consumables during the current period.</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Non-GAAP operating expenses in the fourth quarter increased to $9.1 million, or 35.5% of sales, compared to $6.9 million, or 36.4% of sales in the prior year. On a GAAP basis, total operating expenses in the fourth quarter were $9.9 million, compared to $7.2 million in the prior period. The increase in total operating expenses was consistent with the previously stated growth strategy, as the Company continues to execute to its global infrastructure build out.</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Fourth quarter non-GAAP research and development expenses were $3.2 million, or 12.7% of sales, compared to $2.6 million, or 13.7% of sales in the prior-year. Fourth quarter GAAP research and development expenses were $3.4 million, compared to the prior-year period of $2.6 million.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operating profit in the fourth quarter increased to $3.3 million, compared to $1.7 million in the prior year. As a percent of sales, adjusted operating margin for the fourth quarter was 13.1% of sales, compared with 9.2% of sales in the prior year. On a GAAP basis, fourth quarter operating profit was $2.2 million, compared to the prior year period of $1.3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earnings for the fourth quarter of 2015 were $3.2 million, or $0.10 per diluted share, compared to $1.6 million in the prior year period. On a GAAP basis, the Company reported net earnings of $2.1 million, or $0.07 per diluted share, compared to a net gain of $1.2 million, in the fourth quarter of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2015 Results of Operations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Full year 2015 sales were $86.4 million, a 30.2% increase over the prior year period of $66.4 million. Higher sales compared to the prior year were primarily related to higher volume of products sold, an improved mix of industrial systems, the success of new product introductions, and incremental sales from services. For the full-year, the Company recorded 60% of revenue from systems and services, and 40% of revenue from ink and consumables.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gross profit for the full year 2015 was $41.3 million, or 47.8% of sales, compared to $29.4 million, or 44.3% of sales for the full year 2014. Full year GAAP gross profit was $40.6 million, compared to $29.2 million in the prior year. Higher gross margins compared to the prior year were primary the result of a favorable system sales mix to industrial systems, and a higher volume of ink and consumables.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Non-GAAP operating expenses for the full year of 2015 were $30.8 million, or 35.7% of sales, compared to the prior year level of $24.6 million, or 37.0% of sales. Full year 2015 operating expenses on a GAAP basis were $34.8 million, compared to $25.4 million for the full year of 2014. Lower operating expenses as a percentage of sales reflect leverage on higher sales compared to 2014, partially offset by incremental expenses as the Company executes its global infrastructure strategy.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Full year non-GAAP research and development expenses were $11.4 million, or 13.2% of sales, compared to $9.4 million, or 14.1% of sales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 year 2015 research and development expenses were $12.0 million, compared to the prior year of $9.5 million.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Non-GAAP operating profit in the full year 2015 increased 115.7% to $10.5 million, compared to the prior year period of $4.8 million. Full year 2015 GAAP operating profit increased 51.0% to $5.8 million, compared to $3.8 million in the year ago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Non-GAAP full year 2015 net earnings were $9.4 million, or $0.35 per diluted share, compared with non-GAAP net earnings of $4.0 million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a GAAP basis, full year 2015 net earnings were $4.7 million, or $0.18 per diluted share, compared to $3.0 million in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the Company had cash, deposits and marketable securities of $74.1 million, and no long-term debt. Cash flow from operations for the full-year of 2015 were a $2.2 million use of cash, which was entirely attributable to an increase in working capital from a higher volume of systems and consumables sold.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2016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will host a conference call today at 5:00 p.m. ET, or 12:00 a.m. Israel time, to discuss the results, followed by a question and answer session for the investment community. A live webcast of the call can be accessed at ir.kornit.com. To access the call, participants may dial toll-free at 1-888-438-5448 or +1-719-325-2455. The toll-free Israeli number is 1-809-24 5906. The confirmation code is 5221435.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1-877-870-5176 or +1-858-384-5517 (international) and enter confirmation code 5221435. The telephonic replay will be available beginning at 8:00 p.m. ET on Tuesday, February 9, 2016, and will last through 11:59 p.m. ET February 23, 2016. The call will also be available for replay via the webcast link on Kornit's Investor Relations website.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ability to leverage our increased headcount, our success in developing, introducing and selling new or improved products and product enhancements, the development of the market for digital textile printing, availability of alternative ink, competition, sales concentration, changes to our relationships with suppliers, our success in marketing, and those factors referred to under "Risk Factors" in the company's final prospectus filed with the U.S. Securities and Exchange Commission.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Non-GAAP financial measures consist of GAAP financial measures adjusted to exclude acquisition related expenses, share-based compensation expenses, amortization of acquired intangible assets, Expenses related to settlement with the OCS, Law suit settlement and compensation related to the IPO.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Kornit develops, designs and markets innovative digital printing solutions for the global printed textile industry. Kornit’s solution includes its proprietary digital printing systems, ink and other consumables, associated software and value added services. Kornit’s vision is to revolutionize the textile industry by facilitating the transition from analog processes that have not evolved for decades to digital methods of production that address contemporary supply, demand and environmental dynamics. Kornit is a global company headquartered in Rosh-Ha`Ayin, Israel, with U.S. offices in Mequon, Wisconsin and additional sales, support and marketing offices in Germany and Hong Kong.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3580"/>
        <w:spacing w:after="0"/>
        <w:rPr>
          <w:sz w:val="20"/>
          <w:szCs w:val="20"/>
          <w:color w:val="auto"/>
        </w:rPr>
      </w:pPr>
      <w:r>
        <w:rPr>
          <w:rFonts w:ascii="Arial" w:cs="Arial" w:eastAsia="Arial" w:hAnsi="Arial"/>
          <w:sz w:val="15"/>
          <w:szCs w:val="15"/>
          <w:color w:val="auto"/>
        </w:rPr>
        <w:t>(U.S. dollars in thousands, except share and per share data)</w:t>
      </w:r>
    </w:p>
    <w:p>
      <w:pPr>
        <w:spacing w:after="0" w:line="241"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26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240" w:type="dxa"/>
            <w:vAlign w:val="bottom"/>
          </w:tcPr>
          <w:p>
            <w:pPr>
              <w:spacing w:after="0"/>
              <w:rPr>
                <w:sz w:val="19"/>
                <w:szCs w:val="19"/>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Three Months Ended</w:t>
            </w:r>
          </w:p>
        </w:tc>
      </w:tr>
      <w:tr>
        <w:trPr>
          <w:trHeight w:val="241"/>
        </w:trPr>
        <w:tc>
          <w:tcPr>
            <w:tcW w:w="100" w:type="dxa"/>
            <w:vAlign w:val="bottom"/>
          </w:tcPr>
          <w:p>
            <w:pPr>
              <w:spacing w:after="0"/>
              <w:rPr>
                <w:sz w:val="20"/>
                <w:szCs w:val="20"/>
                <w:color w:val="auto"/>
              </w:rPr>
            </w:pPr>
          </w:p>
        </w:tc>
        <w:tc>
          <w:tcPr>
            <w:tcW w:w="26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0"/>
                <w:szCs w:val="20"/>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7"/>
        </w:trPr>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2014</w:t>
            </w:r>
          </w:p>
        </w:tc>
      </w:tr>
      <w:tr>
        <w:trPr>
          <w:trHeight w:val="234"/>
        </w:trPr>
        <w:tc>
          <w:tcPr>
            <w:tcW w:w="1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Pr>
          <w:p>
            <w:pPr>
              <w:spacing w:after="0"/>
              <w:rPr>
                <w:sz w:val="20"/>
                <w:szCs w:val="20"/>
                <w:color w:val="auto"/>
              </w:rPr>
            </w:pPr>
          </w:p>
        </w:tc>
      </w:tr>
      <w:tr>
        <w:trPr>
          <w:trHeight w:val="41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86,405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66,364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25,498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18,869</w:t>
            </w:r>
          </w:p>
        </w:tc>
      </w:tr>
      <w:tr>
        <w:trPr>
          <w:trHeight w:val="237"/>
        </w:trPr>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45,820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37,187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13,443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10,332</w:t>
            </w: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-454025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-162560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796" w:right="2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9,475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5,266</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5,434</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3,805</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2,035</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Taxes on income (benefit)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number of shares used in computing basic net income per share</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24,633,369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8,969,588</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30,183,089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Diluted net income per share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4"/>
              </w:rPr>
              <w:t>Weighted average number of shares used in computing diluted net income per</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40" w:type="dxa"/>
            <w:vAlign w:val="bottom"/>
          </w:tcPr>
          <w:p>
            <w:pPr>
              <w:jc w:val="right"/>
              <w:ind w:right="531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26,458,584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10,446,329</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31,723,327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11,366,951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40" w:type="dxa"/>
            <w:vAlign w:val="bottom"/>
            <w:vMerge w:val="restart"/>
          </w:tcPr>
          <w:p>
            <w:pPr>
              <w:jc w:val="right"/>
              <w:ind w:right="1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5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Year Ended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2014</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as reported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Expenses recorded for share-based compensation</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Intangible assets amortization</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Compensation in relation to the IPO</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Separation payment to shareholder</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IPO bonuses to employees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Expense related to settlement of OCS grants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adjustments</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Non-GAAP net income</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9,405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Non- GAAP diluted net income per share</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w w:val="89"/>
              </w:rPr>
              <w:t>Weighted average number of shares used in computing diluted net income per</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share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26,824,370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10,688,941</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32,054,699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11,392,565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vMerge w:val="restart"/>
          </w:tcPr>
          <w:p>
            <w:pPr>
              <w:jc w:val="center"/>
              <w:ind w:left="3010"/>
              <w:spacing w:after="0"/>
              <w:rPr>
                <w:sz w:val="20"/>
                <w:szCs w:val="20"/>
                <w:color w:val="auto"/>
              </w:rPr>
            </w:pPr>
            <w:r>
              <w:rPr>
                <w:rFonts w:ascii="Arial" w:cs="Arial" w:eastAsia="Arial" w:hAnsi="Arial"/>
                <w:sz w:val="18"/>
                <w:szCs w:val="18"/>
                <w:b w:val="1"/>
                <w:bCs w:val="1"/>
                <w:color w:val="auto"/>
                <w:w w:val="91"/>
              </w:rPr>
              <w:t>ASSETS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vMerge w:val="continue"/>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Short term bank deposits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Trade receivables, net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receivables and prepaid expenses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Inventory</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line="203" w:lineRule="exact"/>
              <w:rPr>
                <w:sz w:val="20"/>
                <w:szCs w:val="20"/>
                <w:color w:val="auto"/>
              </w:rPr>
            </w:pPr>
            <w:r>
              <w:rPr>
                <w:rFonts w:ascii="Arial" w:cs="Arial" w:eastAsia="Arial" w:hAnsi="Arial"/>
                <w:sz w:val="18"/>
                <w:szCs w:val="18"/>
                <w:color w:val="auto"/>
              </w:rPr>
              <w:t>LONG-TERM ASSETS: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Severance pay fund</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issuance costs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assets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jc w:val="center"/>
              <w:ind w:left="3010"/>
              <w:spacing w:after="0"/>
              <w:rPr>
                <w:sz w:val="20"/>
                <w:szCs w:val="20"/>
                <w:color w:val="auto"/>
              </w:rPr>
            </w:pPr>
            <w:r>
              <w:rPr>
                <w:rFonts w:ascii="Arial" w:cs="Arial" w:eastAsia="Arial" w:hAnsi="Arial"/>
                <w:sz w:val="18"/>
                <w:szCs w:val="18"/>
                <w:b w:val="1"/>
                <w:bCs w:val="1"/>
                <w:color w:val="auto"/>
              </w:rPr>
              <w:t>LIABILITIES AND EQUITY</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CURRENT LIABILITIES: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Accrued severance pay</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liabilities</w:t>
            </w:r>
          </w:p>
        </w:tc>
        <w:tc>
          <w:tcPr>
            <w:tcW w:w="3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1,913</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SHAREHOLDERS' EQUITY</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100,262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123,426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40" w:type="dxa"/>
            <w:vAlign w:val="bottom"/>
            <w:vMerge w:val="restart"/>
          </w:tcPr>
          <w:p>
            <w:pPr>
              <w:jc w:val="right"/>
              <w:ind w:right="297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2"/>
              </w:rPr>
              <w:t>Year Ended</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0"/>
                <w:szCs w:val="20"/>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4,725</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line="201" w:lineRule="exact"/>
              <w:rPr>
                <w:sz w:val="20"/>
                <w:szCs w:val="20"/>
                <w:color w:val="auto"/>
              </w:rPr>
            </w:pPr>
            <w:r>
              <w:rPr>
                <w:rFonts w:ascii="Arial" w:cs="Arial" w:eastAsia="Arial" w:hAnsi="Arial"/>
                <w:sz w:val="18"/>
                <w:szCs w:val="18"/>
                <w:color w:val="auto"/>
                <w:w w:val="92"/>
              </w:rPr>
              <w:t>Adjustments to reconcile net income to net cash (used in) provided by operating</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Increase in receivable interest and amortization of premium on marketable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Increase (decrease) in accrued severance pay,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receivables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Changes in deferred taxes,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Decrease in other long term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Increase (decrease) in trade payables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(1,578)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Increase (decrease) in deferred revenues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on short-term bank deposit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from sale of property and equipments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loss on inter company balances with foreign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(1,911)</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Proceeds from (investment in) bank deposits,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2,643</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or sale of marketable securities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(58,871</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738</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(19,899</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Proceeds from initial public offering, net (Payment of issuance costs)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74,180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74,600</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37,377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Issuance expenses on credit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Property and equipment transferred to be used as inventory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5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7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2019-12-09T01:14:40Z</dcterms:created>
  <dcterms:modified xsi:type="dcterms:W3CDTF">2019-12-09T01:14:40Z</dcterms:modified>
</cp:coreProperties>
</file>