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1 )*</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00" w:hanging="792"/>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5"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Rule 13d-1(c)</w:t>
      </w:r>
    </w:p>
    <w:p>
      <w:pPr>
        <w:spacing w:after="0" w:line="11"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 w:name="page2"/>
    <w:bookmarkEnd w:id="1"/>
    <w:p>
      <w:pPr>
        <w:ind w:left="599" w:hanging="555"/>
        <w:spacing w:after="0"/>
        <w:tabs>
          <w:tab w:leader="none" w:pos="5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240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240780"/>
                    </a:xfrm>
                    <a:prstGeom prst="rect">
                      <a:avLst/>
                    </a:prstGeom>
                    <a:noFill/>
                  </pic:spPr>
                </pic:pic>
              </a:graphicData>
            </a:graphic>
          </wp:anchor>
        </w:drawing>
        <w:t>NAME OF REPORTING PERSONS</w:t>
      </w:r>
    </w:p>
    <w:p>
      <w:pPr>
        <w:spacing w:after="0" w:line="225" w:lineRule="exact"/>
        <w:rPr>
          <w:rFonts w:ascii="Times New Roman" w:cs="Times New Roman" w:eastAsia="Times New Roman" w:hAnsi="Times New Roman"/>
          <w:sz w:val="18"/>
          <w:szCs w:val="18"/>
          <w:color w:val="auto"/>
        </w:rPr>
      </w:pPr>
    </w:p>
    <w:p>
      <w:pPr>
        <w:ind w:left="5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Capital Management, Inc. 13-30008848</w:t>
      </w:r>
    </w:p>
    <w:p>
      <w:pPr>
        <w:spacing w:after="0" w:line="184" w:lineRule="exact"/>
        <w:rPr>
          <w:rFonts w:ascii="Times New Roman" w:cs="Times New Roman" w:eastAsia="Times New Roman" w:hAnsi="Times New Roman"/>
          <w:sz w:val="18"/>
          <w:szCs w:val="18"/>
          <w:color w:val="auto"/>
        </w:rPr>
      </w:pPr>
    </w:p>
    <w:p>
      <w:pPr>
        <w:ind w:left="599" w:right="5360" w:hanging="555"/>
        <w:spacing w:after="0" w:line="258" w:lineRule="auto"/>
        <w:tabs>
          <w:tab w:leader="none" w:pos="5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0259"/>
        <w:spacing w:after="0" w:line="207" w:lineRule="exact"/>
        <w:tabs>
          <w:tab w:leader="none" w:pos="10659"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16" w:lineRule="exact"/>
        <w:rPr>
          <w:sz w:val="20"/>
          <w:szCs w:val="20"/>
          <w:color w:val="auto"/>
        </w:rPr>
      </w:pPr>
    </w:p>
    <w:p>
      <w:pPr>
        <w:jc w:val="both"/>
        <w:ind w:left="10239"/>
        <w:spacing w:after="0"/>
        <w:rPr>
          <w:sz w:val="20"/>
          <w:szCs w:val="20"/>
          <w:color w:val="auto"/>
        </w:rPr>
      </w:pPr>
      <w:r>
        <w:rPr>
          <w:rFonts w:ascii="Times New Roman" w:cs="Times New Roman" w:eastAsia="Times New Roman" w:hAnsi="Times New Roman"/>
          <w:sz w:val="18"/>
          <w:szCs w:val="18"/>
          <w:color w:val="auto"/>
        </w:rPr>
        <w:t>(b)</w:t>
      </w:r>
    </w:p>
    <w:p>
      <w:pPr>
        <w:spacing w:after="0" w:line="165" w:lineRule="exact"/>
        <w:rPr>
          <w:sz w:val="20"/>
          <w:szCs w:val="20"/>
          <w:color w:val="auto"/>
        </w:rPr>
      </w:pPr>
    </w:p>
    <w:p>
      <w:pPr>
        <w:ind w:left="599" w:hanging="555"/>
        <w:spacing w:after="0"/>
        <w:tabs>
          <w:tab w:leader="none" w:pos="5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99" w:right="6660" w:hanging="555"/>
        <w:spacing w:after="0" w:line="477" w:lineRule="auto"/>
        <w:tabs>
          <w:tab w:leader="none" w:pos="5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p>
      <w:pPr>
        <w:ind w:left="2839" w:hanging="547"/>
        <w:spacing w:after="0"/>
        <w:tabs>
          <w:tab w:leader="none" w:pos="28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199"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81"/>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tcBorders>
          </w:tcPr>
          <w:p>
            <w:pPr>
              <w:spacing w:after="0"/>
              <w:rPr>
                <w:sz w:val="7"/>
                <w:szCs w:val="7"/>
                <w:color w:val="auto"/>
              </w:rPr>
            </w:pPr>
          </w:p>
        </w:tc>
        <w:tc>
          <w:tcPr>
            <w:tcW w:w="8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760" w:type="dxa"/>
            <w:vAlign w:val="bottom"/>
            <w:vMerge w:val="continue"/>
          </w:tcPr>
          <w:p>
            <w:pPr>
              <w:spacing w:after="0"/>
              <w:rPr>
                <w:sz w:val="11"/>
                <w:szCs w:val="11"/>
                <w:color w:val="auto"/>
              </w:rPr>
            </w:pP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vMerge w:val="continue"/>
          </w:tcPr>
          <w:p>
            <w:pPr>
              <w:spacing w:after="0"/>
              <w:rPr>
                <w:sz w:val="13"/>
                <w:szCs w:val="13"/>
                <w:color w:val="auto"/>
              </w:rPr>
            </w:pPr>
          </w:p>
        </w:tc>
        <w:tc>
          <w:tcPr>
            <w:tcW w:w="8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8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Pr>
          <w:p>
            <w:pPr>
              <w:spacing w:after="0"/>
              <w:rPr>
                <w:sz w:val="13"/>
                <w:szCs w:val="13"/>
                <w:color w:val="auto"/>
              </w:rPr>
            </w:pPr>
          </w:p>
        </w:tc>
        <w:tc>
          <w:tcPr>
            <w:tcW w:w="8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13"/>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vMerge w:val="continue"/>
          </w:tcPr>
          <w:p>
            <w:pPr>
              <w:spacing w:after="0"/>
              <w:rPr>
                <w:sz w:val="9"/>
                <w:szCs w:val="9"/>
                <w:color w:val="auto"/>
              </w:rPr>
            </w:pPr>
          </w:p>
        </w:tc>
        <w:tc>
          <w:tcPr>
            <w:tcW w:w="8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Pr>
          <w:p>
            <w:pPr>
              <w:spacing w:after="0"/>
              <w:rPr>
                <w:sz w:val="18"/>
                <w:szCs w:val="18"/>
                <w:color w:val="auto"/>
              </w:rPr>
            </w:pPr>
          </w:p>
        </w:tc>
        <w:tc>
          <w:tcPr>
            <w:tcW w:w="8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2,606,807</w:t>
            </w:r>
          </w:p>
        </w:tc>
        <w:tc>
          <w:tcPr>
            <w:tcW w:w="0" w:type="dxa"/>
            <w:vAlign w:val="bottom"/>
          </w:tcPr>
          <w:p>
            <w:pPr>
              <w:spacing w:after="0"/>
              <w:rPr>
                <w:sz w:val="1"/>
                <w:szCs w:val="1"/>
                <w:color w:val="auto"/>
              </w:rPr>
            </w:pPr>
          </w:p>
        </w:tc>
      </w:tr>
      <w:tr>
        <w:trPr>
          <w:trHeight w:val="113"/>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Pr>
          <w:p>
            <w:pPr>
              <w:spacing w:after="0"/>
              <w:rPr>
                <w:sz w:val="9"/>
                <w:szCs w:val="9"/>
                <w:color w:val="auto"/>
              </w:rPr>
            </w:pPr>
          </w:p>
        </w:tc>
        <w:tc>
          <w:tcPr>
            <w:tcW w:w="8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839" w:right="5560" w:hanging="547"/>
        <w:spacing w:after="0" w:line="477" w:lineRule="auto"/>
        <w:tabs>
          <w:tab w:leader="none" w:pos="283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599" w:right="3780" w:hanging="555"/>
        <w:spacing w:after="0" w:line="477" w:lineRule="auto"/>
        <w:tabs>
          <w:tab w:leader="none" w:pos="5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2,606,807</w:t>
      </w:r>
    </w:p>
    <w:p>
      <w:pPr>
        <w:spacing w:after="0" w:line="1" w:lineRule="exact"/>
        <w:rPr>
          <w:sz w:val="20"/>
          <w:szCs w:val="20"/>
          <w:color w:val="auto"/>
        </w:rPr>
      </w:pPr>
    </w:p>
    <w:p>
      <w:pPr>
        <w:ind w:left="599" w:right="3700" w:hanging="599"/>
        <w:spacing w:after="0" w:line="259" w:lineRule="auto"/>
        <w:tabs>
          <w:tab w:leader="none" w:pos="5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309" w:lineRule="exact"/>
        <w:rPr>
          <w:sz w:val="20"/>
          <w:szCs w:val="20"/>
          <w:color w:val="auto"/>
        </w:rPr>
      </w:pPr>
    </w:p>
    <w:p>
      <w:pPr>
        <w:ind w:left="599" w:right="5280" w:hanging="596"/>
        <w:spacing w:after="0" w:line="477" w:lineRule="auto"/>
        <w:tabs>
          <w:tab w:leader="none" w:pos="5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5.98%</w:t>
      </w:r>
    </w:p>
    <w:p>
      <w:pPr>
        <w:ind w:left="599" w:right="6000" w:hanging="599"/>
        <w:spacing w:after="0" w:line="532" w:lineRule="auto"/>
        <w:tabs>
          <w:tab w:leader="none" w:pos="5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328930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39"/>
          </w:cols>
          <w:pgMar w:left="621" w:top="99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42" w:lineRule="exact"/>
        <w:rPr>
          <w:sz w:val="20"/>
          <w:szCs w:val="20"/>
          <w:color w:val="auto"/>
        </w:rPr>
      </w:pPr>
    </w:p>
    <w:p>
      <w:pPr>
        <w:sectPr>
          <w:pgSz w:w="11900" w:h="16838" w:orient="portrait"/>
          <w:cols w:equalWidth="0" w:num="2">
            <w:col w:w="980" w:space="720"/>
            <w:col w:w="9000"/>
          </w:cols>
          <w:pgMar w:left="320" w:top="900" w:right="879" w:bottom="1440" w:gutter="0" w:footer="0" w:header="0"/>
        </w:sectPr>
      </w:pPr>
    </w:p>
    <w:p>
      <w:pPr>
        <w:ind w:left="1700"/>
        <w:spacing w:after="0"/>
        <w:rPr>
          <w:sz w:val="20"/>
          <w:szCs w:val="20"/>
          <w:color w:val="auto"/>
        </w:rPr>
      </w:pPr>
      <w:r>
        <w:rPr>
          <w:rFonts w:ascii="Times New Roman" w:cs="Times New Roman" w:eastAsia="Times New Roman" w:hAnsi="Times New Roman"/>
          <w:sz w:val="17"/>
          <w:szCs w:val="17"/>
          <w:color w:val="auto"/>
        </w:rPr>
        <w:t>Kornit Digital, LTD</w:t>
      </w:r>
    </w:p>
    <w:p>
      <w:pPr>
        <w:sectPr>
          <w:pgSz w:w="11900" w:h="16838" w:orient="portrait"/>
          <w:cols w:equalWidth="0" w:num="1">
            <w:col w:w="10700"/>
          </w:cols>
          <w:pgMar w:left="320" w:top="900" w:right="87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Issuer’s Principal Executive Offices: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Ha Amal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Afar Park, Rosh-HA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Ayin 4809246, Israel</w:t>
      </w:r>
    </w:p>
    <w:p>
      <w:pPr>
        <w:spacing w:after="0" w:line="200"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Person Filing:</w:t>
      </w:r>
    </w:p>
    <w:p>
      <w:pPr>
        <w:spacing w:after="0" w:line="42"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American Capital Management, Inc.</w:t>
      </w:r>
    </w:p>
    <w:p>
      <w:pPr>
        <w:sectPr>
          <w:pgSz w:w="11900" w:h="16838" w:orient="portrait"/>
          <w:cols w:equalWidth="0" w:num="1">
            <w:col w:w="10700"/>
          </w:cols>
          <w:pgMar w:left="320" w:top="900" w:right="87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Principal Business Office or, if none, Residence: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575 Lexington Avenue, 30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Citizenship:</w:t>
      </w:r>
    </w:p>
    <w:p>
      <w:pPr>
        <w:spacing w:after="0" w:line="43"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New York</w:t>
      </w:r>
    </w:p>
    <w:p>
      <w:pPr>
        <w:sectPr>
          <w:pgSz w:w="11900" w:h="16838" w:orient="portrait"/>
          <w:cols w:equalWidth="0" w:num="1">
            <w:col w:w="10700"/>
          </w:cols>
          <w:pgMar w:left="320" w:top="900" w:right="87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43"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Common Stock</w:t>
      </w:r>
    </w:p>
    <w:p>
      <w:pPr>
        <w:sectPr>
          <w:pgSz w:w="11900" w:h="16838" w:orient="portrait"/>
          <w:cols w:equalWidth="0" w:num="1">
            <w:col w:w="10700"/>
          </w:cols>
          <w:pgMar w:left="320" w:top="900" w:right="87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43"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M6372Q113</w:t>
      </w:r>
    </w:p>
    <w:p>
      <w:pPr>
        <w:sectPr>
          <w:pgSz w:w="11900" w:h="16838" w:orient="portrait"/>
          <w:cols w:equalWidth="0" w:num="1">
            <w:col w:w="10700"/>
          </w:cols>
          <w:pgMar w:left="320" w:top="900" w:right="87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200" w:lineRule="exact"/>
        <w:rPr>
          <w:sz w:val="20"/>
          <w:szCs w:val="20"/>
          <w:color w:val="auto"/>
        </w:rPr>
      </w:pPr>
    </w:p>
    <w:p>
      <w:pPr>
        <w:sectPr>
          <w:pgSz w:w="11900" w:h="16838" w:orient="portrait"/>
          <w:cols w:equalWidth="0" w:num="2">
            <w:col w:w="980" w:space="720"/>
            <w:col w:w="9000"/>
          </w:cols>
          <w:pgMar w:left="320" w:top="900" w:right="879" w:bottom="1440" w:gutter="0" w:footer="0" w:header="0"/>
          <w:type w:val="continuous"/>
        </w:sectPr>
      </w:pPr>
    </w:p>
    <w:p>
      <w:pPr>
        <w:spacing w:after="0" w:line="41"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Pr>
          <w:p>
            <w:pPr>
              <w:spacing w:after="0"/>
              <w:rPr>
                <w:sz w:val="20"/>
                <w:szCs w:val="20"/>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9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9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9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31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30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tc>
      </w:tr>
      <w:tr>
        <w:trPr>
          <w:trHeight w:val="27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29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29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27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Company Act (15 U.S.C. 80a-3);</w:t>
            </w:r>
          </w:p>
        </w:tc>
      </w:tr>
      <w:tr>
        <w:trPr>
          <w:trHeight w:val="297"/>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29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440" w:type="dxa"/>
            <w:vAlign w:val="bottom"/>
          </w:tcPr>
          <w:p>
            <w:pPr>
              <w:spacing w:after="0"/>
              <w:rPr>
                <w:sz w:val="24"/>
                <w:szCs w:val="24"/>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320" w:top="900" w:right="8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1160" w:type="dxa"/>
            <w:vAlign w:val="bottom"/>
          </w:tcPr>
          <w:p>
            <w:pPr>
              <w:spacing w:after="0"/>
              <w:rPr>
                <w:sz w:val="18"/>
                <w:szCs w:val="18"/>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 Item 1.</w:t>
            </w:r>
          </w:p>
        </w:tc>
      </w:tr>
      <w:tr>
        <w:trPr>
          <w:trHeight w:val="432"/>
        </w:trPr>
        <w:tc>
          <w:tcPr>
            <w:tcW w:w="1160" w:type="dxa"/>
            <w:vAlign w:val="bottom"/>
          </w:tcPr>
          <w:p>
            <w:pPr>
              <w:spacing w:after="0"/>
              <w:rPr>
                <w:sz w:val="24"/>
                <w:szCs w:val="24"/>
                <w:color w:val="auto"/>
              </w:rPr>
            </w:pPr>
          </w:p>
        </w:tc>
        <w:tc>
          <w:tcPr>
            <w:tcW w:w="10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  Amount beneficially owned: 2,606,807</w:t>
            </w:r>
          </w:p>
        </w:tc>
      </w:tr>
      <w:tr>
        <w:trPr>
          <w:trHeight w:val="432"/>
        </w:trPr>
        <w:tc>
          <w:tcPr>
            <w:tcW w:w="1160" w:type="dxa"/>
            <w:vAlign w:val="bottom"/>
          </w:tcPr>
          <w:p>
            <w:pPr>
              <w:spacing w:after="0"/>
              <w:rPr>
                <w:sz w:val="24"/>
                <w:szCs w:val="24"/>
                <w:color w:val="auto"/>
              </w:rPr>
            </w:pPr>
          </w:p>
        </w:tc>
        <w:tc>
          <w:tcPr>
            <w:tcW w:w="10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  Percent of class: 5.98%</w:t>
            </w:r>
          </w:p>
        </w:tc>
      </w:tr>
      <w:tr>
        <w:trPr>
          <w:trHeight w:val="432"/>
        </w:trPr>
        <w:tc>
          <w:tcPr>
            <w:tcW w:w="1160" w:type="dxa"/>
            <w:vAlign w:val="bottom"/>
          </w:tcPr>
          <w:p>
            <w:pPr>
              <w:spacing w:after="0"/>
              <w:rPr>
                <w:sz w:val="24"/>
                <w:szCs w:val="24"/>
                <w:color w:val="auto"/>
              </w:rPr>
            </w:pPr>
          </w:p>
        </w:tc>
        <w:tc>
          <w:tcPr>
            <w:tcW w:w="10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432"/>
        </w:trPr>
        <w:tc>
          <w:tcPr>
            <w:tcW w:w="1160" w:type="dxa"/>
            <w:vAlign w:val="bottom"/>
          </w:tcPr>
          <w:p>
            <w:pPr>
              <w:spacing w:after="0"/>
              <w:rPr>
                <w:sz w:val="24"/>
                <w:szCs w:val="24"/>
                <w:color w:val="auto"/>
              </w:rPr>
            </w:pPr>
          </w:p>
        </w:tc>
        <w:tc>
          <w:tcPr>
            <w:tcW w:w="10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  Sole power to vote or to direct the vote: 0</w:t>
            </w:r>
          </w:p>
        </w:tc>
      </w:tr>
      <w:tr>
        <w:trPr>
          <w:trHeight w:val="432"/>
        </w:trPr>
        <w:tc>
          <w:tcPr>
            <w:tcW w:w="1160" w:type="dxa"/>
            <w:vAlign w:val="bottom"/>
          </w:tcPr>
          <w:p>
            <w:pPr>
              <w:spacing w:after="0"/>
              <w:rPr>
                <w:sz w:val="24"/>
                <w:szCs w:val="24"/>
                <w:color w:val="auto"/>
              </w:rPr>
            </w:pPr>
          </w:p>
        </w:tc>
        <w:tc>
          <w:tcPr>
            <w:tcW w:w="100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1160" w:type="dxa"/>
            <w:vAlign w:val="bottom"/>
          </w:tcPr>
          <w:p>
            <w:pPr>
              <w:spacing w:after="0"/>
              <w:rPr>
                <w:sz w:val="24"/>
                <w:szCs w:val="24"/>
                <w:color w:val="auto"/>
              </w:rPr>
            </w:pPr>
          </w:p>
        </w:tc>
        <w:tc>
          <w:tcPr>
            <w:tcW w:w="100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2,606,807</w:t>
            </w:r>
          </w:p>
        </w:tc>
      </w:tr>
      <w:tr>
        <w:trPr>
          <w:trHeight w:val="432"/>
        </w:trPr>
        <w:tc>
          <w:tcPr>
            <w:tcW w:w="1160" w:type="dxa"/>
            <w:vAlign w:val="bottom"/>
          </w:tcPr>
          <w:p>
            <w:pPr>
              <w:spacing w:after="0"/>
              <w:rPr>
                <w:sz w:val="24"/>
                <w:szCs w:val="24"/>
                <w:color w:val="auto"/>
              </w:rPr>
            </w:pPr>
          </w:p>
        </w:tc>
        <w:tc>
          <w:tcPr>
            <w:tcW w:w="100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16"/>
        </w:trPr>
        <w:tc>
          <w:tcPr>
            <w:tcW w:w="1160" w:type="dxa"/>
            <w:vAlign w:val="bottom"/>
          </w:tcPr>
          <w:p>
            <w:pPr>
              <w:spacing w:after="0"/>
              <w:rPr>
                <w:sz w:val="18"/>
                <w:szCs w:val="18"/>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more than 5 percent of the class of securities, check the following.</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r>
      <w:tr>
        <w:trPr>
          <w:trHeight w:val="41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1160" w:type="dxa"/>
            <w:vAlign w:val="bottom"/>
          </w:tcPr>
          <w:p>
            <w:pPr>
              <w:spacing w:after="0"/>
              <w:rPr>
                <w:sz w:val="19"/>
                <w:szCs w:val="19"/>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1160" w:type="dxa"/>
            <w:vAlign w:val="bottom"/>
          </w:tcPr>
          <w:p>
            <w:pPr>
              <w:spacing w:after="0"/>
              <w:rPr>
                <w:sz w:val="18"/>
                <w:szCs w:val="18"/>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w:t>
            </w:r>
          </w:p>
        </w:tc>
      </w:tr>
      <w:tr>
        <w:trPr>
          <w:trHeight w:val="216"/>
        </w:trPr>
        <w:tc>
          <w:tcPr>
            <w:tcW w:w="1160" w:type="dxa"/>
            <w:vAlign w:val="bottom"/>
          </w:tcPr>
          <w:p>
            <w:pPr>
              <w:spacing w:after="0"/>
              <w:rPr>
                <w:sz w:val="18"/>
                <w:szCs w:val="18"/>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 the ordinary course of business and were not acquired and are not held for the purpose of or with the effect of changing or</w:t>
            </w:r>
          </w:p>
        </w:tc>
      </w:tr>
      <w:tr>
        <w:trPr>
          <w:trHeight w:val="216"/>
        </w:trPr>
        <w:tc>
          <w:tcPr>
            <w:tcW w:w="1160" w:type="dxa"/>
            <w:vAlign w:val="bottom"/>
          </w:tcPr>
          <w:p>
            <w:pPr>
              <w:spacing w:after="0"/>
              <w:rPr>
                <w:sz w:val="18"/>
                <w:szCs w:val="18"/>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influencing the control of the issuer of the securities and were not acquired and are not held in connection with or as a participant in</w:t>
            </w:r>
          </w:p>
        </w:tc>
      </w:tr>
      <w:tr>
        <w:trPr>
          <w:trHeight w:val="234"/>
        </w:trPr>
        <w:tc>
          <w:tcPr>
            <w:tcW w:w="1160" w:type="dxa"/>
            <w:vAlign w:val="bottom"/>
          </w:tcPr>
          <w:p>
            <w:pPr>
              <w:spacing w:after="0"/>
              <w:rPr>
                <w:sz w:val="20"/>
                <w:szCs w:val="20"/>
                <w:color w:val="auto"/>
              </w:rPr>
            </w:pPr>
          </w:p>
        </w:tc>
        <w:tc>
          <w:tcPr>
            <w:tcW w:w="10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any transaction having that purpose or effect.</w:t>
            </w:r>
          </w:p>
        </w:tc>
      </w:tr>
      <w:tr>
        <w:trPr>
          <w:trHeight w:val="675"/>
        </w:trPr>
        <w:tc>
          <w:tcPr>
            <w:tcW w:w="11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ind w:left="5540"/>
        <w:spacing w:after="0"/>
        <w:tabs>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2/16/2021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9" w:lineRule="exact"/>
        <w:rPr>
          <w:sz w:val="20"/>
          <w:szCs w:val="20"/>
          <w:color w:val="auto"/>
        </w:rPr>
      </w:pPr>
    </w:p>
    <w:p>
      <w:pPr>
        <w:ind w:left="554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Meagher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Michael Meagher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9" w:lineRule="exact"/>
        <w:rPr>
          <w:sz w:val="20"/>
          <w:szCs w:val="20"/>
          <w:color w:val="auto"/>
        </w:rPr>
      </w:pPr>
    </w:p>
    <w:p>
      <w:pPr>
        <w:ind w:left="554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u w:val="single" w:color="auto"/>
          <w:color w:val="auto"/>
        </w:rPr>
        <w:t>Chief Compliance Officer, Chief Operating Officer, Managing Director</w:t>
      </w:r>
    </w:p>
    <w:p>
      <w:pPr>
        <w:spacing w:after="0" w:line="2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lvl w:ilvl="1">
      <w:lvlJc w:val="left"/>
      <w:lvlText w:val="%2."/>
      <w:numFmt w:val="decimal"/>
      <w:start w:val="5"/>
    </w:lvl>
  </w:abstractNum>
  <w:abstractNum w:abstractNumId="4">
    <w:nsid w:val="2EB141F2"/>
    <w:multiLevelType w:val="hybridMultilevel"/>
    <w:lvl w:ilvl="0">
      <w:lvlJc w:val="left"/>
      <w:lvlText w:val="%1"/>
      <w:numFmt w:val="decimal"/>
      <w:start w:val="1"/>
    </w:lvl>
    <w:lvl w:ilvl="1">
      <w:lvlJc w:val="left"/>
      <w:lvlText w:val="%2."/>
      <w:numFmt w:val="decimal"/>
      <w:start w:val="8"/>
    </w:lvl>
  </w:abstractNum>
  <w:abstractNum w:abstractNumId="5">
    <w:nsid w:val="41B71EFB"/>
    <w:multiLevelType w:val="hybridMultilevel"/>
    <w:lvl w:ilvl="0">
      <w:lvlJc w:val="left"/>
      <w:lvlText w:val="%1."/>
      <w:numFmt w:val="decimal"/>
      <w:start w:val="9"/>
    </w:lvl>
    <w:lvl w:ilvl="1">
      <w:lvlJc w:val="left"/>
      <w:lvlText w:val="%2"/>
      <w:numFmt w:val="decimal"/>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2021-02-16T07:31:41Z</dcterms:created>
  <dcterms:modified xsi:type="dcterms:W3CDTF">2021-02-16T07:31:41Z</dcterms:modified>
</cp:coreProperties>
</file>