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September 2022</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001-36903</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on 2022 First-Half Results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Report of Foreign Private Issuer on Form 6-K (this “</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 is being furnished by 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to the Securities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for the sole purposes of furnishing:</w:t>
      </w:r>
    </w:p>
    <w:p>
      <w:pPr>
        <w:spacing w:after="0" w:line="203" w:lineRule="exact"/>
        <w:rPr>
          <w:sz w:val="20"/>
          <w:szCs w:val="20"/>
          <w:color w:val="auto"/>
        </w:rPr>
      </w:pPr>
    </w:p>
    <w:p>
      <w:pPr>
        <w:ind w:left="1300" w:hanging="644"/>
        <w:spacing w:after="0" w:line="28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interim consolidated financial statements of Kornit as of, and for the six month period ended, June 30, 2022 (the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(which serve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Form 6-K); and</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and Financial Review and Prospects, which contains Kornit’s management’s discussion and analysis of Kornit’s financial condition and results of operations as of, and for the six month period ended, June 30, 2022 (and which serves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to this Form 6-K).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8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3"/>
          </w:tcPr>
          <w:p>
            <w:pPr>
              <w:ind w:left="39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3"/>
          </w:tcPr>
          <w:p>
            <w:pPr>
              <w:ind w:left="418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36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interim consolidated financial statements of Kornit as of, and for the six month period ended, June 30, 2022</w:t>
            </w: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 of Kornit as of, and for the six month period ended, June 30, 2022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18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EX-101.INS</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EX-101.SCH</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EX-101.CAL</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EX-101.DEF</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EX-101.LAB</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EX-101.PRE</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six-month unaudited condensed interim consolidated financial statements, and Operating and Financial Review and Prospects covering that six month period, are incorporated by reference into Kornit’s registration statements on Form F-3 (File No. </w:t>
      </w:r>
      <w:hyperlink r:id="rId14">
        <w:r>
          <w:rPr>
            <w:rFonts w:ascii="Times New Roman" w:cs="Times New Roman" w:eastAsia="Times New Roman" w:hAnsi="Times New Roman"/>
            <w:sz w:val="18"/>
            <w:szCs w:val="18"/>
            <w:u w:val="single" w:color="auto"/>
            <w:color w:val="0000EE"/>
          </w:rPr>
          <w:t>333-248784</w:t>
        </w:r>
      </w:hyperlink>
      <w:r>
        <w:rPr>
          <w:rFonts w:ascii="Times New Roman" w:cs="Times New Roman" w:eastAsia="Times New Roman" w:hAnsi="Times New Roman"/>
          <w:sz w:val="18"/>
          <w:szCs w:val="18"/>
          <w:color w:val="auto"/>
        </w:rPr>
        <w:t xml:space="preserve">) and Form S-8 (File Nos. </w:t>
      </w:r>
      <w:hyperlink r:id="rId15">
        <w:r>
          <w:rPr>
            <w:rFonts w:ascii="Times New Roman" w:cs="Times New Roman" w:eastAsia="Times New Roman" w:hAnsi="Times New Roman"/>
            <w:sz w:val="18"/>
            <w:szCs w:val="18"/>
            <w:u w:val="single" w:color="auto"/>
            <w:color w:val="0000EE"/>
          </w:rPr>
          <w:t>333-203970</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333-214015</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333-217039</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333-223794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333-230567</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333-237346</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333-254749</w:t>
        </w:r>
      </w:hyperlink>
      <w:r>
        <w:rPr>
          <w:rFonts w:ascii="Times New Roman" w:cs="Times New Roman" w:eastAsia="Times New Roman" w:hAnsi="Times New Roman"/>
          <w:sz w:val="18"/>
          <w:szCs w:val="18"/>
          <w:color w:val="auto"/>
        </w:rPr>
        <w:t xml:space="preserve">, and </w:t>
      </w:r>
      <w:hyperlink r:id="rId22">
        <w:r>
          <w:rPr>
            <w:rFonts w:ascii="Times New Roman" w:cs="Times New Roman" w:eastAsia="Times New Roman" w:hAnsi="Times New Roman"/>
            <w:sz w:val="18"/>
            <w:szCs w:val="18"/>
            <w:u w:val="single" w:color="auto"/>
            <w:color w:val="0000EE"/>
          </w:rPr>
          <w:t>333-263975</w:t>
        </w:r>
      </w:hyperlink>
      <w:r>
        <w:rPr>
          <w:rFonts w:ascii="Times New Roman" w:cs="Times New Roman" w:eastAsia="Times New Roman" w:hAnsi="Times New Roman"/>
          <w:sz w:val="18"/>
          <w:szCs w:val="18"/>
          <w:color w:val="auto"/>
        </w:rPr>
        <w:t>).</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3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KORNIT DIGITAL LTD.</w:t>
            </w: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29, 2022</w:t>
            </w:r>
          </w:p>
        </w:tc>
        <w:tc>
          <w:tcPr>
            <w:tcW w:w="35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Alon Rozner</w:t>
            </w:r>
          </w:p>
        </w:tc>
      </w:tr>
      <w:tr>
        <w:trPr>
          <w:trHeight w:val="198"/>
        </w:trPr>
        <w:tc>
          <w:tcPr>
            <w:tcW w:w="3740" w:type="dxa"/>
            <w:vAlign w:val="bottom"/>
          </w:tcPr>
          <w:p>
            <w:pPr>
              <w:spacing w:after="0"/>
              <w:rPr>
                <w:sz w:val="17"/>
                <w:szCs w:val="17"/>
                <w:color w:val="auto"/>
              </w:rPr>
            </w:pPr>
          </w:p>
        </w:tc>
        <w:tc>
          <w:tcPr>
            <w:tcW w:w="3580" w:type="dxa"/>
            <w:vAlign w:val="bottom"/>
          </w:tcPr>
          <w:p>
            <w:pPr>
              <w:ind w:left="30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Alon Rozner</w:t>
            </w:r>
          </w:p>
        </w:tc>
      </w:tr>
      <w:tr>
        <w:trPr>
          <w:trHeight w:val="234"/>
        </w:trPr>
        <w:tc>
          <w:tcPr>
            <w:tcW w:w="3740" w:type="dxa"/>
            <w:vAlign w:val="bottom"/>
          </w:tcPr>
          <w:p>
            <w:pPr>
              <w:spacing w:after="0"/>
              <w:rPr>
                <w:sz w:val="20"/>
                <w:szCs w:val="20"/>
                <w:color w:val="auto"/>
              </w:rPr>
            </w:pPr>
          </w:p>
        </w:tc>
        <w:tc>
          <w:tcPr>
            <w:tcW w:w="35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9"/>
        </w:trPr>
        <w:tc>
          <w:tcPr>
            <w:tcW w:w="37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6"/>
              </w:rPr>
              <w:t>Exhibit 99.1</w:t>
            </w:r>
          </w:p>
        </w:tc>
      </w:tr>
      <w:tr>
        <w:trPr>
          <w:trHeight w:val="432"/>
        </w:trPr>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40" w:type="dxa"/>
            <w:vAlign w:val="bottom"/>
            <w:gridSpan w:val="4"/>
          </w:tcPr>
          <w:p>
            <w:pPr>
              <w:jc w:val="center"/>
              <w:ind w:right="2450"/>
              <w:spacing w:after="0"/>
              <w:rPr>
                <w:sz w:val="20"/>
                <w:szCs w:val="20"/>
                <w:color w:val="auto"/>
              </w:rPr>
            </w:pPr>
            <w:r>
              <w:rPr>
                <w:rFonts w:ascii="Times New Roman" w:cs="Times New Roman" w:eastAsia="Times New Roman" w:hAnsi="Times New Roman"/>
                <w:sz w:val="18"/>
                <w:szCs w:val="18"/>
                <w:b w:val="1"/>
                <w:bCs w:val="1"/>
                <w:color w:val="auto"/>
                <w:w w:val="99"/>
              </w:rPr>
              <w:t>KORNIT DIGITAL LTD. AND SUBSIDIARIES</w:t>
            </w:r>
          </w:p>
        </w:tc>
        <w:tc>
          <w:tcPr>
            <w:tcW w:w="1120" w:type="dxa"/>
            <w:vAlign w:val="bottom"/>
          </w:tcPr>
          <w:p>
            <w:pPr>
              <w:spacing w:after="0"/>
              <w:rPr>
                <w:sz w:val="24"/>
                <w:szCs w:val="24"/>
                <w:color w:val="auto"/>
              </w:rPr>
            </w:pPr>
          </w:p>
        </w:tc>
      </w:tr>
      <w:tr>
        <w:trPr>
          <w:trHeight w:val="432"/>
        </w:trPr>
        <w:tc>
          <w:tcPr>
            <w:tcW w:w="2840" w:type="dxa"/>
            <w:vAlign w:val="bottom"/>
          </w:tcPr>
          <w:p>
            <w:pPr>
              <w:spacing w:after="0"/>
              <w:rPr>
                <w:sz w:val="24"/>
                <w:szCs w:val="24"/>
                <w:color w:val="auto"/>
              </w:rPr>
            </w:pPr>
          </w:p>
        </w:tc>
        <w:tc>
          <w:tcPr>
            <w:tcW w:w="7280" w:type="dxa"/>
            <w:vAlign w:val="bottom"/>
            <w:gridSpan w:val="6"/>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INTERIM CONSOLIDATED FINANCIAL STATEMENTS</w:t>
            </w:r>
          </w:p>
        </w:tc>
        <w:tc>
          <w:tcPr>
            <w:tcW w:w="1120" w:type="dxa"/>
            <w:vAlign w:val="bottom"/>
          </w:tcPr>
          <w:p>
            <w:pPr>
              <w:spacing w:after="0"/>
              <w:rPr>
                <w:sz w:val="24"/>
                <w:szCs w:val="24"/>
                <w:color w:val="auto"/>
              </w:rPr>
            </w:pPr>
          </w:p>
        </w:tc>
      </w:tr>
      <w:tr>
        <w:trPr>
          <w:trHeight w:val="432"/>
        </w:trPr>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40" w:type="dxa"/>
            <w:vAlign w:val="bottom"/>
            <w:gridSpan w:val="2"/>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120" w:type="dxa"/>
            <w:vAlign w:val="bottom"/>
          </w:tcPr>
          <w:p>
            <w:pPr>
              <w:spacing w:after="0"/>
              <w:rPr>
                <w:sz w:val="24"/>
                <w:szCs w:val="24"/>
                <w:color w:val="auto"/>
              </w:rPr>
            </w:pPr>
          </w:p>
        </w:tc>
      </w:tr>
      <w:tr>
        <w:trPr>
          <w:trHeight w:val="432"/>
        </w:trPr>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40" w:type="dxa"/>
            <w:vAlign w:val="bottom"/>
            <w:gridSpan w:val="2"/>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120" w:type="dxa"/>
            <w:vAlign w:val="bottom"/>
          </w:tcPr>
          <w:p>
            <w:pPr>
              <w:spacing w:after="0"/>
              <w:rPr>
                <w:sz w:val="24"/>
                <w:szCs w:val="24"/>
                <w:color w:val="auto"/>
              </w:rPr>
            </w:pPr>
          </w:p>
        </w:tc>
      </w:tr>
      <w:tr>
        <w:trPr>
          <w:trHeight w:val="432"/>
        </w:trPr>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40" w:type="dxa"/>
            <w:vAlign w:val="bottom"/>
            <w:gridSpan w:val="2"/>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U.S. DOLLARS IN THOUSANDS</w:t>
            </w:r>
          </w:p>
        </w:tc>
        <w:tc>
          <w:tcPr>
            <w:tcW w:w="1120" w:type="dxa"/>
            <w:vAlign w:val="bottom"/>
          </w:tcPr>
          <w:p>
            <w:pPr>
              <w:spacing w:after="0"/>
              <w:rPr>
                <w:sz w:val="24"/>
                <w:szCs w:val="24"/>
                <w:color w:val="auto"/>
              </w:rPr>
            </w:pPr>
          </w:p>
        </w:tc>
      </w:tr>
      <w:tr>
        <w:trPr>
          <w:trHeight w:val="432"/>
        </w:trPr>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0" w:type="dxa"/>
            <w:vAlign w:val="bottom"/>
          </w:tcPr>
          <w:p>
            <w:pPr>
              <w:jc w:val="center"/>
              <w:ind w:right="389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120" w:type="dxa"/>
            <w:vAlign w:val="bottom"/>
          </w:tcPr>
          <w:p>
            <w:pPr>
              <w:spacing w:after="0"/>
              <w:rPr>
                <w:sz w:val="24"/>
                <w:szCs w:val="24"/>
                <w:color w:val="auto"/>
              </w:rPr>
            </w:pPr>
          </w:p>
        </w:tc>
      </w:tr>
      <w:tr>
        <w:trPr>
          <w:trHeight w:val="439"/>
        </w:trPr>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2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Interim Consolidated Balance Sheets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2-3</w:t>
            </w:r>
          </w:p>
        </w:tc>
      </w:tr>
      <w:tr>
        <w:trPr>
          <w:trHeight w:val="216"/>
        </w:trPr>
        <w:tc>
          <w:tcPr>
            <w:tcW w:w="28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Interim Consolidated Statements of Operations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4</w:t>
            </w:r>
          </w:p>
        </w:tc>
      </w:tr>
      <w:tr>
        <w:trPr>
          <w:trHeight w:val="216"/>
        </w:trPr>
        <w:tc>
          <w:tcPr>
            <w:tcW w:w="28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Interim Consolidated Statements of Comprehensive Income (Loss)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5</w:t>
            </w:r>
          </w:p>
        </w:tc>
      </w:tr>
      <w:tr>
        <w:trPr>
          <w:trHeight w:val="216"/>
        </w:trPr>
        <w:tc>
          <w:tcPr>
            <w:tcW w:w="28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Interim Statements of Changes in Shareholders’ Equity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6</w:t>
            </w:r>
          </w:p>
        </w:tc>
      </w:tr>
      <w:tr>
        <w:trPr>
          <w:trHeight w:val="216"/>
        </w:trPr>
        <w:tc>
          <w:tcPr>
            <w:tcW w:w="28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Interim Consolidated Statements of Cash Flows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7-8</w:t>
            </w:r>
          </w:p>
        </w:tc>
      </w:tr>
      <w:tr>
        <w:trPr>
          <w:trHeight w:val="216"/>
        </w:trPr>
        <w:tc>
          <w:tcPr>
            <w:tcW w:w="28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Interim Consolidated 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9-21</w:t>
            </w:r>
          </w:p>
        </w:tc>
      </w:tr>
      <w:tr>
        <w:trPr>
          <w:trHeight w:val="432"/>
        </w:trPr>
        <w:tc>
          <w:tcPr>
            <w:tcW w:w="3980" w:type="dxa"/>
            <w:vAlign w:val="bottom"/>
            <w:tcBorders>
              <w:top w:val="single" w:sz="8" w:color="0000EE"/>
            </w:tcBorders>
            <w:gridSpan w:val="4"/>
          </w:tcPr>
          <w:p>
            <w:pPr>
              <w:spacing w:after="0"/>
              <w:rPr>
                <w:sz w:val="24"/>
                <w:szCs w:val="24"/>
                <w:color w:val="auto"/>
              </w:rPr>
            </w:pPr>
          </w:p>
        </w:tc>
        <w:tc>
          <w:tcPr>
            <w:tcW w:w="6140" w:type="dxa"/>
            <w:vAlign w:val="bottom"/>
            <w:tcBorders>
              <w:top w:val="single" w:sz="8" w:color="CCEEFF"/>
            </w:tcBorders>
            <w:gridSpan w:val="3"/>
          </w:tcPr>
          <w:p>
            <w:pPr>
              <w:jc w:val="right"/>
              <w:ind w:right="3750"/>
              <w:spacing w:after="0"/>
              <w:rPr>
                <w:sz w:val="20"/>
                <w:szCs w:val="20"/>
                <w:color w:val="auto"/>
              </w:rPr>
            </w:pPr>
            <w:r>
              <w:rPr>
                <w:rFonts w:ascii="Times New Roman" w:cs="Times New Roman" w:eastAsia="Times New Roman" w:hAnsi="Times New Roman"/>
                <w:sz w:val="18"/>
                <w:szCs w:val="18"/>
                <w:color w:val="auto"/>
              </w:rPr>
              <w:t>- - - - - - - - - - - - -</w:t>
            </w:r>
          </w:p>
        </w:tc>
        <w:tc>
          <w:tcPr>
            <w:tcW w:w="1120" w:type="dxa"/>
            <w:vAlign w:val="bottom"/>
            <w:tcBorders>
              <w:top w:val="single" w:sz="8" w:color="CCEEFF"/>
            </w:tcBorders>
          </w:tcPr>
          <w:p>
            <w:pPr>
              <w:spacing w:after="0"/>
              <w:rPr>
                <w:sz w:val="24"/>
                <w:szCs w:val="24"/>
                <w:color w:val="auto"/>
              </w:rPr>
            </w:pPr>
          </w:p>
        </w:tc>
      </w:tr>
      <w:tr>
        <w:trPr>
          <w:trHeight w:val="655"/>
        </w:trPr>
        <w:tc>
          <w:tcPr>
            <w:tcW w:w="10120" w:type="dxa"/>
            <w:vAlign w:val="bottom"/>
            <w:tcBorders>
              <w:bottom w:val="single" w:sz="8" w:color="auto"/>
            </w:tcBorders>
            <w:gridSpan w:val="7"/>
          </w:tcPr>
          <w:p>
            <w:pPr>
              <w:jc w:val="right"/>
              <w:ind w:right="437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gridSpan w:val="2"/>
          </w:tcPr>
          <w:p>
            <w:pPr>
              <w:spacing w:after="0"/>
              <w:rPr>
                <w:sz w:val="20"/>
                <w:szCs w:val="20"/>
                <w:color w:val="auto"/>
              </w:rPr>
            </w:pPr>
          </w:p>
        </w:tc>
      </w:tr>
      <w:tr>
        <w:trPr>
          <w:trHeight w:val="4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196,611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611,551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bank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260,063</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9,168</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21,726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28,116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60,473</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49,797</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89,580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63,017</w:t>
            </w:r>
          </w:p>
        </w:tc>
      </w:tr>
      <w:tr>
        <w:trPr>
          <w:trHeight w:val="23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accounts receivable and prepaid expenses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13,465</w:t>
            </w:r>
          </w:p>
        </w:tc>
        <w:tc>
          <w:tcPr>
            <w:tcW w:w="18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13,694</w:t>
            </w: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75"/>
        </w:trPr>
        <w:tc>
          <w:tcPr>
            <w:tcW w:w="86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5"/>
                <w:szCs w:val="15"/>
                <w:color w:val="auto"/>
              </w:rPr>
            </w:pPr>
          </w:p>
        </w:tc>
        <w:tc>
          <w:tcPr>
            <w:tcW w:w="122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641,918</w:t>
            </w:r>
          </w:p>
        </w:tc>
        <w:tc>
          <w:tcPr>
            <w:tcW w:w="180" w:type="dxa"/>
            <w:vAlign w:val="bottom"/>
          </w:tcPr>
          <w:p>
            <w:pPr>
              <w:spacing w:after="0"/>
              <w:rPr>
                <w:sz w:val="15"/>
                <w:szCs w:val="15"/>
                <w:color w:val="auto"/>
              </w:rPr>
            </w:pPr>
          </w:p>
        </w:tc>
        <w:tc>
          <w:tcPr>
            <w:tcW w:w="96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8"/>
                <w:szCs w:val="18"/>
                <w:color w:val="auto"/>
              </w:rPr>
              <w:t>775,343</w:t>
            </w:r>
          </w:p>
        </w:tc>
        <w:tc>
          <w:tcPr>
            <w:tcW w:w="80" w:type="dxa"/>
            <w:vAlign w:val="bottom"/>
          </w:tcPr>
          <w:p>
            <w:pPr>
              <w:spacing w:after="0"/>
              <w:rPr>
                <w:sz w:val="15"/>
                <w:szCs w:val="15"/>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226,173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149,269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2,531</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pay fund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14,153</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9,339</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53,189</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45,046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28,658</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25,155</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11,271</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10,063</w:t>
            </w: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29,164</w:t>
            </w:r>
          </w:p>
        </w:tc>
        <w:tc>
          <w:tcPr>
            <w:tcW w:w="18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25,447</w:t>
            </w: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75"/>
        </w:trPr>
        <w:tc>
          <w:tcPr>
            <w:tcW w:w="86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Total long-term assets</w:t>
            </w:r>
          </w:p>
        </w:tc>
        <w:tc>
          <w:tcPr>
            <w:tcW w:w="120" w:type="dxa"/>
            <w:vAlign w:val="bottom"/>
          </w:tcPr>
          <w:p>
            <w:pPr>
              <w:spacing w:after="0"/>
              <w:rPr>
                <w:sz w:val="15"/>
                <w:szCs w:val="15"/>
                <w:color w:val="auto"/>
              </w:rPr>
            </w:pPr>
          </w:p>
        </w:tc>
        <w:tc>
          <w:tcPr>
            <w:tcW w:w="122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365,462</w:t>
            </w:r>
          </w:p>
        </w:tc>
        <w:tc>
          <w:tcPr>
            <w:tcW w:w="180" w:type="dxa"/>
            <w:vAlign w:val="bottom"/>
          </w:tcPr>
          <w:p>
            <w:pPr>
              <w:spacing w:after="0"/>
              <w:rPr>
                <w:sz w:val="15"/>
                <w:szCs w:val="15"/>
                <w:color w:val="auto"/>
              </w:rPr>
            </w:pPr>
          </w:p>
        </w:tc>
        <w:tc>
          <w:tcPr>
            <w:tcW w:w="96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8"/>
                <w:szCs w:val="18"/>
                <w:color w:val="auto"/>
              </w:rPr>
              <w:t>265,532</w:t>
            </w:r>
          </w:p>
        </w:tc>
        <w:tc>
          <w:tcPr>
            <w:tcW w:w="80" w:type="dxa"/>
            <w:vAlign w:val="bottom"/>
          </w:tcPr>
          <w:p>
            <w:pPr>
              <w:spacing w:after="0"/>
              <w:rPr>
                <w:sz w:val="15"/>
                <w:szCs w:val="15"/>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1,007,380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1,040,875</w:t>
            </w:r>
          </w:p>
        </w:tc>
        <w:tc>
          <w:tcPr>
            <w:tcW w:w="80" w:type="dxa"/>
            <w:vAlign w:val="bottom"/>
          </w:tcPr>
          <w:p>
            <w:pPr>
              <w:spacing w:after="0"/>
              <w:rPr>
                <w:sz w:val="22"/>
                <w:szCs w:val="22"/>
                <w:color w:val="auto"/>
              </w:rPr>
            </w:pPr>
          </w:p>
        </w:tc>
      </w:tr>
      <w:tr>
        <w:trPr>
          <w:trHeight w:val="20"/>
        </w:trPr>
        <w:tc>
          <w:tcPr>
            <w:tcW w:w="3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BALANCE SHEETS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46,448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15,364</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22,482</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and advances from customers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5,071</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21,046</w:t>
            </w: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17,287</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75,282</w:t>
            </w: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96,676</w:t>
            </w:r>
          </w:p>
        </w:tc>
        <w:tc>
          <w:tcPr>
            <w:tcW w:w="0" w:type="dxa"/>
            <w:vAlign w:val="bottom"/>
          </w:tcPr>
          <w:p>
            <w:pPr>
              <w:spacing w:after="0"/>
              <w:rPr>
                <w:sz w:val="1"/>
                <w:szCs w:val="1"/>
                <w:color w:val="auto"/>
              </w:rPr>
            </w:pPr>
          </w:p>
        </w:tc>
      </w:tr>
      <w:tr>
        <w:trPr>
          <w:trHeight w:val="216"/>
        </w:trPr>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severance pay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22,533</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21,900</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8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1,932</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Pr>
          <w:p>
            <w:pPr>
              <w:spacing w:after="0"/>
              <w:rPr>
                <w:sz w:val="15"/>
                <w:szCs w:val="15"/>
                <w:color w:val="auto"/>
              </w:rPr>
            </w:pPr>
          </w:p>
        </w:tc>
        <w:tc>
          <w:tcPr>
            <w:tcW w:w="122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25,682</w:t>
            </w:r>
          </w:p>
        </w:tc>
        <w:tc>
          <w:tcPr>
            <w:tcW w:w="180" w:type="dxa"/>
            <w:vAlign w:val="bottom"/>
          </w:tcPr>
          <w:p>
            <w:pPr>
              <w:spacing w:after="0"/>
              <w:rPr>
                <w:sz w:val="15"/>
                <w:szCs w:val="15"/>
                <w:color w:val="auto"/>
              </w:rPr>
            </w:pPr>
          </w:p>
        </w:tc>
        <w:tc>
          <w:tcPr>
            <w:tcW w:w="1040" w:type="dxa"/>
            <w:vAlign w:val="bottom"/>
            <w:gridSpan w:val="3"/>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24,646</w:t>
            </w:r>
          </w:p>
        </w:tc>
        <w:tc>
          <w:tcPr>
            <w:tcW w:w="0" w:type="dxa"/>
            <w:vAlign w:val="bottom"/>
          </w:tcPr>
          <w:p>
            <w:pPr>
              <w:spacing w:after="0"/>
              <w:rPr>
                <w:sz w:val="1"/>
                <w:szCs w:val="1"/>
                <w:color w:val="auto"/>
              </w:rPr>
            </w:pPr>
          </w:p>
        </w:tc>
      </w:tr>
      <w:tr>
        <w:trPr>
          <w:trHeight w:val="41"/>
        </w:trPr>
        <w:tc>
          <w:tcPr>
            <w:tcW w:w="160" w:type="dxa"/>
            <w:vAlign w:val="bottom"/>
            <w:tcBorders>
              <w:top w:val="single" w:sz="8" w:color="auto"/>
              <w:bottom w:val="single" w:sz="8" w:color="CCEEFF"/>
            </w:tcBorders>
          </w:tcPr>
          <w:p>
            <w:pPr>
              <w:spacing w:after="0"/>
              <w:rPr>
                <w:sz w:val="3"/>
                <w:szCs w:val="3"/>
                <w:color w:val="auto"/>
              </w:rPr>
            </w:pPr>
          </w:p>
        </w:tc>
        <w:tc>
          <w:tcPr>
            <w:tcW w:w="260" w:type="dxa"/>
            <w:vAlign w:val="bottom"/>
            <w:tcBorders>
              <w:top w:val="single" w:sz="8" w:color="auto"/>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Ordinary shares of NIS 0.01 par value – Authorized: 200,000,000 shares as of June 30, 2022 (unaudited)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Issued and Outstanding: 49,795,690 shares and 49,619,782 shares as of June 30, 2022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(unaudited) and December 31, 2021,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899,006</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875,367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(11,533)</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8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18,809</w:t>
            </w:r>
          </w:p>
        </w:tc>
        <w:tc>
          <w:tcPr>
            <w:tcW w:w="18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43,482</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52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Pr>
          <w:p>
            <w:pPr>
              <w:spacing w:after="0"/>
              <w:rPr>
                <w:sz w:val="15"/>
                <w:szCs w:val="15"/>
                <w:color w:val="auto"/>
              </w:rPr>
            </w:pPr>
          </w:p>
        </w:tc>
        <w:tc>
          <w:tcPr>
            <w:tcW w:w="122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906,416</w:t>
            </w:r>
          </w:p>
        </w:tc>
        <w:tc>
          <w:tcPr>
            <w:tcW w:w="180" w:type="dxa"/>
            <w:vAlign w:val="bottom"/>
          </w:tcPr>
          <w:p>
            <w:pPr>
              <w:spacing w:after="0"/>
              <w:rPr>
                <w:sz w:val="15"/>
                <w:szCs w:val="15"/>
                <w:color w:val="auto"/>
              </w:rPr>
            </w:pPr>
          </w:p>
        </w:tc>
        <w:tc>
          <w:tcPr>
            <w:tcW w:w="96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8"/>
                <w:szCs w:val="18"/>
                <w:color w:val="auto"/>
              </w:rPr>
              <w:t>919,553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60" w:type="dxa"/>
            <w:vAlign w:val="bottom"/>
            <w:tcBorders>
              <w:bottom w:val="single" w:sz="8" w:color="CCEEFF"/>
            </w:tcBorders>
          </w:tcPr>
          <w:p>
            <w:pPr>
              <w:spacing w:after="0"/>
              <w:rPr>
                <w:sz w:val="3"/>
                <w:szCs w:val="3"/>
                <w:color w:val="auto"/>
              </w:rPr>
            </w:pPr>
          </w:p>
        </w:tc>
        <w:tc>
          <w:tcPr>
            <w:tcW w:w="260" w:type="dxa"/>
            <w:vAlign w:val="bottom"/>
            <w:tcBorders>
              <w:top w:val="single" w:sz="8" w:color="auto"/>
              <w:bottom w:val="single" w:sz="8" w:color="CCEEFF"/>
            </w:tcBorders>
          </w:tcPr>
          <w:p>
            <w:pPr>
              <w:spacing w:after="0"/>
              <w:rPr>
                <w:sz w:val="3"/>
                <w:szCs w:val="3"/>
                <w:color w:val="auto"/>
              </w:rPr>
            </w:pPr>
          </w:p>
        </w:tc>
        <w:tc>
          <w:tcPr>
            <w:tcW w:w="160" w:type="dxa"/>
            <w:vAlign w:val="bottom"/>
            <w:tcBorders>
              <w:top w:val="single" w:sz="8" w:color="auto"/>
              <w:bottom w:val="single" w:sz="8" w:color="CCEEFF"/>
            </w:tcBorders>
          </w:tcPr>
          <w:p>
            <w:pPr>
              <w:spacing w:after="0"/>
              <w:rPr>
                <w:sz w:val="3"/>
                <w:szCs w:val="3"/>
                <w:color w:val="auto"/>
              </w:rPr>
            </w:pPr>
          </w:p>
        </w:tc>
        <w:tc>
          <w:tcPr>
            <w:tcW w:w="8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8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1,007,380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1,040,875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120,080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130,122</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21,349</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17,667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64,904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62,429</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22,591</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87,495</w:t>
            </w:r>
          </w:p>
        </w:tc>
        <w:tc>
          <w:tcPr>
            <w:tcW w:w="2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78,797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53,934</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68,992</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28,091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Seles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37,631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24,879</w:t>
            </w: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20,016</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15,689</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85,738</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59,811</w:t>
            </w:r>
          </w:p>
        </w:tc>
        <w:tc>
          <w:tcPr>
            <w:tcW w:w="0" w:type="dxa"/>
            <w:vAlign w:val="bottom"/>
          </w:tcPr>
          <w:p>
            <w:pPr>
              <w:spacing w:after="0"/>
              <w:rPr>
                <w:sz w:val="1"/>
                <w:szCs w:val="1"/>
                <w:color w:val="auto"/>
              </w:rPr>
            </w:pPr>
          </w:p>
        </w:tc>
      </w:tr>
      <w:tr>
        <w:trPr>
          <w:trHeight w:val="216"/>
        </w:trPr>
        <w:tc>
          <w:tcPr>
            <w:tcW w:w="380" w:type="dxa"/>
            <w:vAlign w:val="bottom"/>
            <w:tcBorders>
              <w:top w:val="single" w:sz="8" w:color="auto"/>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(31,804)</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9,181</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6,123</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 (tax benefit)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(25,681)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11,597</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on income (tax benefit)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(1,008)</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(24,673</w:t>
            </w:r>
            <w:r>
              <w:rPr>
                <w:rFonts w:ascii="Times New Roman" w:cs="Times New Roman" w:eastAsia="Times New Roman" w:hAnsi="Times New Roman"/>
                <w:sz w:val="29"/>
                <w:szCs w:val="29"/>
                <w:color w:val="auto"/>
                <w:vertAlign w:val="superscript"/>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10,701</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(losses)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(0.50</w:t>
            </w:r>
            <w:r>
              <w:rPr>
                <w:rFonts w:ascii="Times New Roman" w:cs="Times New Roman" w:eastAsia="Times New Roman" w:hAnsi="Times New Roman"/>
                <w:sz w:val="29"/>
                <w:szCs w:val="29"/>
                <w:color w:val="auto"/>
                <w:vertAlign w:val="superscript"/>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(losses)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(0.50</w:t>
            </w:r>
            <w:r>
              <w:rPr>
                <w:rFonts w:ascii="Times New Roman" w:cs="Times New Roman" w:eastAsia="Times New Roman" w:hAnsi="Times New Roman"/>
                <w:sz w:val="29"/>
                <w:szCs w:val="29"/>
                <w:color w:val="auto"/>
                <w:vertAlign w:val="superscript"/>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2"/>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2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(24,673)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gains (losses) on marketable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arising during the period, net of tax benefit of $(3,077) and $(60) respectively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(9,928)</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reclassified into net income (loss), net of tax</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(9,918)</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gains (losses) on cash flow hedges: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losses arising during the period, net of tax benefit of $(244) and $(2), respectively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(3,016)</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reclassified into net income, net of tax</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(2,186)</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(12,104)</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(36,777</w:t>
            </w:r>
            <w:r>
              <w:rPr>
                <w:rFonts w:ascii="Times New Roman" w:cs="Times New Roman" w:eastAsia="Times New Roman" w:hAnsi="Times New Roman"/>
                <w:sz w:val="29"/>
                <w:szCs w:val="29"/>
                <w:color w:val="auto"/>
                <w:vertAlign w:val="superscript"/>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9,989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STATEMENTS OF CHANGES IN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6"/>
                <w:szCs w:val="16"/>
                <w:color w:val="auto"/>
              </w:rPr>
            </w:pPr>
          </w:p>
        </w:tc>
        <w:tc>
          <w:tcPr>
            <w:tcW w:w="1120" w:type="dxa"/>
            <w:vAlign w:val="bottom"/>
            <w:gridSpan w:val="2"/>
          </w:tcPr>
          <w:p>
            <w:pPr>
              <w:jc w:val="center"/>
              <w:ind w:right="361"/>
              <w:spacing w:after="0" w:line="194"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45"/>
        </w:trPr>
        <w:tc>
          <w:tcPr>
            <w:tcW w:w="3280" w:type="dxa"/>
            <w:vAlign w:val="bottom"/>
          </w:tcPr>
          <w:p>
            <w:pPr>
              <w:spacing w:after="0"/>
              <w:rPr>
                <w:sz w:val="21"/>
                <w:szCs w:val="21"/>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6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49,619,782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875,367</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43,482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919,553</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options and vesting of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175,908</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10,779</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customers</w:t>
            </w:r>
          </w:p>
        </w:tc>
        <w:tc>
          <w:tcPr>
            <w:tcW w:w="1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12,521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(12,104)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(12,104)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(24,673)</w:t>
            </w:r>
          </w:p>
        </w:tc>
      </w:tr>
      <w:tr>
        <w:trPr>
          <w:trHeight w:val="250"/>
        </w:trPr>
        <w:tc>
          <w:tcPr>
            <w:tcW w:w="3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49,795,690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899,006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2"/>
              </w:rPr>
              <w:t>18,809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53"/>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6"/>
                <w:szCs w:val="16"/>
                <w:color w:val="auto"/>
              </w:rPr>
            </w:pPr>
          </w:p>
        </w:tc>
        <w:tc>
          <w:tcPr>
            <w:tcW w:w="1120" w:type="dxa"/>
            <w:vAlign w:val="bottom"/>
            <w:gridSpan w:val="2"/>
          </w:tcPr>
          <w:p>
            <w:pPr>
              <w:jc w:val="center"/>
              <w:ind w:right="361"/>
              <w:spacing w:after="0" w:line="194"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45"/>
        </w:trPr>
        <w:tc>
          <w:tcPr>
            <w:tcW w:w="3280" w:type="dxa"/>
            <w:vAlign w:val="bottom"/>
          </w:tcPr>
          <w:p>
            <w:pPr>
              <w:spacing w:after="0"/>
              <w:rPr>
                <w:sz w:val="21"/>
                <w:szCs w:val="21"/>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6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45,988,613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488,208</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27,955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519,017</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options and vesting of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288,944</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1,754</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6,899</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customers</w:t>
            </w:r>
          </w:p>
        </w:tc>
        <w:tc>
          <w:tcPr>
            <w:tcW w:w="1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10,701</w:t>
            </w:r>
          </w:p>
        </w:tc>
      </w:tr>
      <w:tr>
        <w:trPr>
          <w:trHeight w:val="236"/>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2021</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46,277,557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2"/>
              </w:rPr>
              <w:t>38,656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(24,673)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10,701</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5,902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Fair value of warrants deducted from revenues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12,521</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9,711</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10,779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6,899</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Amortization of premium and accretion of discount on marketable securities,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1,012</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sale and redemption of 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(9,004)</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accounts receivables and 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(1,791)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(23,852)</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 right-of-use assets and liabilities,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(2,857)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(2,416)</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(11,920)</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(6,834)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revenues and advances from customers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(4,114)</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3,440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5,676</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severance pay,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(292)</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Loss from sale and disposal of property plant and Equipment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(9,447)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Investing in equity securities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(354)</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in connection with acquisition, net of cash acquired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(14,654)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Investment in bank deposits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(250,895)</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and redemption of 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1,945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17,422</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50"/>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marketable securities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(103,897)</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(359,958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(44,147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6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340</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related to shares withheld for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37"/>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(342)</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(414,940)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611,551</w:t>
            </w:r>
          </w:p>
        </w:tc>
        <w:tc>
          <w:tcPr>
            <w:tcW w:w="34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125,777</w:t>
            </w:r>
          </w:p>
        </w:tc>
        <w:tc>
          <w:tcPr>
            <w:tcW w:w="0" w:type="dxa"/>
            <w:vAlign w:val="bottom"/>
          </w:tcPr>
          <w:p>
            <w:pPr>
              <w:spacing w:after="0"/>
              <w:rPr>
                <w:sz w:val="1"/>
                <w:szCs w:val="1"/>
                <w:color w:val="auto"/>
              </w:rPr>
            </w:pPr>
          </w:p>
        </w:tc>
      </w:tr>
      <w:tr>
        <w:trPr>
          <w:trHeight w:val="27"/>
        </w:trPr>
        <w:tc>
          <w:tcPr>
            <w:tcW w:w="868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3"/>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196,611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92,568</w:t>
            </w:r>
          </w:p>
        </w:tc>
        <w:tc>
          <w:tcPr>
            <w:tcW w:w="0" w:type="dxa"/>
            <w:vAlign w:val="bottom"/>
          </w:tcPr>
          <w:p>
            <w:pPr>
              <w:spacing w:after="0"/>
              <w:rPr>
                <w:sz w:val="1"/>
                <w:szCs w:val="1"/>
                <w:color w:val="auto"/>
              </w:rPr>
            </w:pPr>
          </w:p>
        </w:tc>
      </w:tr>
      <w:tr>
        <w:trPr>
          <w:trHeight w:val="21"/>
        </w:trPr>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1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spacing w:after="0"/>
              <w:rPr>
                <w:sz w:val="20"/>
                <w:szCs w:val="20"/>
                <w:color w:val="auto"/>
              </w:rPr>
            </w:pPr>
          </w:p>
        </w:tc>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 acquired in credit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1"/>
        </w:trPr>
        <w:tc>
          <w:tcPr>
            <w:tcW w:w="51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transferred to be used as property and equipment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2"/>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GENERAL</w:t>
      </w:r>
    </w:p>
    <w:p>
      <w:pPr>
        <w:spacing w:after="0" w:line="229" w:lineRule="exact"/>
        <w:rPr>
          <w:sz w:val="20"/>
          <w:szCs w:val="20"/>
          <w:color w:val="auto"/>
        </w:rPr>
      </w:pPr>
    </w:p>
    <w:p>
      <w:pPr>
        <w:jc w:val="both"/>
        <w:ind w:left="1300" w:hanging="320"/>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value-added services.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established wholly owned subsidiaries in Israel, the United States, Germany, Hong Kong, Japan and the United Kingdom. The Company’s subsidiaries are engaged primarily in services, sales, and marketing, except for the Israeli subsidiary which is engaged primarily in research and development, and manufacturing.</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depends on four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9"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interim consolidated financial statements:</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U.S. generally accepted accounting principles (“U.S. GAAP”) for interim financial information. In the opinion of management, the unaudited interim consolidated financial statements include all adjustments of a normal recurring nature necessary for a fair presentation of the Company’s consolidated financial statements.</w:t>
      </w:r>
    </w:p>
    <w:p>
      <w:pPr>
        <w:spacing w:after="0" w:line="179"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sheet at December 31, 2021 has been derived from the audited consolidated financial statements of the Company at that date but does not include all information and footnotes required by U.S. GAAP for complete financial statements.</w:t>
      </w:r>
    </w:p>
    <w:p>
      <w:pPr>
        <w:spacing w:after="0" w:line="161"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unaudited interim consolidated financial statements should be read in conjunction with the audited consolidated financial statements and accompanying notes for the year ended December 31, 2021, included in the Company’s Annual Report on Form 20-F filed with the U.S. Securities and Exchange Commission (“SEC”) on March 30, 2022. The significant accounting policies applied in the Company’s audited 2021 consolidated financial statements and notes thereto included in the Annual Report are applied consistently in these unaudited interim consolidated financial statements.</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unaudited interim consolidated financial statements in conformity with U.S. GAAP requires management to make estimates, judgments and assumptions that affect the reported amounts of assets and liabilities and the disclosure of contingent assets and liabilities at the date of the interim consolidated financial statements and the reported amounts of revenues and expenses during the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 (Cont.)</w:t>
      </w:r>
    </w:p>
    <w:p>
      <w:pPr>
        <w:spacing w:after="0" w:line="229"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Company’s management believes that the estimates, judgments and assumptions used are reasonable based upon information available at the time they are made. Actual results could differ from those estimates.</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On an ongoing basis, the Company’s management evaluates estimates, including those related to intangible assets and goodwill, tax assets and liabilities, fair values of stock-based awards, inventory write-offs, warranty provision, allowance for credit losses and provision for rebates and returns. Such estimates are based on historical experience and on various other assumptions that are believed to be reasonable, the results of which form the basis for making judgments about the carrying values of assets and liabilities.</w:t>
      </w:r>
    </w:p>
    <w:p>
      <w:pPr>
        <w:spacing w:after="0" w:line="180"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Computing Arrangement Implementation Costs:</w:t>
      </w:r>
    </w:p>
    <w:p>
      <w:pPr>
        <w:spacing w:after="0" w:line="225"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capitalized certain implementation costs incurred in a cloud computing arrangement during the application development stage pursuant to Accounting Standards Codification, or ASC, 350-40, Internal Use Software. These costs are amortized over the term of the hosting arrangement on a straight-line basis and are included within operating expenses in the consolidated statements of operations. Costs incurred in the preliminary stages of development are analogous to research and development activities and are expensed as incurred. These capitalized costs are included in deposits and other long-term assets in the consolidated balance sheets. As of June 30, 2022 the Company capitalized $1,262 of qualifying cloud computing arrangement implementation costs. As of the balance sheet date, the software is not ready for its intended use with all of its main features, and thus amortization of the capitalized implementation costs has not yet begun.</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April 5, 2022, the Company, through its wholly owned subsidiary Kornit Digital Technologies, acquired all of the outstanding shares of Tesoma GMBH, a German manufacturer of continuous dryers and oven systems. Under the related acquisition agreement, the total consideration was $15,443. In addition, the Company incurred acquisition-related costs in a total amount of $512. Acquisition-related costs include legal, accounting, consulting fees and other external costs directly related to the acquisition. These transaction costs were included in general and administrative expenses in the consolidated statements of operations.</w:t>
      </w:r>
    </w:p>
    <w:p>
      <w:pPr>
        <w:spacing w:after="0" w:line="183"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Tesoma generates revenues from several streams such as: industry solutions, glass, textile, service, graphics and sheet metal working. Tesoma focuses on several markets, including textile, mechanical engineering and automotive.</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believes this acquisition will strategically accelerate its value proposition for fulfillers in the area of dryers for the textile industry.</w:t>
      </w:r>
    </w:p>
    <w:p>
      <w:pPr>
        <w:spacing w:after="0" w:line="16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Tesoma acquisition was accounted for as a business combination in accordance with Accounting Standards Codification (“ASC”) 805 “Business Combinations”. ASC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 Acquisition related costs are expensed to the statement of operations in the period incurred.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BUSINESS COMBINATIONS (Cont.)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Under business combination accounting principles, the total purchase price was allocated to Tesoma’s net tangible and intangible assets based on their estimated fair values as set forth below. The excess of the purchase price over the net tangible and identifiable intangible assets was recorded as goodwill.</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preliminary fair value estimates for the intangible assets acquired as part of the Tesoma acquisition were based upon preliminary calculations and valuations, and the estimates and assumptions for this acquisition are subject to change as the Company obtains additional information during the respective measurement period to the information that existed as of the acquisition date (up to one year from the acquisition date). The following table summarizes the purchase price allocation of Tesoma Acquisition: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 (years)</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Tangible assets (liabilities):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w:t>
            </w:r>
          </w:p>
        </w:tc>
        <w:tc>
          <w:tcPr>
            <w:tcW w:w="122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and other receivables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1,672</w:t>
            </w:r>
          </w:p>
        </w:tc>
        <w:tc>
          <w:tcPr>
            <w:tcW w:w="122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3,991</w:t>
            </w:r>
          </w:p>
        </w:tc>
        <w:tc>
          <w:tcPr>
            <w:tcW w:w="122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6,194</w:t>
            </w:r>
          </w:p>
        </w:tc>
        <w:tc>
          <w:tcPr>
            <w:tcW w:w="122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122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 from customers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(1,726)</w:t>
            </w:r>
          </w:p>
        </w:tc>
        <w:tc>
          <w:tcPr>
            <w:tcW w:w="122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w:t>
            </w:r>
          </w:p>
        </w:tc>
        <w:tc>
          <w:tcPr>
            <w:tcW w:w="122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Provisions and other liabilities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w:t>
            </w:r>
          </w:p>
        </w:tc>
        <w:tc>
          <w:tcPr>
            <w:tcW w:w="122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22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assets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9,225</w:t>
            </w:r>
          </w:p>
        </w:tc>
        <w:tc>
          <w:tcPr>
            <w:tcW w:w="2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Backlog</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37"/>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Infinite</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15,443</w:t>
            </w:r>
          </w:p>
        </w:tc>
        <w:tc>
          <w:tcPr>
            <w:tcW w:w="1220" w:type="dxa"/>
            <w:vAlign w:val="bottom"/>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expected synergies arising from technology integration and expanded product availability to the Company’s existing and new customers. Goodwill is not deductible for income tax purpose.</w:t>
      </w:r>
    </w:p>
    <w:p>
      <w:pPr>
        <w:spacing w:after="0" w:line="162"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Pro forma results of operations related to this acquisition have not been prepared because they are not material to the Company’s unaudited interim consolidated statements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tables summarize our marketable securities by significant investing categories as of the balance sheet dates indicated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241"/>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gain</w:t>
            </w:r>
          </w:p>
        </w:tc>
        <w:tc>
          <w:tcPr>
            <w:tcW w:w="120" w:type="dxa"/>
            <w:vAlign w:val="bottom"/>
          </w:tcPr>
          <w:p>
            <w:pPr>
              <w:spacing w:after="0"/>
              <w:rPr>
                <w:sz w:val="21"/>
                <w:szCs w:val="21"/>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40" w:type="dxa"/>
            <w:vAlign w:val="bottom"/>
          </w:tcPr>
          <w:p>
            <w:pPr>
              <w:spacing w:after="0"/>
              <w:rPr>
                <w:sz w:val="21"/>
                <w:szCs w:val="21"/>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Matures within one year:</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debentures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17,787</w:t>
            </w:r>
          </w:p>
        </w:tc>
      </w:tr>
      <w:tr>
        <w:trPr>
          <w:trHeight w:val="237"/>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debentures</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3,939</w:t>
            </w:r>
          </w:p>
        </w:tc>
        <w:tc>
          <w:tcPr>
            <w:tcW w:w="80" w:type="dxa"/>
            <w:vAlign w:val="bottom"/>
          </w:tcPr>
          <w:p>
            <w:pPr>
              <w:spacing w:after="0"/>
              <w:rPr>
                <w:sz w:val="20"/>
                <w:szCs w:val="20"/>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Matures after one year through three years: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debentures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227,505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(12,842)</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214,672</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debentures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12,078</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11,501</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239,583</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(13,419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226,173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261,458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(13,575)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247,899</w:t>
            </w:r>
          </w:p>
        </w:tc>
        <w:tc>
          <w:tcPr>
            <w:tcW w:w="80" w:type="dxa"/>
            <w:vAlign w:val="bottom"/>
          </w:tcPr>
          <w:p>
            <w:pPr>
              <w:spacing w:after="0"/>
              <w:rPr>
                <w:sz w:val="22"/>
                <w:szCs w:val="22"/>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241"/>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gain</w:t>
            </w:r>
          </w:p>
        </w:tc>
        <w:tc>
          <w:tcPr>
            <w:tcW w:w="120" w:type="dxa"/>
            <w:vAlign w:val="bottom"/>
          </w:tcPr>
          <w:p>
            <w:pPr>
              <w:spacing w:after="0"/>
              <w:rPr>
                <w:sz w:val="21"/>
                <w:szCs w:val="21"/>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40" w:type="dxa"/>
            <w:vAlign w:val="bottom"/>
          </w:tcPr>
          <w:p>
            <w:pPr>
              <w:spacing w:after="0"/>
              <w:rPr>
                <w:sz w:val="21"/>
                <w:szCs w:val="21"/>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Matures within one year:</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debentures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25,600</w:t>
            </w:r>
          </w:p>
        </w:tc>
      </w:tr>
      <w:tr>
        <w:trPr>
          <w:trHeight w:val="237"/>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debentures</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2,516</w:t>
            </w:r>
          </w:p>
        </w:tc>
        <w:tc>
          <w:tcPr>
            <w:tcW w:w="80" w:type="dxa"/>
            <w:vAlign w:val="bottom"/>
          </w:tcPr>
          <w:p>
            <w:pPr>
              <w:spacing w:after="0"/>
              <w:rPr>
                <w:sz w:val="20"/>
                <w:szCs w:val="20"/>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Matures after one year through three years: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debentures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140,364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(1,090)</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139,709</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debentures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9,648</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9,560</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150,364</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149,269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177,949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(1,189</w:t>
            </w:r>
            <w:r>
              <w:rPr>
                <w:rFonts w:ascii="Times New Roman" w:cs="Times New Roman" w:eastAsia="Times New Roman" w:hAnsi="Times New Roman"/>
                <w:sz w:val="29"/>
                <w:szCs w:val="29"/>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177,385</w:t>
            </w:r>
          </w:p>
        </w:tc>
        <w:tc>
          <w:tcPr>
            <w:tcW w:w="80" w:type="dxa"/>
            <w:vAlign w:val="bottom"/>
          </w:tcPr>
          <w:p>
            <w:pPr>
              <w:spacing w:after="0"/>
              <w:rPr>
                <w:sz w:val="22"/>
                <w:szCs w:val="22"/>
                <w:color w:val="auto"/>
              </w:rPr>
            </w:pP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As of June 30, 2022, investments with continuous unrealized losses for less than 12 months, and 12 months or greater, and their related fair values,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0"/>
                <w:szCs w:val="20"/>
                <w:color w:val="auto"/>
              </w:rPr>
            </w:pPr>
          </w:p>
        </w:tc>
        <w:tc>
          <w:tcPr>
            <w:tcW w:w="20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20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46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45"/>
        </w:trPr>
        <w:tc>
          <w:tcPr>
            <w:tcW w:w="4620" w:type="dxa"/>
            <w:vAlign w:val="bottom"/>
          </w:tcPr>
          <w:p>
            <w:pPr>
              <w:spacing w:after="0"/>
              <w:rPr>
                <w:sz w:val="21"/>
                <w:szCs w:val="21"/>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1"/>
                <w:szCs w:val="21"/>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6"/>
        </w:trPr>
        <w:tc>
          <w:tcPr>
            <w:tcW w:w="4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debentures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207,128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(1,542)</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227,903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(12,940)</w:t>
            </w: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Government debentures</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7,298</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8,142</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15,440</w:t>
            </w: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214,426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(11,643</w:t>
            </w:r>
            <w:r>
              <w:rPr>
                <w:rFonts w:ascii="Times New Roman" w:cs="Times New Roman" w:eastAsia="Times New Roman" w:hAnsi="Times New Roman"/>
                <w:sz w:val="29"/>
                <w:szCs w:val="29"/>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(1,932</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243,343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(13,575</w:t>
            </w:r>
            <w:r>
              <w:rPr>
                <w:rFonts w:ascii="Times New Roman" w:cs="Times New Roman" w:eastAsia="Times New Roman" w:hAnsi="Times New Roman"/>
                <w:sz w:val="29"/>
                <w:szCs w:val="29"/>
                <w:color w:val="auto"/>
                <w:vertAlign w:val="superscript"/>
              </w:rPr>
              <w:t>)</w:t>
            </w:r>
          </w:p>
        </w:tc>
      </w:tr>
      <w:tr>
        <w:trPr>
          <w:trHeight w:val="21"/>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measures its marketable securities and foreign currency derivative contracts at fair value. Marketable securities and foreign currency derivative contracts are classified within Level II, as the valuation inputs are based on quoted prices and market observable data of similar instruments.</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below table sets forth the Company’s assets and liabilities that were measured at fair value as of June 30, 2022 and December 31, 2021, by level within the fair value hierarchy.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Assets and liabilities are classified in their entirety based on the lowest level of input that is significant to the fair value measurement.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247,899</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247,899</w:t>
            </w:r>
          </w:p>
        </w:tc>
        <w:tc>
          <w:tcPr>
            <w:tcW w:w="80" w:type="dxa"/>
            <w:vAlign w:val="bottom"/>
            <w:shd w:val="clear" w:color="auto" w:fill="CCEEFF"/>
          </w:tcPr>
          <w:p>
            <w:pPr>
              <w:spacing w:after="0"/>
              <w:rPr>
                <w:sz w:val="18"/>
                <w:szCs w:val="18"/>
                <w:color w:val="auto"/>
              </w:rPr>
            </w:pPr>
          </w:p>
        </w:tc>
      </w:tr>
      <w:tr>
        <w:trPr>
          <w:trHeight w:val="237"/>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derivative contracts</w:t>
            </w:r>
          </w:p>
        </w:tc>
        <w:tc>
          <w:tcPr>
            <w:tcW w:w="96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30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96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247,899</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247,899</w:t>
            </w:r>
          </w:p>
        </w:tc>
        <w:tc>
          <w:tcPr>
            <w:tcW w:w="80" w:type="dxa"/>
            <w:vAlign w:val="bottom"/>
          </w:tcPr>
          <w:p>
            <w:pPr>
              <w:spacing w:after="0"/>
              <w:rPr>
                <w:sz w:val="24"/>
                <w:szCs w:val="24"/>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derivative contracts</w:t>
            </w:r>
          </w:p>
        </w:tc>
        <w:tc>
          <w:tcPr>
            <w:tcW w:w="96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2,401</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2,401</w:t>
            </w:r>
          </w:p>
        </w:tc>
        <w:tc>
          <w:tcPr>
            <w:tcW w:w="8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96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2,401</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2,401</w:t>
            </w:r>
          </w:p>
        </w:tc>
        <w:tc>
          <w:tcPr>
            <w:tcW w:w="80" w:type="dxa"/>
            <w:vAlign w:val="bottom"/>
          </w:tcPr>
          <w:p>
            <w:pPr>
              <w:spacing w:after="0"/>
              <w:rPr>
                <w:sz w:val="22"/>
                <w:szCs w:val="22"/>
                <w:color w:val="auto"/>
              </w:rPr>
            </w:pPr>
          </w:p>
        </w:tc>
      </w:tr>
      <w:tr>
        <w:trPr>
          <w:trHeight w:val="20"/>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980" w:type="dxa"/>
            <w:vAlign w:val="bottom"/>
            <w:gridSpan w:val="2"/>
            <w:vMerge w:val="continue"/>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80" w:type="dxa"/>
            <w:vAlign w:val="bottom"/>
            <w:tcBorders>
              <w:top w:val="single" w:sz="8" w:color="auto"/>
            </w:tcBorders>
          </w:tcPr>
          <w:p>
            <w:pPr>
              <w:spacing w:after="0"/>
              <w:rPr>
                <w:sz w:val="4"/>
                <w:szCs w:val="4"/>
                <w:color w:val="auto"/>
              </w:rPr>
            </w:pPr>
          </w:p>
        </w:tc>
        <w:tc>
          <w:tcPr>
            <w:tcW w:w="5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177,385</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177,385</w:t>
            </w: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derivative contracts</w:t>
            </w:r>
          </w:p>
        </w:tc>
        <w:tc>
          <w:tcPr>
            <w:tcW w:w="96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48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177,702</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177,702</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8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42,046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29,857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 (*)</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46,044</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33,160</w:t>
            </w:r>
          </w:p>
        </w:tc>
        <w:tc>
          <w:tcPr>
            <w:tcW w:w="0" w:type="dxa"/>
            <w:vAlign w:val="bottom"/>
          </w:tcPr>
          <w:p>
            <w:pPr>
              <w:spacing w:after="0"/>
              <w:rPr>
                <w:sz w:val="1"/>
                <w:szCs w:val="1"/>
                <w:color w:val="auto"/>
              </w:rPr>
            </w:pPr>
          </w:p>
        </w:tc>
      </w:tr>
      <w:tr>
        <w:trPr>
          <w:trHeight w:val="216"/>
        </w:trPr>
        <w:tc>
          <w:tcPr>
            <w:tcW w:w="480" w:type="dxa"/>
            <w:vAlign w:val="bottom"/>
            <w:tcBorders>
              <w:top w:val="single" w:sz="8" w:color="CCEEFF"/>
            </w:tcBorders>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80" w:type="dxa"/>
            <w:vAlign w:val="bottom"/>
            <w:shd w:val="clear" w:color="auto" w:fill="CCEEFF"/>
          </w:tcPr>
          <w:p>
            <w:pPr>
              <w:spacing w:after="0"/>
              <w:rPr>
                <w:sz w:val="22"/>
                <w:szCs w:val="22"/>
                <w:color w:val="auto"/>
              </w:rPr>
            </w:pPr>
          </w:p>
        </w:tc>
        <w:tc>
          <w:tcPr>
            <w:tcW w:w="5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89,580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63,017</w:t>
            </w:r>
          </w:p>
        </w:tc>
        <w:tc>
          <w:tcPr>
            <w:tcW w:w="0" w:type="dxa"/>
            <w:vAlign w:val="bottom"/>
          </w:tcPr>
          <w:p>
            <w:pPr>
              <w:spacing w:after="0"/>
              <w:rPr>
                <w:sz w:val="1"/>
                <w:szCs w:val="1"/>
                <w:color w:val="auto"/>
              </w:rPr>
            </w:pPr>
          </w:p>
        </w:tc>
      </w:tr>
      <w:tr>
        <w:trPr>
          <w:trHeight w:val="21"/>
        </w:trPr>
        <w:tc>
          <w:tcPr>
            <w:tcW w:w="4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right="2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of $556 and $654 as of June 30, 2022 and December 31, 2021, respectively, with respect to inventory delivered to customers for which revenue was not yet recognized.</w:t>
      </w:r>
    </w:p>
    <w:p>
      <w:pPr>
        <w:spacing w:after="0" w:line="2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Inventory write-offs amounted to $2,472 and $2,162 during the six months ended June 30, 2022 and 2021,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DERIVATIVES AND HEDGING ACTIVITIES</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The Company follows FASB ASC No. 815, “Derivatives and Hedging,” which requires companies to recognize all of their derivative instruments as either assets or liabilities at fair value in the statement of financial position. Accounting for changes in fair value (i.e., gains or losses) of a derivative instrument depends on whether it has been designated and qualifies as part of a hedging transaction and further, on the type of hedging transaction. For those derivative instruments that are designated and qualify as hedging instruments, a company must designate the hedging instrument, based upon the exposure being hedged, as a fair value hedge, cash flow hedge, or a hedge of a net investment in a foreign operation. Due to the Company’s global operations, it is exposed to foreign currency exchange rate fluctuations in the normal course of its business. The Company uses derivative financial instruments, specifically foreign currency forward and option contracts (“Hedging Contracts”), to manage exposure to foreign currency risks, by hedging a portion of the Company’s forecasted expenses denominated in New Israeli Shekels expected to be incurred within a year. The effect of exchange rate changes on foreign currency hedging contracts is expected to partially offset the effect of exchange rate changes on the underlying hedged item.</w:t>
      </w:r>
    </w:p>
    <w:p>
      <w:pPr>
        <w:spacing w:after="0" w:line="194"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a cash flow hedge (i.e., hedging the exposure to variability in expected future cash flows that is attributable to a particular risk), the gain or loss on the derivative instrument is reported as a component of other comprehensive income (loss) and reclassified into earnings in the same period or periods during which the hedged transaction affects earnings. Gains or losses from contracts that are not designated as hedging instruments are recognized in “financial income, net”.</w:t>
      </w:r>
    </w:p>
    <w:p>
      <w:pPr>
        <w:spacing w:after="0" w:line="180"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outstanding</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notional amounts for hedged items, when transactions are designated as hedge accounting: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 fair value of the Company’s outstanding forward and option contracts amounted to $2,401, which was included in “Other payables and accrued expenses,” and $317, which was included within “Other accounts receivable and prepaid expenses,” in the balance sheets.</w:t>
      </w:r>
    </w:p>
    <w:p>
      <w:pPr>
        <w:spacing w:after="0" w:line="176"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 gains and losses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2022 and 2021, the company recorded pretax expenses of $365 and income of $7, respectively, from derivatives designated in cash flow hedging arrangements.</w:t>
      </w:r>
    </w:p>
    <w:p>
      <w:pPr>
        <w:spacing w:after="0" w:line="161"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outstanding derivatives designated as cash flow hedging instruments, and their related gains and losses, are reported in the statement of cash flows as cash flows from operating activities. The maximum length of time over which the Company hedges its exposure to the variability in future cash flows for forecasted transactions is less than 12 months. The estimated net amount of the existing unrealized loss that is reported in accumulated other comprehensive income (loss) at the reporting date and expected to be reclassified into earnings within the next 12 months is $1,893.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229"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2022, the Company has a line of credit with an Israeli bank for total borrowing of 6 million ILS. This line of credit is unsecured and available provided that the Company maintains a 30% ratio of total tangible shareholders’ equity to total tangible assets and that the total credit use will be less than 70% of the Company’s and its subsidiaries’ receivables. Interest rates under this credit line varied from (i) 0.3% to (ii) Prime (Israel Interbank Offered Rate) + 0.7% (2.95% as of June 30, 2022).</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2022, the Company has not utilized its line of credit.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commitments: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2022, the Company has purchase commitments for goods and services from vendors in an amount of approximately $113 million. These commitments are due primarily within one year.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is involved in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Commitments:</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Under the Company’s agreement for purchasing print heads and other products, which was amended in 2016, the Company is obligated to pay 2.5% royalties on its annual ink revenues, up to an annual maximum amount of $625.</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Royalty expenses for the six months ended June 30, 2022 and 2021 were $312 and $312, respectively.</w:t>
      </w:r>
    </w:p>
    <w:p>
      <w:pPr>
        <w:spacing w:after="0" w:line="225"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2022, the Company provided eight bank guarantees in a total amount of $2,809 for its rented facilities.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EARNINGS (LOSSES) PER SHARE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earnings (losses) per share:</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4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Numerator for basic and diluted net earnings (losses) per share: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Denominator for basic earnings (losses)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409"/>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(24,673</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320"/>
        <w:spacing w:after="0"/>
        <w:tabs>
          <w:tab w:leader="none" w:pos="1620" w:val="left"/>
        </w:tabs>
        <w:rPr>
          <w:sz w:val="20"/>
          <w:szCs w:val="20"/>
          <w:color w:val="auto"/>
        </w:rPr>
      </w:pPr>
      <w:r>
        <w:rPr>
          <w:rFonts w:ascii="Times New Roman" w:cs="Times New Roman" w:eastAsia="Times New Roman" w:hAnsi="Times New Roman"/>
          <w:sz w:val="18"/>
          <w:szCs w:val="18"/>
          <w:color w:val="auto"/>
        </w:rPr>
        <w:t>49,707,782</w:t>
      </w:r>
      <w:r>
        <w:rPr>
          <w:sz w:val="20"/>
          <w:szCs w:val="20"/>
          <w:color w:val="auto"/>
        </w:rPr>
        <w:tab/>
      </w:r>
      <w:r>
        <w:rPr>
          <w:rFonts w:ascii="Times New Roman" w:cs="Times New Roman" w:eastAsia="Times New Roman" w:hAnsi="Times New Roman"/>
          <w:sz w:val="18"/>
          <w:szCs w:val="18"/>
          <w:color w:val="auto"/>
        </w:rPr>
        <w:t>46,119,416</w:t>
      </w:r>
    </w:p>
    <w:p>
      <w:pPr>
        <w:spacing w:after="0" w:line="631"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warrants and restricted share units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1,590,013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 for diluted earnings (losses) per share</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49,707,782</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47,709,429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(losses)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(0.50</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(losses)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(0.50</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total number of shares related to the outstanding options and RSUs excluded from the calculation of diluted earnings per share due to their anti-dilutive effect was 47,663 for the six months ended June 30, 2021. During the six months ended June 30, 2022, the Company was in a loss position and therefore all of its outstanding securities were antidilutive.</w:t>
      </w:r>
    </w:p>
    <w:p>
      <w:pPr>
        <w:spacing w:after="0" w:line="172" w:lineRule="exact"/>
        <w:rPr>
          <w:sz w:val="20"/>
          <w:szCs w:val="20"/>
          <w:color w:val="auto"/>
        </w:rPr>
      </w:pPr>
    </w:p>
    <w:p>
      <w:pPr>
        <w:jc w:val="center"/>
        <w:ind w:right="7940"/>
        <w:spacing w:after="0"/>
        <w:rPr>
          <w:sz w:val="20"/>
          <w:szCs w:val="20"/>
          <w:color w:val="auto"/>
        </w:rPr>
      </w:pPr>
      <w:r>
        <w:rPr>
          <w:rFonts w:ascii="Times New Roman" w:cs="Times New Roman" w:eastAsia="Times New Roman" w:hAnsi="Times New Roman"/>
          <w:sz w:val="18"/>
          <w:szCs w:val="18"/>
          <w:b w:val="1"/>
          <w:bCs w:val="1"/>
          <w:color w:val="auto"/>
        </w:rPr>
        <w:t>NOTE 10:- SHAREHOLDERS’ EQUITY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Company’s shares:</w:t>
      </w:r>
    </w:p>
    <w:p>
      <w:pPr>
        <w:spacing w:after="0" w:line="225"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 confers equal rights to dividends and bonus shares, and to participate in the distribution of surplus assets upon liquidation, in proportion to the par value of such share, regardless of any premium paid thereon, subject to the provisions of the Company’s articles of association. Each ordinary share confers upon its holder the right to participate in the general meetings of the shareholders of the Company, with one vote on any matter presented to the shareholders.</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and RSU plans:</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has approved equity incentive plans pursuant to which the Company is authorized to issue to employees, directors and officers of the Company and its subsidiaries (the “optionees”) options to purchase ordinary shares of the company, at an exercise price equal to at least the fair market value of the ordinary shares at the date of grant.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 (Cont.)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terms of option grants generally provide that 25% of total options are exercisable one year after the grant or vesting start date determined for each optionee and a further 6.25% is exercisable at the end of each subsequent three-month period over the following 3 years. Options are exercisable for up to 10 years from the grant date. Options that are cancelled or forfeited before expiration become available for future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Under the company equity incentive plans, beginning in 2017, the Company grants RSU’s, including performance based RSUs. The RSUs generally vest over a period of four years of employment and performance based RSUs also vest based on achievement of performance targets. RSUs that are cancelled or forfeited become available for future grants.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June 30, 2022, an aggregate of 5,096,958 ordinary shares are available for future grants under those plans.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summary of the Company’s share option activity and related information for the six months ended June 30,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upon</w:t>
            </w: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14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intrinsic</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413,175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54,815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310,000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(14,902)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w:t>
            </w: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(8,491)</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699,782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24"/>
                <w:szCs w:val="24"/>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330,020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Pr>
          <w:p>
            <w:pPr>
              <w:spacing w:after="0"/>
              <w:rPr>
                <w:sz w:val="22"/>
                <w:szCs w:val="22"/>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$15,258 of unrecognized compensation expense related to unvested share options expected to be recognized over a weighted average period of 3.47 years.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summary of the Company’s RSU activity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100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January 1, 2022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684,666</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239,293</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(160,840)</w:t>
            </w:r>
          </w:p>
        </w:tc>
      </w:tr>
      <w:tr>
        <w:trPr>
          <w:trHeight w:val="23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(49,974)</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June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weighted average fair value at grant date of RSUs granted for the six months ended June 30, 2022 was $82.02.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weighted average fair value of shares vested during the six months ended June 30, 2022 was $53.00.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weighted average fair value of shares forfeited during the six months ended June 30, 2022 was $67.45.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 (Cont.)</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$45,073 of unrecognized compensation expense related to RSUs expected to be recognized over a weighted average period of 2.9 years.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share-based compensation expense included in the consolidated statements of operations for the six months ended June 30,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Seles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2,333</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3,120</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2,377</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6,899</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January 10, 2017, the Company signed a master purchase agreement with Amazon Inc. (the “Agreement”) under which 2,932,176 warrants to purchase ordinary shares of the Company at an exercise price of $13.04 were issued to Amazon as a customer incentive. The warrants are subject to vesting as a function of payments for purchased products and services of up to $150 million over a five-year period beginning on May 1, 2016, with the shares vesting incrementally each time Amazon makes a payment totaling $5 million to the Company. On September 16, 2020 Amazon Inc. exercised 2,162,463 warrants in a cashless manner and sold the 1,689,942 ordinary shares received upon exercise. As of June 30, 2022, 769,692 warrants are exercisable under the Agreement.</w:t>
      </w:r>
    </w:p>
    <w:p>
      <w:pPr>
        <w:spacing w:after="0" w:line="18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September 14, 2020, the Company signed an amendment to the master purchase agreement (the “Amended Agreement”) with Amazon Inc. under which an additional 3,401,060 warrants to purchase ordinary shares of the Company at an exercise price of $59.26 were issued to Amazon as a customer incentive. The warrants are subject to vesting as a function of payments for purchased products and services of up to $400 million over a five-year period beginning in January 2021, with the shares vesting incrementally each time Amazon makes a payment totaling $5 million to the Company. As of June 30, 2022, 1,088,332 warrants are exercisable under the Amended Agreement.</w:t>
      </w:r>
    </w:p>
    <w:p>
      <w:pPr>
        <w:spacing w:after="0" w:line="183"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recognized reductions to revenues of $12,521 and $9,711 during the six months ended June 30, 2022, and 2021, respectively, due to the accounting impact of Amazon’s warrants.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ACCUMULATED OTHER COMPREHENSIVE INCOME (LOSS)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balances of other comprehensive income (loss), net of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gain (loss) on</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gain (loss) on</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marketable</w:t>
            </w: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 w:type="dxa"/>
            <w:vAlign w:val="bottom"/>
          </w:tcPr>
          <w:p>
            <w:pPr>
              <w:spacing w:after="0"/>
              <w:rPr>
                <w:sz w:val="21"/>
                <w:szCs w:val="21"/>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0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Six months ended June 30, 2022:</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(9,928)</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(3,016)</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(9,918</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(12,104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REVENUE RECOGNITION</w:t>
            </w:r>
          </w:p>
        </w:tc>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Revenue disaggregated by revenue source for the six months ended June 30, 2022 and 2021, consisted of the following:</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3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4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78,198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89,298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Ink and consumables</w:t>
            </w:r>
          </w:p>
        </w:tc>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41,882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40,823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9,160</w:t>
            </w:r>
          </w:p>
        </w:tc>
        <w:tc>
          <w:tcPr>
            <w:tcW w:w="0" w:type="dxa"/>
            <w:vAlign w:val="bottom"/>
          </w:tcPr>
          <w:p>
            <w:pPr>
              <w:spacing w:after="0"/>
              <w:rPr>
                <w:sz w:val="1"/>
                <w:szCs w:val="1"/>
                <w:color w:val="auto"/>
              </w:rPr>
            </w:pPr>
          </w:p>
        </w:tc>
      </w:tr>
      <w:tr>
        <w:trPr>
          <w:trHeight w:val="23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Service contracts and software subscriptions</w:t>
            </w:r>
          </w:p>
        </w:tc>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9,945</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8,508</w:t>
            </w:r>
          </w:p>
        </w:tc>
        <w:tc>
          <w:tcPr>
            <w:tcW w:w="0" w:type="dxa"/>
            <w:vAlign w:val="bottom"/>
          </w:tcPr>
          <w:p>
            <w:pPr>
              <w:spacing w:after="0"/>
              <w:rPr>
                <w:sz w:val="1"/>
                <w:szCs w:val="1"/>
                <w:color w:val="auto"/>
              </w:rPr>
            </w:pPr>
          </w:p>
        </w:tc>
      </w:tr>
      <w:tr>
        <w:trPr>
          <w:trHeight w:val="216"/>
        </w:trPr>
        <w:tc>
          <w:tcPr>
            <w:tcW w:w="438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141,429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147,789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30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REVENUE RECOGNITION (Cont.)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following table presents revenue disaggregated by geography based on customer location: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70,992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98,310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48,583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33,526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8,381</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141,429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147,789</w:t>
            </w:r>
          </w:p>
        </w:tc>
        <w:tc>
          <w:tcPr>
            <w:tcW w:w="10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Performance obligations represent contracted revenues that have not yet been recognized, which include deferred revenues and non-cancelable contracts that will be invoiced and recognized as revenue in future periods. The Company elected to apply the optional exemption under paragraph 606-10-50-14(a) (of ASC Topic 606) not to disclose the remaining performance obligations that relate to contracts with an original expected duration of one year or less for which deferred revenues have not been recorded yet.</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remaining performance obligations as of June 30, 2022, which are expected to be satisfied and recognized in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2024 and</w:t>
            </w:r>
          </w:p>
        </w:tc>
      </w:tr>
      <w:tr>
        <w:trPr>
          <w:trHeight w:val="245"/>
        </w:trPr>
        <w:tc>
          <w:tcPr>
            <w:tcW w:w="732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r>
      <w:tr>
        <w:trPr>
          <w:trHeight w:val="223"/>
        </w:trPr>
        <w:tc>
          <w:tcPr>
            <w:tcW w:w="7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Contract liabilities include amounts received from customers for which revenue has not yet been recognized. Contract liabilities amounted to $3,768 and $5,564 as of June 30, 2022 and December 31, 2021, respectively, and are presented under deferred revenues and advances from customers. During the six months ended June 30, 2022, the Company recognized $1,583 that was included in the deferred revenues balance on January 1, 2022.</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Provision for returns amounted to $1,749 and $2,178 as of June 30, 2022 and December 31,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TAXES ON INCOME</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main reconciling items between the theoretical and actual tax rate during the six months ended June 30, 2022, derived mainly from: tax expense related to the Company’s foreign subsidiaries income at different tax rates, deferred tax benefit recognized in Israel related to current losses at Preferred Enterprise reduced tax rates, and permanent differences.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BALANCES AND TRANSACTIONS WITH RELATED PARTIES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Company’s policy is to enter into transactions with related parties on terms that, on the whole, are no less favorable than those available from unaffiliated third parties. Based on the Company’s experience in the business sectors in which it operates and the terms of its transactions with unaffiliated third parties, the Company believes that all of the transactions described below met this policy at the time they occurred.</w:t>
      </w:r>
    </w:p>
    <w:p>
      <w:pPr>
        <w:spacing w:after="0" w:line="180" w:lineRule="exact"/>
        <w:rPr>
          <w:sz w:val="20"/>
          <w:szCs w:val="20"/>
          <w:color w:val="auto"/>
        </w:rPr>
      </w:pPr>
    </w:p>
    <w:p>
      <w:pPr>
        <w:ind w:left="1620" w:hanging="64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Fritz Companies Israel T. Ltd. (“Fritz”)</w:t>
      </w:r>
    </w:p>
    <w:p>
      <w:pPr>
        <w:spacing w:after="0" w:line="225" w:lineRule="exact"/>
        <w:rPr>
          <w:rFonts w:ascii="Times New Roman" w:cs="Times New Roman" w:eastAsia="Times New Roman" w:hAnsi="Times New Roman"/>
          <w:sz w:val="18"/>
          <w:szCs w:val="18"/>
          <w:color w:val="auto"/>
        </w:rPr>
      </w:pPr>
    </w:p>
    <w:p>
      <w:pPr>
        <w:jc w:val="both"/>
        <w:ind w:left="16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Fritz is a logistics company which is owned, in part, by the Chairman of the Board since March 2018. The Company has an ongoing logistic contract with Fritz. During the six months ended June 30, 2022 and 2021, logistic service fees amounted to $2,274 and $2,095, respectively. As of June 30, 2022 and December 31, 2021, the Company had trade payables balances due to this related party in amounts of $250 and $1,178, respectively.</w:t>
      </w:r>
    </w:p>
    <w:p>
      <w:pPr>
        <w:spacing w:after="0" w:line="17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Accord Insurance Agency Ltd. (“Accord”)</w:t>
      </w:r>
    </w:p>
    <w:p>
      <w:pPr>
        <w:spacing w:after="0" w:line="225" w:lineRule="exact"/>
        <w:rPr>
          <w:rFonts w:ascii="Times New Roman" w:cs="Times New Roman" w:eastAsia="Times New Roman" w:hAnsi="Times New Roman"/>
          <w:sz w:val="18"/>
          <w:szCs w:val="18"/>
          <w:color w:val="auto"/>
        </w:rPr>
      </w:pPr>
    </w:p>
    <w:p>
      <w:pPr>
        <w:jc w:val="both"/>
        <w:ind w:left="16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business relationship with Accord Insurance Agency Ltd., or Accord, a company which is an insurance agency that is owned in part and controlled, by the Chairman of the Board. Accord is the Company’s insurance agent for most of its insurance policies. During the six months ended June 30, 2022 and 2021, total premiums under the contracts were $262 and $193, respectively.</w:t>
      </w:r>
    </w:p>
    <w:p>
      <w:pPr>
        <w:spacing w:after="0" w:line="17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Software Ltd. (“Priority”)</w:t>
      </w:r>
    </w:p>
    <w:p>
      <w:pPr>
        <w:spacing w:after="0" w:line="225" w:lineRule="exact"/>
        <w:rPr>
          <w:rFonts w:ascii="Times New Roman" w:cs="Times New Roman" w:eastAsia="Times New Roman" w:hAnsi="Times New Roman"/>
          <w:sz w:val="18"/>
          <w:szCs w:val="18"/>
          <w:color w:val="auto"/>
        </w:rPr>
      </w:pPr>
    </w:p>
    <w:p>
      <w:pPr>
        <w:jc w:val="both"/>
        <w:ind w:left="16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is the Company’s ERP solution provider, which is owned, in part, by a few of the Company’s Board members. During the six months ended June 30, 2022 and 2021 maintenance fees and additional licenses acquired amounted to $109 and $88 respectively As of June 30, 2022 and December 31, 2021, the Company had no trade payables balances due to this related party.</w:t>
      </w:r>
    </w:p>
    <w:p>
      <w:pPr>
        <w:spacing w:after="0" w:line="17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Tritone Technologies Ltd. (“Tritone”)</w:t>
      </w:r>
    </w:p>
    <w:p>
      <w:pPr>
        <w:spacing w:after="0" w:line="225" w:lineRule="exact"/>
        <w:rPr>
          <w:rFonts w:ascii="Times New Roman" w:cs="Times New Roman" w:eastAsia="Times New Roman" w:hAnsi="Times New Roman"/>
          <w:sz w:val="18"/>
          <w:szCs w:val="18"/>
          <w:color w:val="auto"/>
        </w:rPr>
      </w:pPr>
    </w:p>
    <w:p>
      <w:pPr>
        <w:jc w:val="both"/>
        <w:ind w:left="16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13, 2020, the Company entered into a sublease agreement with Tritone Technologies Ltd., whose CEO is a director of the Company and one of whose shareholders is an equity fund controlled by the chairman of the Board, for the sublease of 192 square meters in Rosh Ha’Ayin. The term of the lease is 24 months, until September 12, 2022, with an option to extend the term by an additional 12 months. The rent under the sublease is approximately $2 per month. The sublease agreement is carried out on a “back-to-back” basis, as the Company pays over the rent that it receives directly to its landlord. As of June 30, 2022 and December 31, 2021, the Company had a trade receivable balance due from this related party in an amount of $4 and $5, respectively.</w:t>
      </w:r>
    </w:p>
    <w:p>
      <w:pPr>
        <w:spacing w:after="0" w:line="187"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Magalcom Ltd. (“Magalcom”)</w:t>
      </w:r>
    </w:p>
    <w:p>
      <w:pPr>
        <w:spacing w:after="0" w:line="225" w:lineRule="exact"/>
        <w:rPr>
          <w:rFonts w:ascii="Times New Roman" w:cs="Times New Roman" w:eastAsia="Times New Roman" w:hAnsi="Times New Roman"/>
          <w:sz w:val="18"/>
          <w:szCs w:val="18"/>
          <w:color w:val="auto"/>
        </w:rPr>
      </w:pPr>
    </w:p>
    <w:p>
      <w:pPr>
        <w:jc w:val="both"/>
        <w:ind w:left="16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 transaction with Magalcom which is owned, in part and controlled, by the Chairman of the Board, for the replacement of communication equipment in its conference rooms. Total consideration to be paid to Magalcom pursuant to this transaction is approximately $650. During the six months ended June 30, 2022 and 2021, service fees amounted to $56 and $163, respectively. As of June 30, 2022 and December 31, 2021, the Company had a trade payables balance due to this related party in amounts of $0 and $282, respectively.</w:t>
      </w:r>
    </w:p>
    <w:p>
      <w:pPr>
        <w:spacing w:after="0" w:line="183" w:lineRule="exact"/>
        <w:rPr>
          <w:rFonts w:ascii="Times New Roman" w:cs="Times New Roman" w:eastAsia="Times New Roman" w:hAnsi="Times New Roman"/>
          <w:sz w:val="18"/>
          <w:szCs w:val="18"/>
          <w:color w:val="auto"/>
        </w:rPr>
      </w:pPr>
    </w:p>
    <w:p>
      <w:pPr>
        <w:ind w:left="5060" w:hanging="95"/>
        <w:spacing w:after="0"/>
        <w:tabs>
          <w:tab w:leader="none" w:pos="5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AND FINANCIAL REVIEW AND PROSPECTS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Period to Period Results of Operations</w:t>
      </w:r>
    </w:p>
    <w:p>
      <w:pPr>
        <w:spacing w:after="0" w:line="22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0"/>
                <w:szCs w:val="20"/>
                <w:color w:val="auto"/>
              </w:rPr>
            </w:pPr>
          </w:p>
        </w:tc>
        <w:tc>
          <w:tcPr>
            <w:tcW w:w="22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120,080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21,349</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64,904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62,429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22,591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87,495</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78,797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53,934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68,992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28,091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37,631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20,016</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(31,804)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9,181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6,123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(loss) before taxes on income (tax benefit)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(25,681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11,597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 (tax benefit)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(24,673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10,701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4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5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54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84.9%</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15.1</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5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45.9</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61.9</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w:t>
            </w:r>
          </w:p>
        </w:tc>
        <w:tc>
          <w:tcPr>
            <w:tcW w:w="3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46.7</w:t>
            </w:r>
          </w:p>
        </w:tc>
        <w:tc>
          <w:tcPr>
            <w:tcW w:w="16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19.9</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26.6</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14.1</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6"/>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 (loss)</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(22.5)</w:t>
            </w: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(loss) before taxes on income (tax benefit)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w:t>
            </w:r>
          </w:p>
        </w:tc>
        <w:tc>
          <w:tcPr>
            <w:tcW w:w="3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w:t>
            </w: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 (tax benefit)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3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1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682"/>
        </w:trPr>
        <w:tc>
          <w:tcPr>
            <w:tcW w:w="854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Breakdown of 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geographic breakdown of revenues from sales to customers located in the regions indicated below for the periods indicated:</w:t>
      </w:r>
    </w:p>
    <w:p>
      <w:pPr>
        <w:spacing w:after="0" w:line="158"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4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38"/>
        </w:trPr>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gridSpan w:val="8"/>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in thousands, except percentages)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4"/>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70,992</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98,310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6"/>
              </w:rPr>
              <w:t>48,583</w:t>
            </w:r>
          </w:p>
        </w:tc>
        <w:tc>
          <w:tcPr>
            <w:tcW w:w="660" w:type="dxa"/>
            <w:vAlign w:val="bottom"/>
          </w:tcPr>
          <w:p>
            <w:pPr>
              <w:spacing w:after="0"/>
              <w:rPr>
                <w:sz w:val="18"/>
                <w:szCs w:val="18"/>
                <w:color w:val="auto"/>
              </w:rPr>
            </w:pP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34.4</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33,526</w:t>
            </w:r>
          </w:p>
        </w:tc>
        <w:tc>
          <w:tcPr>
            <w:tcW w:w="26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13,473</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w:t>
            </w:r>
          </w:p>
        </w:tc>
      </w:tr>
      <w:tr>
        <w:trPr>
          <w:trHeight w:val="23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CCEEFF"/>
            </w:tcBorders>
          </w:tcPr>
          <w:p>
            <w:pPr>
              <w:spacing w:after="0"/>
              <w:rPr>
                <w:sz w:val="20"/>
                <w:szCs w:val="20"/>
                <w:color w:val="auto"/>
              </w:rPr>
            </w:pP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141,429</w:t>
            </w: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147,789</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Revenues of Kornit Digital Ltd. (“</w:t>
      </w:r>
      <w:r>
        <w:rPr>
          <w:rFonts w:ascii="Times New Roman" w:cs="Times New Roman" w:eastAsia="Times New Roman" w:hAnsi="Times New Roman"/>
          <w:sz w:val="18"/>
          <w:szCs w:val="18"/>
          <w:b w:val="1"/>
          <w:bCs w:val="1"/>
          <w:i w:val="1"/>
          <w:iCs w:val="1"/>
          <w:color w:val="auto"/>
        </w:rPr>
        <w:t>Kornit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decreased by $6.4 million, or 4.3%, to $141.4 million in the six months ended June 30, 2022, from $147.8 million in the six months ended June 30, 2021, which is net of $12.5 million and $9.7 million, in the fair value of warrants associated with revenues recognized from Amazon, respectively. Systems revenues decreased 12.4% to $78.2 million in the six months ended June 30, 2022 from $89.3 million in the six months ended June 30, 2021, as offset in part by a 20.3% increase in service revenues to $21.3 million in the six months ended June 30, 2022, from $17.7 million in the six months ended June 30, 2021, and an increase of 2.7% in ink revenues to $41.9 million from $40.8 million in six months ended June 30, 2022. The decrease in systems revenues for the six months ended June 30, 2022 reflected the impact of lower DTG systems revenues, mainly in the Americas region, due in part to an overall recalibration of e-commerce growth, macroeconomic headwinds, and delays in completion of customer production facilities.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Profit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Cost of revenues increased by $8.7 million, or 11.0%, to $87.5 million in the six months ended June 30, 2022, from $78.8 million in the six months ended June 30, 2021. Gross profit decreased by $15.1 million, or 21.8%, to $53.9 million in the six months ended June 30, 2022, from $69.0 million in the six months ended June 30, 2021. Gross margin decreased to 38.1% in the six months ended June 30, 2022, compared to 46.7% in the six months ended June 30, 2021, The year-over-year decrease in gross margin was driven by materially lower systems revenues, mainly in the Americas region. Inventory write-offs amounted to $2.5 million in the six months ended June 30, 2022, compared to $2.2 million in the six months ended June 30,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28,091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19,243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8,848</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46.0%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37,631</w:t>
            </w:r>
          </w:p>
        </w:tc>
        <w:tc>
          <w:tcPr>
            <w:tcW w:w="12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Pr>
          <w:p>
            <w:pPr>
              <w:spacing w:after="0"/>
              <w:rPr>
                <w:sz w:val="18"/>
                <w:szCs w:val="18"/>
                <w:color w:val="auto"/>
              </w:rPr>
            </w:pP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24,879</w:t>
            </w:r>
          </w:p>
        </w:tc>
        <w:tc>
          <w:tcPr>
            <w:tcW w:w="12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12,752</w:t>
            </w:r>
          </w:p>
        </w:tc>
        <w:tc>
          <w:tcPr>
            <w:tcW w:w="32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5"/>
              </w:rPr>
              <w:t>14.1</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6"/>
              </w:rPr>
              <w:t>15,689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5"/>
              </w:rPr>
              <w:t>10.6</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5"/>
              </w:rPr>
              <w:t>27.6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85,738</w:t>
            </w:r>
          </w:p>
        </w:tc>
        <w:tc>
          <w:tcPr>
            <w:tcW w:w="120" w:type="dxa"/>
            <w:vAlign w:val="bottom"/>
          </w:tcPr>
          <w:p>
            <w:pPr>
              <w:spacing w:after="0"/>
              <w:rPr>
                <w:sz w:val="20"/>
                <w:szCs w:val="20"/>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60.6</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59,811</w:t>
            </w:r>
          </w:p>
        </w:tc>
        <w:tc>
          <w:tcPr>
            <w:tcW w:w="120" w:type="dxa"/>
            <w:vAlign w:val="bottom"/>
          </w:tcPr>
          <w:p>
            <w:pPr>
              <w:spacing w:after="0"/>
              <w:rPr>
                <w:sz w:val="20"/>
                <w:szCs w:val="20"/>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40.5</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25,927</w:t>
            </w:r>
          </w:p>
        </w:tc>
        <w:tc>
          <w:tcPr>
            <w:tcW w:w="320" w:type="dxa"/>
            <w:vAlign w:val="bottom"/>
          </w:tcPr>
          <w:p>
            <w:pPr>
              <w:spacing w:after="0"/>
              <w:rPr>
                <w:sz w:val="20"/>
                <w:szCs w:val="20"/>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43.3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net. </w:t>
      </w:r>
      <w:r>
        <w:rPr>
          <w:rFonts w:ascii="Times New Roman" w:cs="Times New Roman" w:eastAsia="Times New Roman" w:hAnsi="Times New Roman"/>
          <w:sz w:val="18"/>
          <w:szCs w:val="18"/>
          <w:color w:val="auto"/>
        </w:rPr>
        <w:t>Research and development net expenses increased by 46.0% in the six months ended June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2021. The increase was mainly attributable to $5.9 million in salaries and related personnel expenses and share-based compensation due to an increase in the number of employees. In addition, depreciation expenses increased by $1.2 million due to an increase in the number of our systems utilized for research and development activities, while expenses related to facilities increased by $1.5, which corresponded with the increase in the number of employees during the six month period ended June 30, 2022 relative to the corresponding period of 2021. As a percentage of total revenues, our research and development expenses increased from 13.0% in the six months ended June 30, 2021 to 19.9% in the six months ended June 30, 2022.</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51.4% in the six months ended June 30, 2022 compared to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2021. This increase was primarily due to $5.4 million in salaries and related personnel expenses and share-based compensation expenses due to a higher number of employees and an increase in variable compensation payout during the six months ended June 30, 2022 compared to the six months ended June 30, 2021. In addition, the increase reflected $5.2 million in marketing activities and $1.2 million in travel expenses (as COVID-19 travel restrictions were gradually lifted in the first half of 2022 relative to the first half of 2021). As a percentage of total revenues, our sales and marketing expenses increased during this period, from 16.9% in the six months ended June 30, 2021 to 26.6% in the six months ended June 30, 2022.</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27.6% in the six months ended June 30, 2022 compared to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2021. This primarily resulted from: (i) an increase of $2.7 million in salaries, related personnel expenses and share-based compensation expenses, mainly due to our employment of additional personnel during the first six months of 2022, as well (ii) an increase of $0.8 million in expenses related to consulting services, and (iii) an increase of $0.4 million in travel expenses (as COVID-19 travel restrictions were gradually lifted in the first half of 2022 relative to the first half of 2021). As a percentage of total revenues, our general and administrative expenses increased from 10.6% in the six months ended June 30, 2021 to 14.1% in the six months ended June 30, 2022.</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Finance income, net totaled $6.1 million in the six months ended June 30, 2022, compared to $2.4 million in the six months ended June 30, 2021. The $3.7 million increase in finance income in the first half of 2022 relative to the corresponding period in 2021, mainly resulted from $2.5 million related to interest on marketable securities and bank deposits and $1.0 million in currency exchange gains.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tax benefits amounted to $1.0 million, in the six months ended June 30, 2022, compared to tax expenses of $0.9 million in the six months ended June 30, 2021. The change from tax expenses to tax benefits was mainly derived from the increase of deferred tax assets related to carry-forward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2022, we had approximately $196.6 million in cash and cash equivalents, $260.1 million in short term deposits and $247.9 million in short-term and long-term marketable securities, which, in the aggregate, totaled $704.6 million. We fund our operations mostly with cash raised via our equity financings, including our January 2017, June 2019, and September 2021 follow-on offerings, as well as income from operations (for periods when we realize operating income).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2022, we had a line of credit with an Israeli bank for total borrowings of up to 6.0 million New Israeli Shekels. This line of credit is unsecured and available provided that (i) we maintain a 30% ratio of total tangible shareholders' equity to total tangible assets and (ii) the total credit use is less than 70% of our receivables. Interest rates on this credit line varied from (a) 0.3% to (b) Prime (Israel Interbank Offered Rate) plus 0.7% (2.95% as of June 30, 2022).</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our current business plans, we believe that our cash flows from operating activities (when our operations are cash-flow positive) and our existing cash resources will be sufficient to fund our projected cash requirements for at least the next 12 months without drawing on our lines of credit or using cash on hand. Our future capital requirements will depend on many factors, including our rate of revenue growth, the timing and extent of spending to support product development efforts, the expansion of our sales and marketing activities, and the timing of introductions of new solutions and the continuing market acceptance of our solutions as well as other business development efforts.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major components of net cash flows for the periods presented: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(54,640)</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(359,958)</w:t>
            </w:r>
          </w:p>
        </w:tc>
        <w:tc>
          <w:tcPr>
            <w:tcW w:w="3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(44,147)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in the six months ended June 30, 2022 was $54.6 million.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consisted of a net loss of $24.7 million, as adjusted in an amount of $30.2 million for non-cash line items, including stock-based compensation expenses, depreciation, amortization of intangible assets, fair value of warrants deducted from revenues, amortization of premium on marketable securities, offset in part, by other adjustments not included hereunder in an amount of $4.4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 w:name="page30"/>
    <w:bookmarkEnd w:id="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our accounts receivable increased by $9.0 million, which reduced cash provided by operating activities. Number of days receivables for each of the six-month periods ended June 30, 2022 and 2021 was 77 days.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trade payable and deferred revenues and advances from customers decreased by $16.0 million, reducing cash provided by operating activities, inventory increased by $23.9 million, reflecting the decrease in business volume, and employee and payroll accruals decreased by $6.8 million decreasing cash provided by operating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2021</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 in the six months ended June 30, 2021 was $10.3 million.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consisted of net income of $10.7 million, as adjusted in an amount of $18.3 million for non-cash line items, including stock-based compensation expenses, depreciation, amortization of intangible assets, fair value of warrants deducted from revenues, amortization of premium on marketable securities, offset, in part by other adjustments not included hereunder in an amount of $1.9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2021, our accounts receivable increased by $11.1 million, reflecting the increase in our revenues, which reduced cash provided by operating activities. Number of days receivables were outstanding for the for the six months ended June 30, 2021 decreased to 77 days, compared to 113 days for the six months ended June 30, 2020.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2021, deferred revenues and advances from customers decreased by $11.4 million, reducing cash provided by operating activities, while other payables and accrued expenses increased by $5.7 million, reflecting the increase in business volume, increasing cash provided by operating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 Months Ended June 30, 2022</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$360.0 million for the six months ended June 30, 2022, which was primarily attributable to an increase in bank deposits in an amount of $250.9 million, a net purchase of marketable securities in an amount of $84.5 million, cash paid in connection with acquisitions, net of cash acquired, in an amount of $14.6 million and an investment of $9.4 million in property and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2021</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$44.1 million for the six months ended June 30, 2021, which was primarily attributable to the net purchase of marketable securities and an increase in bank deposits in an amount of $38.5 million and an investment of $5.6 million in property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$0.3 million for the six months ended June 30, 2022, which was attributable to $682 thousand of payments related to shares withheld for taxes in connection with option exercises, offset in part by $340 thousand of proceeds from option exercises.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2021</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$0.6 million for the six months ended June 30, 2021, which was attributable to approximately $1.8 million of proceeds from option exercises, offset in part by approximately $1.1 million of payments related to shares withheld for taxes in connection with option exercises.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information herein may be deemed to be “forward-looking statements” within the meaning of the Private Securities Litigation Reform Act of 1995, Section 27A of the Securities Act of 1933, and Section 21E of the Securities Exchange Act of 1934. Forward-looking statements are those that predict or describe future events or trends and that do not relate solely to historical matters. You can generally identify forward-looking statements as statements containing the words “may,” “will,” “could,” “should,” “expect,” “anticipate,” “intend,” “estimate,” “believe,” “project,” “plan,” “assume” or other similar expressions, or negatives of those expressions, although not all forward-looking statements contain these identifying words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forward-looking statements may include, but are not limited to, statements regarding our future strategy, future operations, projected financial position, proposed products, estimated future revenues, projected costs, future prospects, the future of our industry and results that might be obtained by pursuing management’s current plans and objectives</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spacing w:after="0" w:line="180" w:lineRule="exact"/>
        <w:rPr>
          <w:sz w:val="20"/>
          <w:szCs w:val="20"/>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introduce and sell new or improved products and product enhancements, including specifically our Atlas Max Poly, Presto Max and Apollo products, upgrades to Atlas systems to Atlas Max, and automation upgrades;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expansion of our serviceable addressable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gross margins and operating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growth and overall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sales to, and revenues to be generated from, significant customers, including Amazon;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variability on our future revenues;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drivers of our future growth, including anticipated sales growth, penetration of new markets, and expansion of our customer base;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continue our expansion into new product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our distribution strategy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with respect to the environmental impact of our operations and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of our new products and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new accounting pronouncements on our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anticipated cash requirements for the next 12 months;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our international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file and procure additional patents relating to our intellectual property rights and the adequate protection of these rights;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strategic acquisitions or invest in complementary companies, products or technologies and our expectations as to the success of those acquisitions and investments;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our access to financing to support the expansion of our operations;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severity of the adverse macro-economic trends triggered by the global COVID-19 pandemic, such as supply-chain delays inflationary pressures, and rising interest rates, which could potentially impact, in a material adverse manner, our operations, financial position and cash flows, and those of our customers and suppliers.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described in our Annual Report on Form 20-F for the year ended December 31, 2021, which is on file with the Securities and Exchange Commission (the ”SEC”), and the other risk factors discussed from time to time by us in reports filed or furnished to the SEC.</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3"/>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1"/>
    </w:lvl>
    <w:lvl w:ilvl="1">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14" Type="http://schemas.openxmlformats.org/officeDocument/2006/relationships/hyperlink" Target="http://www.sec.gov/Archives/edgar/data/1625791/000121390020026445/ff3asr2020_kornitdigital.htm" TargetMode="External"/><Relationship Id="rId15" Type="http://schemas.openxmlformats.org/officeDocument/2006/relationships/hyperlink" Target="http://www.sec.gov/Archives/edgar/data/1625791/000161577415000908/s101052_forms8.htm" TargetMode="External"/><Relationship Id="rId16" Type="http://schemas.openxmlformats.org/officeDocument/2006/relationships/hyperlink" Target="http://www.sec.gov/Archives/edgar/data/1625791/000121390016017339/fs82016_kornitdigital.htm" TargetMode="External"/><Relationship Id="rId17" Type="http://schemas.openxmlformats.org/officeDocument/2006/relationships/hyperlink" Target="http://www.sec.gov/Archives/edgar/data/1625791/000121390017003012/fs82017_kornitdigital.htm" TargetMode="External"/><Relationship Id="rId18" Type="http://schemas.openxmlformats.org/officeDocument/2006/relationships/hyperlink" Target="http://www.sec.gov/Archives/edgar/data/1625791/000121390018003205/fs82018_kornitdigital.htm" TargetMode="External"/><Relationship Id="rId19" Type="http://schemas.openxmlformats.org/officeDocument/2006/relationships/hyperlink" Target="http://www.sec.gov/Archives/edgar/data/1625791/000121390019005079/fs82019_kornitdigitalltd.htm" TargetMode="External"/><Relationship Id="rId20" Type="http://schemas.openxmlformats.org/officeDocument/2006/relationships/hyperlink" Target="http://www.sec.gov/Archives/edgar/data/1625791/000121390020007116/ea119827-s8_kornitdigital.htm" TargetMode="External"/><Relationship Id="rId21" Type="http://schemas.openxmlformats.org/officeDocument/2006/relationships/hyperlink" Target="http://www.sec.gov/Archives/edgar/data/1625791/000121390021017777/ea138332-s8_kornitdigital.htm" TargetMode="External"/><Relationship Id="rId22"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2022-09-29T13:00:25Z</dcterms:created>
  <dcterms:modified xsi:type="dcterms:W3CDTF">2022-09-29T13:00:25Z</dcterms:modified>
</cp:coreProperties>
</file>