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Mann Yaaqov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KORNIT DIGITAL LTD., 12 HA'AMAL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ROSH-HA'AYIN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4809246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Kornit Digital Ltd.</w:t>
              </w:r>
            </w:hyperlink>
            <w:r>
              <w:rPr/>
              <w:t xml:space="preserve"> [ </w:t>
            </w:r>
            <w:r>
              <w:rPr>
                <w:rFonts w:ascii="Times;serif" w:hAnsi="Times;serif"/>
                <w:color w:val="0000FF"/>
                <w:sz w:val="24"/>
                <w:shd w:fill="FFFFFF" w:val="clear"/>
              </w:rPr>
              <w:t>KRNT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9"/>
        <w:gridCol w:w="901"/>
        <w:gridCol w:w="771"/>
        <w:gridCol w:w="598"/>
        <w:gridCol w:w="347"/>
        <w:gridCol w:w="928"/>
        <w:gridCol w:w="452"/>
        <w:gridCol w:w="795"/>
        <w:gridCol w:w="1159"/>
        <w:gridCol w:w="99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25,680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17.27</w:t>
            </w:r>
            <w:r>
              <w:rPr>
                <w:rFonts w:ascii="Times;serif" w:hAnsi="Times;serif"/>
                <w:color w:val="008000"/>
                <w:position w:val="7"/>
                <w:sz w:val="16"/>
                <w:sz w:val="20"/>
                <w:shd w:fill="FFFFFF" w:val="clear"/>
              </w:rPr>
              <w:t>(1)</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17.27</w:t>
            </w:r>
            <w:r>
              <w:rPr>
                <w:rFonts w:ascii="Times;serif" w:hAnsi="Times;serif"/>
                <w:color w:val="008000"/>
                <w:position w:val="7"/>
                <w:sz w:val="16"/>
                <w:sz w:val="20"/>
                <w:shd w:fill="FFFFFF" w:val="clear"/>
              </w:rPr>
              <w:t>(1)</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7,766</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17.27</w:t>
            </w:r>
            <w:r>
              <w:rPr>
                <w:rFonts w:ascii="Times;serif" w:hAnsi="Times;serif"/>
                <w:color w:val="008000"/>
                <w:position w:val="7"/>
                <w:sz w:val="16"/>
                <w:sz w:val="20"/>
                <w:shd w:fill="FFFFFF" w:val="clear"/>
              </w:rPr>
              <w:t>(1)</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1,793</w:t>
            </w:r>
            <w:r>
              <w:rPr>
                <w:rFonts w:ascii="Times;serif" w:hAnsi="Times;serif"/>
                <w:color w:val="008000"/>
                <w:position w:val="7"/>
                <w:sz w:val="16"/>
                <w:sz w:val="20"/>
                <w:shd w:fill="FFFFFF" w:val="clear"/>
              </w:rPr>
              <w:t>(3)</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4,286</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17.27</w:t>
            </w:r>
            <w:r>
              <w:rPr>
                <w:rFonts w:ascii="Times;serif" w:hAnsi="Times;serif"/>
                <w:color w:val="008000"/>
                <w:position w:val="7"/>
                <w:sz w:val="16"/>
                <w:sz w:val="20"/>
                <w:shd w:fill="FFFFFF" w:val="clear"/>
              </w:rPr>
              <w:t>(1)</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3,335</w:t>
            </w:r>
            <w:r>
              <w:rPr>
                <w:rFonts w:ascii="Times;serif" w:hAnsi="Times;serif"/>
                <w:color w:val="008000"/>
                <w:position w:val="7"/>
                <w:sz w:val="16"/>
                <w:sz w:val="20"/>
                <w:shd w:fill="FFFFFF" w:val="clear"/>
              </w:rPr>
              <w:t>(4)</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15,256</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17.27</w:t>
            </w:r>
            <w:r>
              <w:rPr>
                <w:rFonts w:ascii="Times;serif" w:hAnsi="Times;serif"/>
                <w:color w:val="008000"/>
                <w:position w:val="7"/>
                <w:sz w:val="16"/>
                <w:sz w:val="20"/>
                <w:shd w:fill="FFFFFF" w:val="clear"/>
              </w:rPr>
              <w:t>(1)</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81,518</w:t>
            </w:r>
            <w:r>
              <w:rPr>
                <w:rFonts w:ascii="Times;serif" w:hAnsi="Times;serif"/>
                <w:color w:val="008000"/>
                <w:position w:val="7"/>
                <w:sz w:val="16"/>
                <w:sz w:val="20"/>
                <w:shd w:fill="FFFFFF" w:val="clear"/>
              </w:rPr>
              <w:t>(5)</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598</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17.66</w:t>
            </w:r>
            <w:r>
              <w:rPr>
                <w:rFonts w:ascii="Times;serif" w:hAnsi="Times;serif"/>
                <w:color w:val="008000"/>
                <w:position w:val="7"/>
                <w:sz w:val="16"/>
                <w:sz w:val="20"/>
                <w:shd w:fill="FFFFFF" w:val="clear"/>
              </w:rPr>
              <w:t>(1)</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1,195</w:t>
            </w:r>
            <w:r>
              <w:rPr>
                <w:rFonts w:ascii="Times;serif" w:hAnsi="Times;serif"/>
                <w:color w:val="008000"/>
                <w:position w:val="7"/>
                <w:sz w:val="16"/>
                <w:sz w:val="20"/>
                <w:shd w:fill="FFFFFF" w:val="clear"/>
              </w:rPr>
              <w:t>(3)</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17.66</w:t>
            </w:r>
            <w:r>
              <w:rPr>
                <w:rFonts w:ascii="Times;serif" w:hAnsi="Times;serif"/>
                <w:color w:val="008000"/>
                <w:position w:val="7"/>
                <w:sz w:val="16"/>
                <w:sz w:val="20"/>
                <w:shd w:fill="FFFFFF" w:val="clear"/>
              </w:rPr>
              <w:t>(1)</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2,858</w:t>
            </w:r>
            <w:r>
              <w:rPr>
                <w:rFonts w:ascii="Times;serif" w:hAnsi="Times;serif"/>
                <w:color w:val="008000"/>
                <w:position w:val="7"/>
                <w:sz w:val="16"/>
                <w:sz w:val="20"/>
                <w:shd w:fill="FFFFFF" w:val="clear"/>
              </w:rPr>
              <w:t>(4)</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33,131</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17.66</w:t>
            </w:r>
            <w:r>
              <w:rPr>
                <w:rFonts w:ascii="Times;serif" w:hAnsi="Times;serif"/>
                <w:color w:val="008000"/>
                <w:position w:val="7"/>
                <w:sz w:val="16"/>
                <w:sz w:val="20"/>
                <w:shd w:fill="FFFFFF" w:val="clear"/>
              </w:rPr>
              <w:t>(1)</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48,387</w:t>
            </w:r>
            <w:r>
              <w:rPr>
                <w:rFonts w:ascii="Times;serif" w:hAnsi="Times;serif"/>
                <w:color w:val="008000"/>
                <w:position w:val="7"/>
                <w:sz w:val="16"/>
                <w:sz w:val="20"/>
                <w:shd w:fill="FFFFFF" w:val="clear"/>
              </w:rPr>
              <w:t>(5)</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3,876</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17.66</w:t>
            </w:r>
            <w:r>
              <w:rPr>
                <w:rFonts w:ascii="Times;serif" w:hAnsi="Times;serif"/>
                <w:color w:val="008000"/>
                <w:position w:val="7"/>
                <w:sz w:val="16"/>
                <w:sz w:val="20"/>
                <w:shd w:fill="FFFFFF" w:val="clear"/>
              </w:rPr>
              <w:t>(1)</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3,876</w:t>
            </w:r>
            <w:r>
              <w:rPr>
                <w:rFonts w:ascii="Times;serif" w:hAnsi="Times;serif"/>
                <w:color w:val="008000"/>
                <w:position w:val="7"/>
                <w:sz w:val="16"/>
                <w:sz w:val="20"/>
                <w:shd w:fill="FFFFFF" w:val="clear"/>
              </w:rPr>
              <w:t>(6)</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1,876</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17.66</w:t>
            </w:r>
            <w:r>
              <w:rPr>
                <w:rFonts w:ascii="Times;serif" w:hAnsi="Times;serif"/>
                <w:color w:val="008000"/>
                <w:position w:val="7"/>
                <w:sz w:val="16"/>
                <w:sz w:val="20"/>
                <w:shd w:fill="FFFFFF" w:val="clear"/>
              </w:rPr>
              <w:t>(1)</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7,569</w:t>
            </w:r>
            <w:r>
              <w:rPr>
                <w:rFonts w:ascii="Times;serif" w:hAnsi="Times;serif"/>
                <w:color w:val="008000"/>
                <w:position w:val="7"/>
                <w:sz w:val="16"/>
                <w:sz w:val="20"/>
                <w:shd w:fill="FFFFFF" w:val="clear"/>
              </w:rPr>
              <w:t>(7)</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801"/>
        <w:gridCol w:w="801"/>
        <w:gridCol w:w="936"/>
        <w:gridCol w:w="831"/>
        <w:gridCol w:w="846"/>
      </w:tblGrid>
      <w:tr>
        <w:trPr>
          <w:tblHeader w:val="true"/>
        </w:trPr>
        <w:tc>
          <w:tcPr>
            <w:tcW w:w="118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w:t>
            </w:r>
            <w:r>
              <w:rPr>
                <w:rFonts w:ascii="Times;serif" w:hAnsi="Times;serif"/>
                <w:color w:val="008000"/>
                <w:position w:val="7"/>
                <w:sz w:val="16"/>
                <w:sz w:val="20"/>
                <w:shd w:fill="FFFFFF" w:val="clear"/>
              </w:rPr>
              <w:t>(8)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08/08/2028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3,279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w:t>
            </w:r>
            <w:r>
              <w:rPr>
                <w:rFonts w:ascii="Times;serif" w:hAnsi="Times;serif"/>
                <w:color w:val="008000"/>
                <w:position w:val="7"/>
                <w:sz w:val="16"/>
                <w:sz w:val="20"/>
                <w:shd w:fill="FFFFFF" w:val="clear"/>
              </w:rPr>
              <w:t>(8)</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105.06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01/31/2032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represents a weighted average price. The Reporting Person undertakes to provide to the SEC staff, upon request,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ordinary shares reported in this row consist of shares that were issued upon settlement of restricted share units ("RSUs") that had been granted by the Issuer to the Reporting Person on August 10, 2022 and that have fully vested and settled for underlying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ordinary shares reported in this row consist of shares underlying RSUs that were granted to the Reporting Person on March 9, 2023 and that vest and settle for underlying ordinary shares in accordance with the following schedule: 25% of the original 9,559 RSUs vested and settled for underlying ordinary shares upon the one-year anniversary of the grant date, and an additional 6.25% of the original 9,559 RSUs vest and settle on a quarterly basis over the following three years such that all RSUs reported in this row (which reflects a reduced number relative to the originally granted amount due to sales of underlying shares to date) will be fully vested and settled by the four-year anniversary of that grant date (March 9,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ordinary shares reported in this row consist of shares underlying RSUs that were granted to the Reporting Person on March 14, 2024 and that vest and settle for underlying ordinary shares in accordance with the following schedule: 25% of the original 7,621 RSUs vested and settled for underlying ordinary shares upon the one-year anniversary of the grant date, and an additional 6.25% of the original 7,621 RSUs vest and settle on a quarterly basis over the following three years such that all RSUs reported in this row (which reflects a reduced number relative to the originally granted amount due to sales of underlying shares to date) will be fully vested and settled by the four-year anniversary of that grant date (March 14,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ordinary shares reported in this row consist of shares underlying RSUs that were granted to the Reporting Person on July 11, 2024 and that vest and settle for underlying ordinary shares in accordance with the following schedule: 25% of the original 96,774 RSUs vested and settled for underlying ordinary shares upon the one-year anniversary of the grant date, and an additional 6.25% of the original 96,774 RSUs vest and settle on a quarterly basis over the following three years such that all RSUs reported in this row (which reflects a reduced number relative to the originally granted amount due to sales of underlying shares to date) will be fully vested and settled by the four-year anniversary of that grant date (July 11,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ordinary shares reported in this row consist of shares underlying RSUs that were granted to the Reporting Person on July 11, 2024 and that vest and settle for underlying ordinary shares in accordance with the following schedule: 25% of the original 7,752 RSUs vested and settled for underlying ordinary shares upon the one-year anniversary of the grant date, and an additional 6.25% of the original 7,752 RSUs vest and settle on a quarterly basis over the following three years such that all RSUs reported in this row (which reflects a reduced number relative to the originally granted amount due to sales of underlying shares to date) will be fully vested and settled by the four-year anniversary of that grant date (July 11,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ordinary shares reported in this row consist of shares underlying RSUs that were granted to the Reporting Person on March 13, 2025 and that vest and settle for underlying ordinary shares in accordance with the following schedule: 25% of the original 9,445 RSUs vested and settled for underlying ordinary shares upon the one-year anniversary of the grant date, and an additional 6.25% of the original 9,445 RSUs vest and settle on a quarterly basis over the following three years such that all RSUs reported in this row (which reflects a reduced number relative to the originally granted amount due to sales of underlying shares to date) will be fully vested and settled by the four-year anniversary of that grant date (March 13,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options to purchase ordinary shares reported in this row are fully vested and became exercisable prior to the date of this report.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Assaf Zipori,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ea030788001ex24-1.htm"/>
      <w:bookmarkStart w:id="3" w:name="ksea030788001ex241"/>
      <w:bookmarkEnd w:id="2"/>
      <w:bookmarkEnd w:id="3"/>
      <w:r>
        <w:rPr>
          <w:b/>
        </w:rPr>
        <w:t>Exhibit 24.1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Assaf Zipori, Chief Financial Officer of Kornit Digital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with full power of substitution, signing individually, the undersigned’s true and lawful attorney-in fact and agent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Forms 3, 4 and 5 (including amendments thereto and joint filing agreements in connection therewith) in accordance with Section 16(a) of the Securities Exchange Act of 1934, as amended and the rules and regulations thereunder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in the undersigned’s capacity as an officer, director or beneficial owner of more than 10% of a registered class of securities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18th day of March, 2026.</w:t>
      </w:r>
    </w:p>
    <w:p>
      <w:pPr>
        <w:pStyle w:val="TextBody"/>
        <w:bidi w:val="0"/>
        <w:spacing w:before="0" w:after="0"/>
        <w:ind w:left="0" w:right="0" w:firstLine="72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75"/>
        <w:gridCol w:w="590"/>
        <w:gridCol w:w="1430"/>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Yaaqov Mann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Yaaqov Mann</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25959" TargetMode="External"/><Relationship Id="rId5" Type="http://schemas.openxmlformats.org/officeDocument/2006/relationships/hyperlink" Target="http://www.sec.gov/cgi-bin/browse-edgar?action=getcompany&amp;CIK=00016257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1955</Words>
  <Characters>10148</Characters>
  <CharactersWithSpaces>11938</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