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FORM 6-K</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February 2021</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3"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KORNIT DIGITAL LTD.</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680"/>
        <w:spacing w:after="0" w:line="184" w:lineRule="exact"/>
        <w:tabs>
          <w:tab w:leader="none" w:pos="568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6"/>
          <w:szCs w:val="16"/>
          <w:b w:val="1"/>
          <w:bCs w:val="1"/>
          <w:color w:val="auto"/>
        </w:rPr>
        <w:t>CONTENTS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and Financial Condition- Fourth Quarter and Full-Year 2020</w:t>
      </w:r>
    </w:p>
    <w:p>
      <w:pPr>
        <w:spacing w:after="0" w:line="198" w:lineRule="exact"/>
        <w:rPr>
          <w:sz w:val="20"/>
          <w:szCs w:val="20"/>
          <w:color w:val="auto"/>
        </w:rPr>
      </w:pPr>
    </w:p>
    <w:p>
      <w:pPr>
        <w:jc w:val="both"/>
        <w:ind w:right="20" w:firstLine="565"/>
        <w:spacing w:after="0" w:line="315" w:lineRule="auto"/>
        <w:rPr>
          <w:sz w:val="20"/>
          <w:szCs w:val="20"/>
          <w:color w:val="auto"/>
        </w:rPr>
      </w:pPr>
      <w:r>
        <w:rPr>
          <w:rFonts w:ascii="Arial" w:cs="Arial" w:eastAsia="Arial" w:hAnsi="Arial"/>
          <w:sz w:val="15"/>
          <w:szCs w:val="15"/>
          <w:color w:val="auto"/>
        </w:rPr>
        <w:t>On February 16, 2021 Kornit Digital Ltd. (“</w:t>
      </w:r>
      <w:r>
        <w:rPr>
          <w:rFonts w:ascii="Arial" w:cs="Arial" w:eastAsia="Arial" w:hAnsi="Arial"/>
          <w:sz w:val="15"/>
          <w:szCs w:val="15"/>
          <w:b w:val="1"/>
          <w:bCs w:val="1"/>
          <w:color w:val="auto"/>
        </w:rPr>
        <w:t>Kornit</w:t>
      </w:r>
      <w:r>
        <w:rPr>
          <w:rFonts w:ascii="Arial" w:cs="Arial" w:eastAsia="Arial" w:hAnsi="Arial"/>
          <w:sz w:val="15"/>
          <w:szCs w:val="15"/>
          <w:color w:val="auto"/>
        </w:rPr>
        <w:t xml:space="preserve">”) issued a press release entitled “Kornit Digital Reports Fourth Quarter and Full-Year 2020 Results,” in which Kornit reported its financial results for the fourth quarter and full-year ended December 31, 2020. A copy of that press release is furnished as </w:t>
      </w:r>
      <w:r>
        <w:rPr>
          <w:rFonts w:ascii="Arial" w:cs="Arial" w:eastAsia="Arial" w:hAnsi="Arial"/>
          <w:sz w:val="15"/>
          <w:szCs w:val="15"/>
          <w:u w:val="single" w:color="auto"/>
          <w:color w:val="auto"/>
        </w:rPr>
        <w:t>Exhibit 99.1</w:t>
      </w:r>
      <w:r>
        <w:rPr>
          <w:rFonts w:ascii="Arial" w:cs="Arial" w:eastAsia="Arial" w:hAnsi="Arial"/>
          <w:sz w:val="15"/>
          <w:szCs w:val="15"/>
          <w:color w:val="auto"/>
        </w:rPr>
        <w:t xml:space="preserve"> hereto.</w:t>
      </w:r>
    </w:p>
    <w:p>
      <w:pPr>
        <w:spacing w:after="0" w:line="12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6"/>
          <w:szCs w:val="16"/>
          <w:color w:val="auto"/>
        </w:rPr>
        <w:t xml:space="preserve">In conjunction with the conference call being held on February 16, 2021 to discuss Kornit’s results for the fourth quarter and full year ended December 31, 2020, Kornit also made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jc w:val="both"/>
        <w:ind w:firstLine="565"/>
        <w:spacing w:after="0" w:line="262" w:lineRule="auto"/>
        <w:rPr>
          <w:sz w:val="20"/>
          <w:szCs w:val="20"/>
          <w:color w:val="auto"/>
        </w:rPr>
      </w:pPr>
      <w:r>
        <w:rPr>
          <w:rFonts w:ascii="Arial" w:cs="Arial" w:eastAsia="Arial" w:hAnsi="Arial"/>
          <w:sz w:val="16"/>
          <w:szCs w:val="16"/>
          <w:color w:val="auto"/>
        </w:rPr>
        <w:t>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Form F-3 (File No. 333-248784) and Form S-8 (File No.’s 333-203970, 333-214015, 333-217039, 333-223794, 333-230567 and 333-237346).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Arial" w:cs="Arial" w:eastAsia="Arial" w:hAnsi="Arial"/>
                <w:sz w:val="16"/>
                <w:szCs w:val="16"/>
                <w:color w:val="auto"/>
              </w:rPr>
              <w:t>Date: February 16, 2021</w:t>
            </w:r>
          </w:p>
        </w:tc>
        <w:tc>
          <w:tcPr>
            <w:tcW w:w="7100" w:type="dxa"/>
            <w:vAlign w:val="bottom"/>
            <w:gridSpan w:val="2"/>
          </w:tcPr>
          <w:p>
            <w:pPr>
              <w:ind w:left="2600"/>
              <w:spacing w:after="0"/>
              <w:rPr>
                <w:sz w:val="20"/>
                <w:szCs w:val="20"/>
                <w:color w:val="auto"/>
              </w:rPr>
            </w:pPr>
            <w:r>
              <w:rPr>
                <w:rFonts w:ascii="Arial" w:cs="Arial" w:eastAsia="Arial" w:hAnsi="Arial"/>
                <w:sz w:val="16"/>
                <w:szCs w:val="16"/>
                <w:color w:val="auto"/>
              </w:rPr>
              <w:t>KORNIT DIGITAL LTD.</w:t>
            </w:r>
          </w:p>
        </w:tc>
      </w:tr>
      <w:tr>
        <w:trPr>
          <w:trHeight w:val="386"/>
        </w:trPr>
        <w:tc>
          <w:tcPr>
            <w:tcW w:w="4160" w:type="dxa"/>
            <w:vAlign w:val="bottom"/>
          </w:tcPr>
          <w:p>
            <w:pPr>
              <w:spacing w:after="0"/>
              <w:rPr>
                <w:sz w:val="24"/>
                <w:szCs w:val="24"/>
                <w:color w:val="auto"/>
              </w:rPr>
            </w:pPr>
          </w:p>
        </w:tc>
        <w:tc>
          <w:tcPr>
            <w:tcW w:w="3260" w:type="dxa"/>
            <w:vAlign w:val="bottom"/>
          </w:tcPr>
          <w:p>
            <w:pPr>
              <w:ind w:left="2600"/>
              <w:spacing w:after="0"/>
              <w:rPr>
                <w:sz w:val="20"/>
                <w:szCs w:val="20"/>
                <w:color w:val="auto"/>
              </w:rPr>
            </w:pPr>
            <w:r>
              <w:rPr>
                <w:rFonts w:ascii="Arial" w:cs="Arial" w:eastAsia="Arial" w:hAnsi="Arial"/>
                <w:sz w:val="16"/>
                <w:szCs w:val="16"/>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4160" w:type="dxa"/>
            <w:vAlign w:val="bottom"/>
          </w:tcPr>
          <w:p>
            <w:pPr>
              <w:spacing w:after="0"/>
              <w:rPr>
                <w:sz w:val="15"/>
                <w:szCs w:val="15"/>
                <w:color w:val="auto"/>
              </w:rPr>
            </w:pPr>
          </w:p>
        </w:tc>
        <w:tc>
          <w:tcPr>
            <w:tcW w:w="3260" w:type="dxa"/>
            <w:vAlign w:val="bottom"/>
          </w:tcPr>
          <w:p>
            <w:pPr>
              <w:ind w:left="2600"/>
              <w:spacing w:after="0" w:line="179" w:lineRule="exact"/>
              <w:rPr>
                <w:sz w:val="20"/>
                <w:szCs w:val="20"/>
                <w:color w:val="auto"/>
              </w:rPr>
            </w:pPr>
            <w:r>
              <w:rPr>
                <w:rFonts w:ascii="Arial" w:cs="Arial" w:eastAsia="Arial" w:hAnsi="Arial"/>
                <w:sz w:val="16"/>
                <w:szCs w:val="16"/>
                <w:color w:val="auto"/>
              </w:rPr>
              <w:t>Name:</w:t>
            </w:r>
          </w:p>
        </w:tc>
        <w:tc>
          <w:tcPr>
            <w:tcW w:w="3840" w:type="dxa"/>
            <w:vAlign w:val="bottom"/>
          </w:tcPr>
          <w:p>
            <w:pPr>
              <w:spacing w:after="0" w:line="179" w:lineRule="exact"/>
              <w:rPr>
                <w:sz w:val="20"/>
                <w:szCs w:val="20"/>
                <w:color w:val="auto"/>
              </w:rPr>
            </w:pPr>
            <w:r>
              <w:rPr>
                <w:rFonts w:ascii="Arial" w:cs="Arial" w:eastAsia="Arial" w:hAnsi="Arial"/>
                <w:sz w:val="16"/>
                <w:szCs w:val="16"/>
                <w:color w:val="auto"/>
              </w:rPr>
              <w:t>Alon Rozner</w:t>
            </w:r>
          </w:p>
        </w:tc>
      </w:tr>
      <w:tr>
        <w:trPr>
          <w:trHeight w:val="204"/>
        </w:trPr>
        <w:tc>
          <w:tcPr>
            <w:tcW w:w="4160" w:type="dxa"/>
            <w:vAlign w:val="bottom"/>
          </w:tcPr>
          <w:p>
            <w:pPr>
              <w:spacing w:after="0"/>
              <w:rPr>
                <w:sz w:val="17"/>
                <w:szCs w:val="17"/>
                <w:color w:val="auto"/>
              </w:rPr>
            </w:pPr>
          </w:p>
        </w:tc>
        <w:tc>
          <w:tcPr>
            <w:tcW w:w="3260" w:type="dxa"/>
            <w:vAlign w:val="bottom"/>
          </w:tcPr>
          <w:p>
            <w:pPr>
              <w:ind w:left="2600"/>
              <w:spacing w:after="0"/>
              <w:rPr>
                <w:sz w:val="20"/>
                <w:szCs w:val="20"/>
                <w:color w:val="auto"/>
              </w:rPr>
            </w:pPr>
            <w:r>
              <w:rPr>
                <w:rFonts w:ascii="Arial" w:cs="Arial" w:eastAsia="Arial" w:hAnsi="Arial"/>
                <w:sz w:val="16"/>
                <w:szCs w:val="16"/>
                <w:color w:val="auto"/>
              </w:rPr>
              <w:t>Title:</w:t>
            </w:r>
          </w:p>
        </w:tc>
        <w:tc>
          <w:tcPr>
            <w:tcW w:w="38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jc w:val="center"/>
              <w:ind w:right="1160"/>
              <w:spacing w:after="0"/>
              <w:rPr>
                <w:sz w:val="20"/>
                <w:szCs w:val="20"/>
                <w:color w:val="auto"/>
              </w:rPr>
            </w:pPr>
            <w:r>
              <w:rPr>
                <w:rFonts w:ascii="Arial" w:cs="Arial" w:eastAsia="Arial" w:hAnsi="Arial"/>
                <w:sz w:val="16"/>
                <w:szCs w:val="16"/>
                <w:b w:val="1"/>
                <w:bCs w:val="1"/>
                <w:color w:val="auto"/>
                <w:w w:val="94"/>
              </w:rPr>
              <w:t>Exhibit Index</w:t>
            </w:r>
          </w:p>
        </w:tc>
      </w:tr>
      <w:tr>
        <w:trPr>
          <w:trHeight w:val="386"/>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Pr>
          <w:p>
            <w:pPr>
              <w:ind w:left="462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99.1</w:t>
            </w:r>
          </w:p>
        </w:tc>
        <w:tc>
          <w:tcPr>
            <w:tcW w:w="100" w:type="dxa"/>
            <w:vAlign w:val="bottom"/>
            <w:tcBorders>
              <w:top w:val="single" w:sz="8" w:color="CCEEFF"/>
            </w:tcBorders>
            <w:shd w:val="clear" w:color="auto" w:fill="CCEEFF"/>
          </w:tcPr>
          <w:p>
            <w:pPr>
              <w:spacing w:after="0"/>
              <w:rPr>
                <w:sz w:val="16"/>
                <w:szCs w:val="16"/>
                <w:color w:val="auto"/>
              </w:rPr>
            </w:pPr>
          </w:p>
        </w:tc>
        <w:tc>
          <w:tcPr>
            <w:tcW w:w="10020" w:type="dxa"/>
            <w:vAlign w:val="bottom"/>
            <w:tcBorders>
              <w:top w:val="single" w:sz="8" w:color="auto"/>
            </w:tcBorders>
            <w:shd w:val="clear" w:color="auto" w:fill="CCEEFF"/>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Press release, dated February 16, 2021, titled “Kornit Digital Reports Fourth Quarter and Full-Year 2020 Results”</w:t>
              </w:r>
            </w:hyperlink>
          </w:p>
        </w:tc>
      </w:tr>
      <w:tr>
        <w:trPr>
          <w:trHeight w:val="191"/>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2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6"/>
                <w:szCs w:val="16"/>
                <w:color w:val="auto"/>
              </w:rPr>
            </w:pPr>
          </w:p>
        </w:tc>
        <w:tc>
          <w:tcPr>
            <w:tcW w:w="10020" w:type="dxa"/>
            <w:vAlign w:val="bottom"/>
            <w:shd w:val="clear" w:color="auto" w:fill="CCEEFF"/>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Slide presentation for conference call of Kornit held on February 16, 2021</w:t>
              </w:r>
            </w:hyperlink>
          </w:p>
        </w:tc>
      </w:tr>
      <w:tr>
        <w:trPr>
          <w:trHeight w:val="577"/>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jc w:val="right"/>
              <w:ind w:right="552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Allise Furlani</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Blueshirt Group</w:t>
      </w:r>
    </w:p>
    <w:p>
      <w:pPr>
        <w:spacing w:after="0" w:line="7" w:lineRule="exact"/>
        <w:rPr>
          <w:sz w:val="20"/>
          <w:szCs w:val="20"/>
          <w:color w:val="auto"/>
        </w:rPr>
      </w:pPr>
    </w:p>
    <w:p>
      <w:pPr>
        <w:ind w:left="4" w:right="9500" w:hanging="4"/>
        <w:spacing w:after="0" w:line="330" w:lineRule="auto"/>
        <w:tabs>
          <w:tab w:leader="none" w:pos="389" w:val="left"/>
        </w:tabs>
        <w:numPr>
          <w:ilvl w:val="0"/>
          <w:numId w:val="1"/>
        </w:numPr>
        <w:rPr>
          <w:rFonts w:ascii="Arial" w:cs="Arial" w:eastAsia="Arial" w:hAnsi="Arial"/>
          <w:sz w:val="14"/>
          <w:szCs w:val="14"/>
          <w:color w:val="auto"/>
        </w:rPr>
      </w:pPr>
      <w:r>
        <w:rPr>
          <w:rFonts w:ascii="Arial" w:cs="Arial" w:eastAsia="Arial" w:hAnsi="Arial"/>
          <w:sz w:val="14"/>
          <w:szCs w:val="14"/>
          <w:color w:val="auto"/>
        </w:rPr>
        <w:t>331-8433 Allise@blueshirtgroup.com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62355" cy="637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355" cy="63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Kornit Digital Reports Fourth Quarter and Full-Year 2020 Results</w:t>
      </w:r>
    </w:p>
    <w:p>
      <w:pPr>
        <w:spacing w:after="0" w:line="198"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Record Quarter with 49% Year-Over-Year Growth and Accelerating Momentum</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Record $34.3 million net cash from operations</w:t>
      </w:r>
    </w:p>
    <w:p>
      <w:pPr>
        <w:spacing w:after="0" w:line="202"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Fourth quarter revenue grew 49% year-over-year to $72.3 million, net of non-cash warrants impact of $1.8 million</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Fourth quarter GAAP operating profit of $9.0 million; Non-GAAP operating profit of $11.8 million, net of $1.8 million attributed to the non-cash impact of warrants</w:t>
      </w:r>
    </w:p>
    <w:p>
      <w:pPr>
        <w:spacing w:after="0" w:line="18"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growth, profitability and cash from operations significantly exceed expectations</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Record growth in recurring consumables business, and services outperformance</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Entering 2021 with strong backlog and visibility</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 xml:space="preserve">Rosh-Ha’Ayin, Israel – February 16, 2021 – </w:t>
      </w:r>
      <w:r>
        <w:rPr>
          <w:rFonts w:ascii="Arial" w:cs="Arial" w:eastAsia="Arial" w:hAnsi="Arial"/>
          <w:sz w:val="15"/>
          <w:szCs w:val="15"/>
          <w:color w:val="auto"/>
        </w:rPr>
        <w:t>Kornit Digital Ltd. (NASDAQ: KRNT) today reported results for the fourth quarter and full-year ended December 31, 2020.</w:t>
      </w:r>
    </w:p>
    <w:p>
      <w:pPr>
        <w:spacing w:after="0" w:line="214" w:lineRule="exact"/>
        <w:rPr>
          <w:sz w:val="20"/>
          <w:szCs w:val="20"/>
          <w:color w:val="auto"/>
        </w:rPr>
      </w:pPr>
    </w:p>
    <w:p>
      <w:pPr>
        <w:jc w:val="both"/>
        <w:ind w:left="4"/>
        <w:spacing w:after="0" w:line="280" w:lineRule="auto"/>
        <w:rPr>
          <w:sz w:val="20"/>
          <w:szCs w:val="20"/>
          <w:color w:val="auto"/>
        </w:rPr>
      </w:pPr>
      <w:r>
        <w:rPr>
          <w:rFonts w:ascii="Arial" w:cs="Arial" w:eastAsia="Arial" w:hAnsi="Arial"/>
          <w:sz w:val="15"/>
          <w:szCs w:val="15"/>
          <w:color w:val="auto"/>
        </w:rPr>
        <w:t>“We delivered record fourth quarter results, exceeding our expectations on revenue growth, profitability, and net cash from operations, capping off a transformative year for Kornit,” said Ronen Samuel, Kornit Digital’s Chief Executive Officer. “2020 is the year in which the textile industry hit an inflection point. The massive leap in e-commerce and the exposed inefficiency of the traditional textile supply chain is accelerating the digital transformation that Kornit is leading. We see new and existing customers significantly expanding production capacity globally, and our recurring consumables business is growing strongly.”</w:t>
      </w:r>
    </w:p>
    <w:p>
      <w:pPr>
        <w:spacing w:after="0" w:line="151"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Mr. Samuel continued: “We started 2021 more confident than ever, with accelerating industry tailwinds, an impressive backlog of global expansion projects with strategic accounts that we are in the process of fulfilling, and an extremely robust pipeline. 2021 will be an exciting year for Kornit, filled with strategic initiatives including the launch of new powerful products, introduction of a ground-breaking proprietary 3D textile application that will bring to the market unique embroidery, high-density printing, and vinyl heat transfer effects and significantly expand our addressable market, activity with the world’s largest brands, expansion of our software business line and entry into new market verticals. In 2018 we laid out our management goal to become a $500 million revenue run rate business at the end of 2023, and we are more confident than ever in our ability to achieve this goal ahead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p>
      <w:pPr>
        <w:ind w:right="20"/>
        <w:spacing w:after="0" w:line="275" w:lineRule="auto"/>
        <w:rPr>
          <w:sz w:val="20"/>
          <w:szCs w:val="20"/>
          <w:color w:val="auto"/>
        </w:rPr>
      </w:pPr>
      <w:r>
        <w:rPr>
          <w:rFonts w:ascii="Arial" w:cs="Arial" w:eastAsia="Arial" w:hAnsi="Arial"/>
          <w:sz w:val="16"/>
          <w:szCs w:val="16"/>
          <w:color w:val="auto"/>
        </w:rPr>
        <w:t>The following table compares the adverse, non-cash impact that our outstanding warrants had on our results of operations during the fourth quarters of 2020 and 2019,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3"/>
              </w:rPr>
              <w:t>Fourth Quarter Warrants Impact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6"/>
                <w:szCs w:val="16"/>
                <w:b w:val="1"/>
                <w:bCs w:val="1"/>
                <w:color w:val="auto"/>
                <w:w w:val="88"/>
              </w:rPr>
              <w:t>December 31,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92"/>
              </w:rPr>
              <w:t>Net of</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92"/>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Warrants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14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Impact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Impact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Impact</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Impact</w:t>
            </w:r>
          </w:p>
        </w:tc>
      </w:tr>
      <w:tr>
        <w:trPr>
          <w:trHeight w:val="191"/>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72.3M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1.8M</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48.7M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1.1M</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Non-GAAP Gross Margin</w:t>
            </w: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51.8%</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117bps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50.2%</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113bps</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203bps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200bps</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Non-GAAP Net Margin</w:t>
            </w: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204bps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194bps</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0.02</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compares the adverse, non-cash impact that our outstanding warrants had on our results of operations during the full-years 2020 and 2019,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4"/>
              </w:rPr>
              <w:t>Full-Year Warrants Impact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6"/>
                <w:szCs w:val="16"/>
                <w:b w:val="1"/>
                <w:bCs w:val="1"/>
                <w:color w:val="auto"/>
                <w:w w:val="88"/>
              </w:rPr>
              <w:t>December 31,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92"/>
              </w:rPr>
              <w:t>Net of</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40"/>
              <w:spacing w:after="0" w:line="175" w:lineRule="exact"/>
              <w:rPr>
                <w:sz w:val="20"/>
                <w:szCs w:val="20"/>
                <w:color w:val="auto"/>
              </w:rPr>
            </w:pPr>
            <w:r>
              <w:rPr>
                <w:rFonts w:ascii="Arial" w:cs="Arial" w:eastAsia="Arial" w:hAnsi="Arial"/>
                <w:sz w:val="16"/>
                <w:szCs w:val="16"/>
                <w:b w:val="1"/>
                <w:bCs w:val="1"/>
                <w:color w:val="auto"/>
                <w:w w:val="92"/>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Warrants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14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Impact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Impact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Impact</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Impact</w:t>
            </w:r>
          </w:p>
        </w:tc>
      </w:tr>
      <w:tr>
        <w:trPr>
          <w:trHeight w:val="191"/>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193.3M</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5.4M</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179.9M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5.1M</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Non-GAAP Gross Margin</w:t>
            </w: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46.7%</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144bps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47.9%</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144bps</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263bps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248bps</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Non-GAAP Net Margin</w:t>
            </w: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257bps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245bps</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0.13</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 w:name="page7"/>
    <w:bookmarkEnd w:id="6"/>
    <w:p>
      <w:pPr>
        <w:jc w:val="both"/>
        <w:ind w:right="20"/>
        <w:spacing w:after="0" w:line="258" w:lineRule="auto"/>
        <w:rPr>
          <w:sz w:val="20"/>
          <w:szCs w:val="20"/>
          <w:color w:val="auto"/>
        </w:rPr>
      </w:pPr>
      <w:r>
        <w:rPr>
          <w:rFonts w:ascii="Arial" w:cs="Arial" w:eastAsia="Arial" w:hAnsi="Arial"/>
          <w:sz w:val="16"/>
          <w:szCs w:val="16"/>
          <w:color w:val="auto"/>
        </w:rPr>
        <w:t>“We are very pleased with our results for the fourth quarter delivering accelerating top-line growth and strong profitability, driven by a robust peak season and strength in our recurring consumables business,” said Alon Rozner, Kornit Digital’s Chief Financial Officer. “As we enter 2021, we have strong visibility and we are very excited by demand from global customers relying on Kornit to achieve their goals. Our significant order backlog and solid pipeline position us well to drive sizable growth and profitability in 2021 and beyond.”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2020 Results of Operations</w:t>
      </w:r>
    </w:p>
    <w:p>
      <w:pPr>
        <w:spacing w:after="0" w:line="202" w:lineRule="exact"/>
        <w:rPr>
          <w:sz w:val="20"/>
          <w:szCs w:val="20"/>
          <w:color w:val="auto"/>
        </w:rPr>
      </w:pPr>
    </w:p>
    <w:p>
      <w:pPr>
        <w:ind w:left="560" w:right="20" w:hanging="278"/>
        <w:spacing w:after="0" w:line="257"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for the fourth quarter of 2020 was $72.3 million, net of $1.8 million attributed to the non-cash impact of warrants, compared to $48.7 million, net of $1.1 million attributed to the non-cash impact of warrants in the prior year period.</w:t>
      </w:r>
    </w:p>
    <w:p>
      <w:pPr>
        <w:spacing w:after="0" w:line="1" w:lineRule="exact"/>
        <w:rPr>
          <w:rFonts w:ascii="Arial" w:cs="Arial" w:eastAsia="Arial" w:hAnsi="Arial"/>
          <w:sz w:val="16"/>
          <w:szCs w:val="16"/>
          <w:color w:val="auto"/>
        </w:rPr>
      </w:pPr>
    </w:p>
    <w:p>
      <w:pPr>
        <w:ind w:left="560" w:right="20" w:hanging="278"/>
        <w:spacing w:after="0" w:line="249"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net income for the fourth quarter of 2020 was $5.9 million, or $0.12 per diluted share, compared to net income of $4.8 million, or $0.11 per diluted share, for the fourth quarter of 2019.</w:t>
      </w:r>
    </w:p>
    <w:p>
      <w:pPr>
        <w:jc w:val="both"/>
        <w:ind w:left="560" w:hanging="278"/>
        <w:spacing w:after="0" w:line="254"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income for the fourth quarter of 2020 was $11.5 million, or $0.24 per diluted share, including $0.04 per diluted share attributed to the non-cash impact of warrants, compared to non-GAAP net income of $7.1 million, or $0.17 per diluted share, net of $0.02 per diluted share attributed to the non-cash impact of warrants, for the fourth quarter of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2020 Results of Operations</w:t>
      </w:r>
    </w:p>
    <w:p>
      <w:pPr>
        <w:spacing w:after="0" w:line="202" w:lineRule="exact"/>
        <w:rPr>
          <w:sz w:val="20"/>
          <w:szCs w:val="20"/>
          <w:color w:val="auto"/>
        </w:rPr>
      </w:pPr>
    </w:p>
    <w:p>
      <w:pPr>
        <w:ind w:left="560" w:right="20" w:hanging="278"/>
        <w:spacing w:after="0" w:line="257"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revenue for the full-year 2020 revenue was $193.3 million, net of $5.4 million attributed to the non-cash impact of warrants, compared to $179.9 million, net of $5.1 million attributed to the non-cash impact of warrants in the prior year period.</w:t>
      </w:r>
    </w:p>
    <w:p>
      <w:pPr>
        <w:spacing w:after="0" w:line="1" w:lineRule="exact"/>
        <w:rPr>
          <w:rFonts w:ascii="Arial" w:cs="Arial" w:eastAsia="Arial" w:hAnsi="Arial"/>
          <w:sz w:val="16"/>
          <w:szCs w:val="16"/>
          <w:color w:val="auto"/>
        </w:rPr>
      </w:pPr>
    </w:p>
    <w:p>
      <w:pPr>
        <w:ind w:left="560" w:hanging="278"/>
        <w:spacing w:after="0" w:line="249"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GAAP net loss for the full-year 2020 was $4.8 million, or $0.11 per diluted share, compared to net income of $10.2 million, or $0.26 per diluted share, for the full-year 2019.</w:t>
      </w:r>
    </w:p>
    <w:p>
      <w:pPr>
        <w:ind w:left="560" w:hanging="278"/>
        <w:spacing w:after="0" w:line="330" w:lineRule="auto"/>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Non-GAAP net income for the full-year 2020 was $9.0 million, or $0.21 per diluted share, net of $0.12 per diluted share attributed to the non-cash impact of warrants, compared to $19.6 million, or $0.49 per diluted share, net of $0.13 per diluted share attributed to the non-cash impact of warrants, for the full-year 2019.</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2021 Guidance</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 as referenced below.</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Fourth Quarter Earnings Conference Call Information</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Company will host a conference call today at 5:00 p.m. ET, or 12:00 a.m.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13715009.</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13715009. The telephonic replay will be available beginning at 8:00 p.m. ET on Tuesday, February 16, 2021, until 11:59 p.m. ET on Tuesday, March 2, 2021. The call will also be available for replay via the webcast link on Kornit’s Investor Relations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of the global COVID-19 pandemic, which, if extending for further significant periods of time, may impact once again, in a material adverse manner, our operations, financial position and cash flows, and those of our customers and suppliers;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Item 3.D of the Company’s Annual Report on Form 20-F for the year ended December 31, 2019, filed with the U.S. Securities and Exchange Commission, or SEC, on March 23, 2020, as supplemented from time to time, including in the prospectus supplement filed by the Company with the SEC pursuant to Rule 424(b)(5) under the Securities Act of 1933 on September 17, 2020. on March 23, 2020. Any forward-looking statements in this press release are made as of the date hereof, whether as a result of new information, future events or otherwise, except as required by law.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9"/>
          <w:szCs w:val="19"/>
          <w:b w:val="1"/>
          <w:bCs w:val="1"/>
          <w:color w:val="auto"/>
        </w:rPr>
        <w:t>KORNIT DIGITAL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r>
      <w:tr>
        <w:trPr>
          <w:trHeight w:val="212"/>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125,777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40,743</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Short-term bank deposit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224,804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95,000</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Marketable securities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13,718</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32,567</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51,566</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40,510</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Inventory</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52,487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37,477</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accounts receivable and prepaid expenses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9,178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6,985</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current assets</w:t>
            </w:r>
          </w:p>
        </w:tc>
        <w:tc>
          <w:tcPr>
            <w:tcW w:w="26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477,530</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253,282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LONG-TERM ASSETS: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71,636</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95,393</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Deposits and prepaid expenses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Severance pay fund</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Deferred taxes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5,096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7,781</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29,255</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17,489</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21,053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22,806</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7,221</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2,494</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Goodwill</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16,466</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5,564</w:t>
            </w:r>
          </w:p>
        </w:tc>
        <w:tc>
          <w:tcPr>
            <w:tcW w:w="100" w:type="dxa"/>
            <w:vAlign w:val="bottom"/>
          </w:tcPr>
          <w:p>
            <w:pPr>
              <w:spacing w:after="0"/>
              <w:rPr>
                <w:sz w:val="18"/>
                <w:szCs w:val="18"/>
                <w:color w:val="auto"/>
              </w:rPr>
            </w:pP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151,459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152,184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628,989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405,466</w:t>
            </w:r>
          </w:p>
        </w:tc>
        <w:tc>
          <w:tcPr>
            <w:tcW w:w="100" w:type="dxa"/>
            <w:vAlign w:val="bottom"/>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7"/>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CURRENT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23,449</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Employees and payroll accruals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15,022</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9,165</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revenues and advances from customers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27,019</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2,688</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3,957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accrued expenses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6,373</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current liabilities</w:t>
            </w:r>
          </w:p>
        </w:tc>
        <w:tc>
          <w:tcPr>
            <w:tcW w:w="26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89,627</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45,577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LONG-TERM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Accrued severance pay</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18,688</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19,231</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long-term liabilities</w:t>
            </w:r>
          </w:p>
        </w:tc>
        <w:tc>
          <w:tcPr>
            <w:tcW w:w="26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20,345</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21,586</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SHAREHOLDERS’ EQUITY</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519,017</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338,303</w:t>
            </w:r>
          </w:p>
        </w:tc>
        <w:tc>
          <w:tcPr>
            <w:tcW w:w="100" w:type="dxa"/>
            <w:vAlign w:val="bottom"/>
          </w:tcPr>
          <w:p>
            <w:pPr>
              <w:spacing w:after="0"/>
              <w:rPr>
                <w:sz w:val="18"/>
                <w:szCs w:val="18"/>
                <w:color w:val="auto"/>
              </w:rPr>
            </w:pPr>
          </w:p>
        </w:tc>
      </w:tr>
      <w:tr>
        <w:trPr>
          <w:trHeight w:val="191"/>
        </w:trPr>
        <w:tc>
          <w:tcPr>
            <w:tcW w:w="60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606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2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628,989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405,466</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10" w:name="page11"/>
    <w:bookmarkEnd w:id="10"/>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right"/>
              <w:ind w:right="26"/>
              <w:spacing w:after="0"/>
              <w:rPr>
                <w:sz w:val="20"/>
                <w:szCs w:val="20"/>
                <w:color w:val="auto"/>
              </w:rPr>
            </w:pPr>
            <w:r>
              <w:rPr>
                <w:rFonts w:ascii="Arial" w:cs="Arial" w:eastAsia="Arial" w:hAnsi="Arial"/>
                <w:sz w:val="16"/>
                <w:szCs w:val="16"/>
                <w:b w:val="1"/>
                <w:bCs w:val="1"/>
                <w:color w:val="auto"/>
              </w:rPr>
              <w:t>Year Ended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164,918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156,594</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61,382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42,247</w:t>
            </w:r>
          </w:p>
        </w:tc>
        <w:tc>
          <w:tcPr>
            <w:tcW w:w="0" w:type="dxa"/>
            <w:vAlign w:val="bottom"/>
          </w:tcPr>
          <w:p>
            <w:pPr>
              <w:spacing w:after="0"/>
              <w:rPr>
                <w:sz w:val="1"/>
                <w:szCs w:val="1"/>
                <w:color w:val="auto"/>
              </w:rPr>
            </w:pPr>
          </w:p>
        </w:tc>
      </w:tr>
      <w:tr>
        <w:trPr>
          <w:trHeight w:val="207"/>
        </w:trPr>
        <w:tc>
          <w:tcPr>
            <w:tcW w:w="5980" w:type="dxa"/>
            <w:vAlign w:val="bottom"/>
          </w:tcPr>
          <w:p>
            <w:pPr>
              <w:ind w:left="180"/>
              <w:spacing w:after="0"/>
              <w:rPr>
                <w:sz w:val="20"/>
                <w:szCs w:val="20"/>
                <w:color w:val="auto"/>
              </w:rPr>
            </w:pPr>
            <w:r>
              <w:rPr>
                <w:rFonts w:ascii="Arial" w:cs="Arial" w:eastAsia="Arial" w:hAnsi="Arial"/>
                <w:sz w:val="16"/>
                <w:szCs w:val="16"/>
                <w:color w:val="auto"/>
              </w:rPr>
              <w:t>Services</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28,413</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10,909</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6,403</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193,331</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179,866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72,291</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48,650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00"/>
              <w:spacing w:after="0"/>
              <w:rPr>
                <w:sz w:val="20"/>
                <w:szCs w:val="20"/>
                <w:color w:val="auto"/>
              </w:rPr>
            </w:pPr>
            <w:r>
              <w:rPr>
                <w:rFonts w:ascii="Arial" w:cs="Arial" w:eastAsia="Arial" w:hAnsi="Arial"/>
                <w:sz w:val="16"/>
                <w:szCs w:val="16"/>
                <w:color w:val="auto"/>
              </w:rPr>
              <w:t>Products</w:t>
            </w: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75,040</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71,057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24,923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17,746</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30,490</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10,424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6,870</w:t>
            </w: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105,530</w:t>
            </w:r>
          </w:p>
        </w:tc>
        <w:tc>
          <w:tcPr>
            <w:tcW w:w="24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97,790</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35,347</w:t>
            </w:r>
          </w:p>
        </w:tc>
        <w:tc>
          <w:tcPr>
            <w:tcW w:w="2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24,616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87,801</w:t>
            </w: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82,076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36,944</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31,464</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22,407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9,251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6,021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and marketing</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36,405</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33,573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207"/>
        </w:trPr>
        <w:tc>
          <w:tcPr>
            <w:tcW w:w="59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26,661</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18,498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94,530</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74,478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27,985</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(6,729)</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8,959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3,308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(expenses), net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3,498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(929)</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Income (loss) before taxes on income</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(3,231)</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10,911</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8,030</w:t>
            </w: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5,494</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Taxes on income (Tax benefit)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1,552</w:t>
            </w:r>
          </w:p>
        </w:tc>
        <w:tc>
          <w:tcPr>
            <w:tcW w:w="3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2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earnings (losses)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0.13</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w w:val="94"/>
              </w:rPr>
              <w:t>Weighted average number of shares used in computing basic earnings (losses) per share</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42,286,275</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38,079,394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45,941,153</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40,655,404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earnings (losses)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w w:val="92"/>
              </w:rPr>
              <w:t>Weighted average number of shares used in computing diluted earnings (losses) per share</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42,286,275</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39,294,115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47,226,835</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42,210,359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RECONCILATION OF GAAP TO NON-GAAP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 except share and per share data)</w:t>
      </w:r>
    </w:p>
    <w:p>
      <w:pPr>
        <w:sectPr>
          <w:pgSz w:w="11900" w:h="16838" w:orient="portrait"/>
          <w:cols w:equalWidth="0" w:num="1">
            <w:col w:w="11260"/>
          </w:cols>
          <w:pgMar w:left="320" w:top="816" w:right="319" w:bottom="0" w:gutter="0" w:footer="0" w:header="0"/>
        </w:sectPr>
      </w:pPr>
    </w:p>
    <w:p>
      <w:pPr>
        <w:spacing w:after="0" w:line="182"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Year Ended</w:t>
      </w:r>
    </w:p>
    <w:p>
      <w:pPr>
        <w:spacing w:after="0" w:line="24"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8" w:lineRule="exact"/>
        <w:rPr>
          <w:sz w:val="20"/>
          <w:szCs w:val="20"/>
          <w:color w:val="auto"/>
        </w:rPr>
      </w:pPr>
    </w:p>
    <w:p>
      <w:pPr>
        <w:ind w:left="6380"/>
        <w:spacing w:after="0"/>
        <w:tabs>
          <w:tab w:leader="none" w:pos="7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29845</wp:posOffset>
            </wp:positionV>
            <wp:extent cx="159321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159321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8"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36830</wp:posOffset>
            </wp:positionV>
            <wp:extent cx="15481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15481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80" w:space="720"/>
            <w:col w:w="2160"/>
          </w:cols>
          <w:pgMar w:left="320" w:top="816" w:right="31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105,530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97,790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35,347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24,616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(1,056)</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(284)</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Excess cost of product on acquired inventory (a)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(2,790)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COVID-19 one time impact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(520)</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cost of revenues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103,083</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93,720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34,835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24,232</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gross profit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87,801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82,076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36,944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24,034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Gross profit adjustments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2,447</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gross profit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90,248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86,146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37,456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24,418</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operating expenses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94,530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74,478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27,985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20,726</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(8,209)</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(5,462)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COVID-19 one time impact (4)</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85,030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67,968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25,656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18,596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Financial income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3,498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(929)</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1,320</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Financial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4,818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363</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Taxes on income (Tax benefit)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706</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 (b)</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Taxes on income (Tax benefit)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999</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2,153</w:t>
            </w:r>
          </w:p>
        </w:tc>
        <w:tc>
          <w:tcPr>
            <w:tcW w:w="14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620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(4,783)</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10,167</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5,901</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4,756</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10,036</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COVID-19 one time impact (4)</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451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Excess cost of product on acquired inventory (a)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1,320</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Deferred taxes on income (Tax benefit) (b)</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1,259</w:t>
            </w: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9,037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42,286,275</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39,294,115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47,226,835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42,210,359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43,712,110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39,751,470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47,556,867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42,710,001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40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1,056</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284</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1"/>
        </w:trPr>
        <w:tc>
          <w:tcPr>
            <w:tcW w:w="598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1,712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469</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2,893</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3,604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10,036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(2) Acquisition related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Cost of product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400"/>
              <w:spacing w:after="0"/>
              <w:rPr>
                <w:sz w:val="20"/>
                <w:szCs w:val="20"/>
                <w:color w:val="auto"/>
              </w:rPr>
            </w:pPr>
            <w:r>
              <w:rPr>
                <w:rFonts w:ascii="Arial" w:cs="Arial" w:eastAsia="Arial" w:hAnsi="Arial"/>
                <w:sz w:val="16"/>
                <w:szCs w:val="16"/>
                <w:color w:val="auto"/>
              </w:rPr>
              <w:t>Selling and marketing</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648</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(3) Intangible assets amortization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40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0" w:gutter="0" w:footer="0" w:header="0"/>
          <w:type w:val="continuous"/>
        </w:sectPr>
      </w:pPr>
    </w:p>
    <w:bookmarkStart w:id="12" w:name="page13"/>
    <w:bookmarkEnd w:id="12"/>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980" w:type="dxa"/>
            <w:vAlign w:val="bottom"/>
          </w:tcPr>
          <w:p>
            <w:pPr>
              <w:ind w:left="40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362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757</w:t>
            </w: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0"/>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(4) COVID-19 one time impact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400"/>
              <w:spacing w:after="0"/>
              <w:rPr>
                <w:sz w:val="20"/>
                <w:szCs w:val="20"/>
                <w:color w:val="auto"/>
              </w:rPr>
            </w:pPr>
            <w:r>
              <w:rPr>
                <w:rFonts w:ascii="Arial" w:cs="Arial" w:eastAsia="Arial" w:hAnsi="Arial"/>
                <w:sz w:val="16"/>
                <w:szCs w:val="16"/>
                <w:color w:val="auto"/>
              </w:rPr>
              <w:t>Cost of service revenues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Research and development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40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General and administrative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451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64" w:right="20" w:hanging="564"/>
        <w:spacing w:after="0" w:line="274" w:lineRule="auto"/>
        <w:tabs>
          <w:tab w:leader="none" w:pos="564"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 w:lineRule="exact"/>
        <w:rPr>
          <w:rFonts w:ascii="Arial" w:cs="Arial" w:eastAsia="Arial" w:hAnsi="Arial"/>
          <w:sz w:val="15"/>
          <w:szCs w:val="15"/>
          <w:color w:val="auto"/>
        </w:rPr>
      </w:pPr>
    </w:p>
    <w:p>
      <w:pPr>
        <w:ind w:left="564" w:hanging="564"/>
        <w:spacing w:after="0"/>
        <w:tabs>
          <w:tab w:leader="none" w:pos="564"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 cash impact related to the recognition of deferred taxes with respect to carryforward losses in Israel.</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7"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left="560"/>
              <w:spacing w:after="0"/>
              <w:rPr>
                <w:sz w:val="20"/>
                <w:szCs w:val="20"/>
                <w:color w:val="auto"/>
              </w:rPr>
            </w:pPr>
            <w:r>
              <w:rPr>
                <w:rFonts w:ascii="Arial" w:cs="Arial" w:eastAsia="Arial" w:hAnsi="Arial"/>
                <w:sz w:val="16"/>
                <w:szCs w:val="16"/>
                <w:b w:val="1"/>
                <w:bCs w:val="1"/>
                <w:color w:val="auto"/>
                <w:w w:val="90"/>
              </w:rPr>
              <w:t>Year Ended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6"/>
                <w:szCs w:val="16"/>
                <w:b w:val="1"/>
                <w:bCs w:val="1"/>
                <w:color w:val="auto"/>
                <w:w w:val="88"/>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90"/>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54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(4,783)</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10,167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4,756</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w w:val="95"/>
              </w:rPr>
              <w:t>Adjustments to reconcile net income to net cash provided by operating activities: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4,711</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Fair value of warrants deducted from revenues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5,366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10,036</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Amortization of discount on marketable securities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395</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147</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Realized gain on sale of marketable securities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(increase) in trade receivables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(9,529)</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(18,617)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(1,596)</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4,727</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other receivables and prepaid expenses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(2,333)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(718)</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in inventory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(15,827)</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(4,183)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(6,298)</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operating leases right-of-use assets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(increase) in deferred taxes, net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2,177</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 other long term assets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in trade payables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6,864</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6,293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operating lease liabilities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1,321</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in employees and payroll accruals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6,366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(decrease) in deferred revenues and advances from customers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24,286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16,623</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in other payables and accrued expenses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4,822</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(decrease) in accrued severance pay, net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143</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 other long term liabilities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(877)</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(925)</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sale and disposal of property and Equipment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139</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20" w:type="dxa"/>
            <w:vAlign w:val="bottom"/>
            <w:gridSpan w:val="3"/>
          </w:tcPr>
          <w:p>
            <w:pPr>
              <w:spacing w:after="0" w:line="179" w:lineRule="exact"/>
              <w:rPr>
                <w:sz w:val="20"/>
                <w:szCs w:val="20"/>
                <w:color w:val="auto"/>
              </w:rPr>
            </w:pPr>
            <w:r>
              <w:rPr>
                <w:rFonts w:ascii="Arial" w:cs="Arial" w:eastAsia="Arial" w:hAnsi="Arial"/>
                <w:sz w:val="16"/>
                <w:szCs w:val="16"/>
                <w:color w:val="auto"/>
                <w:w w:val="93"/>
              </w:rPr>
              <w:t>Foreign currency translation income (loss) on inter company balances with foreign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20" w:type="dxa"/>
            <w:vAlign w:val="bottom"/>
            <w:gridSpan w:val="3"/>
          </w:tcPr>
          <w:p>
            <w:pPr>
              <w:ind w:left="160"/>
              <w:spacing w:after="0"/>
              <w:rPr>
                <w:sz w:val="20"/>
                <w:szCs w:val="20"/>
                <w:color w:val="auto"/>
              </w:rPr>
            </w:pPr>
            <w:r>
              <w:rPr>
                <w:rFonts w:ascii="Arial" w:cs="Arial" w:eastAsia="Arial" w:hAnsi="Arial"/>
                <w:sz w:val="16"/>
                <w:szCs w:val="16"/>
                <w:color w:val="auto"/>
              </w:rPr>
              <w:t>subsidiaries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(362)</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Arial" w:cs="Arial" w:eastAsia="Arial" w:hAnsi="Arial"/>
                <w:sz w:val="16"/>
                <w:szCs w:val="16"/>
                <w:color w:val="auto"/>
              </w:rPr>
              <w:t>Net cash provided by operating activities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32,410</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34,344</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14,948</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420" w:type="dxa"/>
            <w:vAlign w:val="bottom"/>
            <w:gridSpan w:val="3"/>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Purchase of property and equipment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(13,489)</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(5,416)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(2,731)</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Acquisition of intangible assets and capitalization of software development costs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(121)</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Proceeds from sale of property and equipment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paid in connection with acquisition</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(15,535)</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(476)</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in bank deposits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(129,804)</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(172,996)</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58,532</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21,706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marketable securities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(35,923)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(115,529)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(17,381)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(70,930)</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(114,630)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(191,884)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(69,267)</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2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secondary offering, net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162,720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Payment of deferred issuance cost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(739)</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(739)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5,660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718</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Payments related to shares withheld for taxes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(596)</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(514)</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of contingent consideration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167,045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209</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172</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20" w:type="dxa"/>
            <w:vAlign w:val="bottom"/>
            <w:tcBorders>
              <w:top w:val="single" w:sz="8" w:color="CCEEFF"/>
            </w:tcBorders>
            <w:gridSpan w:val="3"/>
          </w:tcPr>
          <w:p>
            <w:pPr>
              <w:spacing w:after="0" w:line="175" w:lineRule="exact"/>
              <w:rPr>
                <w:sz w:val="20"/>
                <w:szCs w:val="20"/>
                <w:color w:val="auto"/>
              </w:rPr>
            </w:pPr>
            <w:r>
              <w:rPr>
                <w:rFonts w:ascii="Arial" w:cs="Arial" w:eastAsia="Arial" w:hAnsi="Arial"/>
                <w:sz w:val="16"/>
                <w:szCs w:val="16"/>
                <w:color w:val="auto"/>
              </w:rPr>
              <w:t>Increase (decrease) in cash and cash equivalents</w:t>
            </w: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85,034</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(33,389)</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(157,903)</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(53,927)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40,743</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74,132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283,680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94,670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6"/>
                <w:szCs w:val="16"/>
                <w:color w:val="auto"/>
              </w:rPr>
              <w:t>Cash and cash equivalents at the end of the period</w:t>
            </w: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gridSpan w:val="3"/>
            <w:vMerge w:val="continue"/>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125,777</w:t>
            </w:r>
          </w:p>
        </w:tc>
        <w:tc>
          <w:tcPr>
            <w:tcW w:w="3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40,743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125,777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40,743</w:t>
            </w:r>
          </w:p>
        </w:tc>
        <w:tc>
          <w:tcPr>
            <w:tcW w:w="0" w:type="dxa"/>
            <w:vAlign w:val="bottom"/>
          </w:tcPr>
          <w:p>
            <w:pPr>
              <w:spacing w:after="0"/>
              <w:rPr>
                <w:sz w:val="1"/>
                <w:szCs w:val="1"/>
                <w:color w:val="auto"/>
              </w:rPr>
            </w:pPr>
          </w:p>
        </w:tc>
      </w:tr>
      <w:tr>
        <w:trPr>
          <w:trHeight w:val="187"/>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Non-cash investing and financing activities: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Purchase of property and equipment on credit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1,904</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Property and equipment transferred to be used as inventory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Issuance expenses on credit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Acquisition costs on credit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2,929</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8,307</w:t>
            </w:r>
          </w:p>
        </w:tc>
        <w:tc>
          <w:tcPr>
            <w:tcW w:w="0" w:type="dxa"/>
            <w:vAlign w:val="bottom"/>
          </w:tcPr>
          <w:p>
            <w:pPr>
              <w:spacing w:after="0"/>
              <w:rPr>
                <w:sz w:val="1"/>
                <w:szCs w:val="1"/>
                <w:color w:val="auto"/>
              </w:rPr>
            </w:pPr>
          </w:p>
        </w:tc>
      </w:tr>
      <w:tr>
        <w:trPr>
          <w:trHeight w:val="204"/>
        </w:trPr>
        <w:tc>
          <w:tcPr>
            <w:tcW w:w="5420" w:type="dxa"/>
            <w:vAlign w:val="bottom"/>
            <w:gridSpan w:val="3"/>
          </w:tcPr>
          <w:p>
            <w:pPr>
              <w:spacing w:after="0"/>
              <w:rPr>
                <w:sz w:val="20"/>
                <w:szCs w:val="20"/>
                <w:color w:val="auto"/>
              </w:rPr>
            </w:pPr>
            <w:r>
              <w:rPr>
                <w:rFonts w:ascii="Arial" w:cs="Arial" w:eastAsia="Arial" w:hAnsi="Arial"/>
                <w:sz w:val="16"/>
                <w:szCs w:val="16"/>
                <w:color w:val="auto"/>
              </w:rPr>
              <w:t>Capitalization of software development costs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565"/>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25" w:gutter="0" w:footer="0" w:header="0"/>
        </w:sectPr>
      </w:pPr>
    </w:p>
    <w:bookmarkStart w:id="14" w:name="page15"/>
    <w:bookmarkEnd w:id="14"/>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4340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1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2021-02-16T16:14:50Z</dcterms:created>
  <dcterms:modified xsi:type="dcterms:W3CDTF">2021-02-16T16:14:50Z</dcterms:modified>
</cp:coreProperties>
</file>