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RULE 13a-16 OR 15d-16 OF</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For the month of </w:t>
      </w:r>
      <w:r>
        <w:rPr>
          <w:rFonts w:ascii="Times New Roman" w:cs="Times New Roman" w:eastAsia="Times New Roman" w:hAnsi="Times New Roman"/>
          <w:sz w:val="16"/>
          <w:szCs w:val="16"/>
          <w:b w:val="1"/>
          <w:bCs w:val="1"/>
          <w:color w:val="auto"/>
        </w:rPr>
        <w:t>February 2024</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001-36903</w:t>
      </w:r>
    </w:p>
    <w:p>
      <w:pPr>
        <w:spacing w:after="0" w:line="17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9"/>
          <w:szCs w:val="29"/>
          <w:b w:val="1"/>
          <w:bCs w:val="1"/>
          <w:color w:val="auto"/>
        </w:rPr>
        <w:t>KORNIT DIGITAL LTD.</w:t>
      </w:r>
    </w:p>
    <w:p>
      <w:pPr>
        <w:spacing w:after="0" w:line="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78"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6"/>
          <w:szCs w:val="16"/>
          <w:b w:val="1"/>
          <w:bCs w:val="1"/>
          <w:color w:val="auto"/>
        </w:rPr>
        <w:t>12 Ha’Amal Street</w:t>
      </w:r>
    </w:p>
    <w:p>
      <w:pPr>
        <w:spacing w:after="0" w:line="26"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6"/>
          <w:szCs w:val="16"/>
          <w:b w:val="1"/>
          <w:bCs w:val="1"/>
          <w:color w:val="auto"/>
        </w:rPr>
        <w:t>Park Afek</w:t>
      </w:r>
    </w:p>
    <w:p>
      <w:pPr>
        <w:spacing w:after="0" w:line="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6"/>
          <w:szCs w:val="16"/>
          <w:b w:val="1"/>
          <w:bCs w:val="1"/>
          <w:color w:val="auto"/>
        </w:rPr>
        <w:t>Rosh Ha’Ayin 4824096 Israel</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74" w:lineRule="exact"/>
        <w:rPr>
          <w:sz w:val="24"/>
          <w:szCs w:val="24"/>
          <w:color w:val="auto"/>
        </w:rPr>
      </w:pPr>
    </w:p>
    <w:p>
      <w:pPr>
        <w:ind w:left="4640"/>
        <w:spacing w:after="0" w:line="184" w:lineRule="exact"/>
        <w:tabs>
          <w:tab w:leader="none" w:pos="572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182245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576580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bookmarkStart w:id="1" w:name="page2"/>
    <w:bookmarkEnd w:id="1"/>
    <w:p>
      <w:pPr>
        <w:ind w:left="5180"/>
        <w:spacing w:after="0"/>
        <w:rPr>
          <w:sz w:val="20"/>
          <w:szCs w:val="20"/>
          <w:color w:val="auto"/>
        </w:rPr>
      </w:pPr>
      <w:r>
        <w:rPr>
          <w:rFonts w:ascii="Times New Roman" w:cs="Times New Roman" w:eastAsia="Times New Roman" w:hAnsi="Times New Roman"/>
          <w:sz w:val="16"/>
          <w:szCs w:val="16"/>
          <w:b w:val="1"/>
          <w:bCs w:val="1"/>
          <w:color w:val="auto"/>
        </w:rPr>
        <w:t>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 and Financial Condition- Quarter and Year Ended December 31, 2023</w:t>
      </w:r>
    </w:p>
    <w:p>
      <w:pPr>
        <w:spacing w:after="0" w:line="200" w:lineRule="exact"/>
        <w:rPr>
          <w:sz w:val="20"/>
          <w:szCs w:val="20"/>
          <w:color w:val="auto"/>
        </w:rPr>
      </w:pPr>
    </w:p>
    <w:p>
      <w:pPr>
        <w:ind w:right="340" w:firstLine="574"/>
        <w:spacing w:after="0" w:line="283" w:lineRule="auto"/>
        <w:rPr>
          <w:sz w:val="20"/>
          <w:szCs w:val="20"/>
          <w:color w:val="auto"/>
        </w:rPr>
      </w:pPr>
      <w:r>
        <w:rPr>
          <w:rFonts w:ascii="Times New Roman" w:cs="Times New Roman" w:eastAsia="Times New Roman" w:hAnsi="Times New Roman"/>
          <w:sz w:val="16"/>
          <w:szCs w:val="16"/>
          <w:color w:val="auto"/>
        </w:rPr>
        <w:t>On February 14, 2024, Kornit Digital Ltd. (“</w:t>
      </w:r>
      <w:r>
        <w:rPr>
          <w:rFonts w:ascii="Times New Roman" w:cs="Times New Roman" w:eastAsia="Times New Roman" w:hAnsi="Times New Roman"/>
          <w:sz w:val="16"/>
          <w:szCs w:val="16"/>
          <w:b w:val="1"/>
          <w:bCs w:val="1"/>
          <w:color w:val="auto"/>
        </w:rPr>
        <w:t>Kornit</w:t>
      </w:r>
      <w:r>
        <w:rPr>
          <w:rFonts w:ascii="Times New Roman" w:cs="Times New Roman" w:eastAsia="Times New Roman" w:hAnsi="Times New Roman"/>
          <w:sz w:val="16"/>
          <w:szCs w:val="16"/>
          <w:color w:val="auto"/>
        </w:rPr>
        <w:t xml:space="preserve">”) issued a press release entitled “Kornit Digital Reports Fourth Quarter and Full Year 2023 Results,” in which Kornit reported its results of operations for the fourth quarter and year ended December 31, 2023. A copy of that press release is furnished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hereto.</w:t>
      </w:r>
    </w:p>
    <w:p>
      <w:pPr>
        <w:spacing w:after="0" w:line="142" w:lineRule="exact"/>
        <w:rPr>
          <w:sz w:val="20"/>
          <w:szCs w:val="20"/>
          <w:color w:val="auto"/>
        </w:rPr>
      </w:pPr>
    </w:p>
    <w:p>
      <w:pPr>
        <w:jc w:val="both"/>
        <w:ind w:right="40" w:firstLine="574"/>
        <w:spacing w:after="0" w:line="265" w:lineRule="auto"/>
        <w:rPr>
          <w:sz w:val="20"/>
          <w:szCs w:val="20"/>
          <w:color w:val="auto"/>
        </w:rPr>
      </w:pPr>
      <w:r>
        <w:rPr>
          <w:rFonts w:ascii="Times New Roman" w:cs="Times New Roman" w:eastAsia="Times New Roman" w:hAnsi="Times New Roman"/>
          <w:sz w:val="16"/>
          <w:szCs w:val="16"/>
          <w:color w:val="auto"/>
        </w:rPr>
        <w:t xml:space="preserve">Kornit is holding a conference call on February 14, 2024 to discuss its results for the quarter and year ended December 31, 2023, and, in connection with that call, will make available to its investors a slide presentation to provide additional information regarding its business and its financial results. That slide presentation is attached as </w:t>
      </w:r>
      <w:r>
        <w:rPr>
          <w:rFonts w:ascii="Times New Roman" w:cs="Times New Roman" w:eastAsia="Times New Roman" w:hAnsi="Times New Roman"/>
          <w:sz w:val="16"/>
          <w:szCs w:val="16"/>
          <w:u w:val="single" w:color="auto"/>
          <w:color w:val="auto"/>
        </w:rPr>
        <w:t>Exhibit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99.2</w:t>
      </w:r>
      <w:r>
        <w:rPr>
          <w:rFonts w:ascii="Times New Roman" w:cs="Times New Roman" w:eastAsia="Times New Roman" w:hAnsi="Times New Roman"/>
          <w:sz w:val="16"/>
          <w:szCs w:val="16"/>
          <w:color w:val="auto"/>
        </w:rPr>
        <w:t xml:space="preserve"> to this Report of Foreign Private Issuer on Form 6-K (this “</w:t>
      </w:r>
      <w:r>
        <w:rPr>
          <w:rFonts w:ascii="Times New Roman" w:cs="Times New Roman" w:eastAsia="Times New Roman" w:hAnsi="Times New Roman"/>
          <w:sz w:val="16"/>
          <w:szCs w:val="16"/>
          <w:b w:val="1"/>
          <w:bCs w:val="1"/>
          <w:color w:val="auto"/>
        </w:rPr>
        <w:t>Form 6-K</w:t>
      </w:r>
      <w:r>
        <w:rPr>
          <w:rFonts w:ascii="Times New Roman" w:cs="Times New Roman" w:eastAsia="Times New Roman" w:hAnsi="Times New Roman"/>
          <w:sz w:val="16"/>
          <w:szCs w:val="16"/>
          <w:color w:val="auto"/>
        </w:rPr>
        <w:t>”) and is incorporated herein by reference.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Incorporation by Reference</w:t>
      </w:r>
    </w:p>
    <w:p>
      <w:pPr>
        <w:spacing w:after="0" w:line="202" w:lineRule="exact"/>
        <w:rPr>
          <w:sz w:val="20"/>
          <w:szCs w:val="20"/>
          <w:color w:val="auto"/>
        </w:rPr>
      </w:pPr>
    </w:p>
    <w:p>
      <w:pPr>
        <w:ind w:right="220" w:firstLine="574"/>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S-8 (File No.’s </w:t>
      </w:r>
      <w:hyperlink r:id="rId13">
        <w:r>
          <w:rPr>
            <w:rFonts w:ascii="Times New Roman" w:cs="Times New Roman" w:eastAsia="Times New Roman" w:hAnsi="Times New Roman"/>
            <w:sz w:val="16"/>
            <w:szCs w:val="16"/>
            <w:u w:val="single" w:color="auto"/>
            <w:color w:val="0000EE"/>
          </w:rPr>
          <w:t>333-203970</w:t>
        </w:r>
      </w:hyperlink>
      <w:r>
        <w:rPr>
          <w:rFonts w:ascii="Times New Roman" w:cs="Times New Roman" w:eastAsia="Times New Roman" w:hAnsi="Times New Roman"/>
          <w:sz w:val="16"/>
          <w:szCs w:val="16"/>
          <w:color w:val="auto"/>
        </w:rPr>
        <w:t xml:space="preserve">, </w:t>
      </w:r>
      <w:hyperlink r:id="rId14">
        <w:r>
          <w:rPr>
            <w:rFonts w:ascii="Times New Roman" w:cs="Times New Roman" w:eastAsia="Times New Roman" w:hAnsi="Times New Roman"/>
            <w:sz w:val="16"/>
            <w:szCs w:val="16"/>
            <w:u w:val="single" w:color="auto"/>
            <w:color w:val="0000EE"/>
          </w:rPr>
          <w:t>333-214015</w:t>
        </w:r>
      </w:hyperlink>
      <w:r>
        <w:rPr>
          <w:rFonts w:ascii="Times New Roman" w:cs="Times New Roman" w:eastAsia="Times New Roman" w:hAnsi="Times New Roman"/>
          <w:sz w:val="16"/>
          <w:szCs w:val="16"/>
          <w:color w:val="auto"/>
        </w:rPr>
        <w:t xml:space="preserve">, </w:t>
      </w:r>
      <w:hyperlink r:id="rId15">
        <w:r>
          <w:rPr>
            <w:rFonts w:ascii="Times New Roman" w:cs="Times New Roman" w:eastAsia="Times New Roman" w:hAnsi="Times New Roman"/>
            <w:sz w:val="16"/>
            <w:szCs w:val="16"/>
            <w:u w:val="single" w:color="auto"/>
            <w:color w:val="0000EE"/>
          </w:rPr>
          <w:t>333-217039</w:t>
        </w:r>
      </w:hyperlink>
      <w:r>
        <w:rPr>
          <w:rFonts w:ascii="Times New Roman" w:cs="Times New Roman" w:eastAsia="Times New Roman" w:hAnsi="Times New Roman"/>
          <w:sz w:val="16"/>
          <w:szCs w:val="16"/>
          <w:color w:val="auto"/>
        </w:rPr>
        <w:t xml:space="preserve">, </w:t>
      </w:r>
      <w:hyperlink r:id="rId16">
        <w:r>
          <w:rPr>
            <w:rFonts w:ascii="Times New Roman" w:cs="Times New Roman" w:eastAsia="Times New Roman" w:hAnsi="Times New Roman"/>
            <w:sz w:val="16"/>
            <w:szCs w:val="16"/>
            <w:u w:val="single" w:color="auto"/>
            <w:color w:val="0000EE"/>
          </w:rPr>
          <w:t>333-223794</w:t>
        </w:r>
      </w:hyperlink>
      <w:r>
        <w:rPr>
          <w:rFonts w:ascii="Times New Roman" w:cs="Times New Roman" w:eastAsia="Times New Roman" w:hAnsi="Times New Roman"/>
          <w:sz w:val="16"/>
          <w:szCs w:val="16"/>
          <w:color w:val="auto"/>
        </w:rPr>
        <w:t xml:space="preserve">, </w:t>
      </w:r>
      <w:hyperlink r:id="rId17">
        <w:r>
          <w:rPr>
            <w:rFonts w:ascii="Times New Roman" w:cs="Times New Roman" w:eastAsia="Times New Roman" w:hAnsi="Times New Roman"/>
            <w:sz w:val="16"/>
            <w:szCs w:val="16"/>
            <w:u w:val="single" w:color="auto"/>
            <w:color w:val="0000EE"/>
          </w:rPr>
          <w:t>333-230567</w:t>
        </w:r>
      </w:hyperlink>
      <w:r>
        <w:rPr>
          <w:rFonts w:ascii="Times New Roman" w:cs="Times New Roman" w:eastAsia="Times New Roman" w:hAnsi="Times New Roman"/>
          <w:sz w:val="16"/>
          <w:szCs w:val="16"/>
          <w:color w:val="auto"/>
        </w:rPr>
        <w:t xml:space="preserve">, </w:t>
      </w:r>
      <w:hyperlink r:id="rId18">
        <w:r>
          <w:rPr>
            <w:rFonts w:ascii="Times New Roman" w:cs="Times New Roman" w:eastAsia="Times New Roman" w:hAnsi="Times New Roman"/>
            <w:sz w:val="16"/>
            <w:szCs w:val="16"/>
            <w:u w:val="single" w:color="auto"/>
            <w:color w:val="0000EE"/>
          </w:rPr>
          <w:t>333-237346</w:t>
        </w:r>
      </w:hyperlink>
      <w:r>
        <w:rPr>
          <w:rFonts w:ascii="Times New Roman" w:cs="Times New Roman" w:eastAsia="Times New Roman" w:hAnsi="Times New Roman"/>
          <w:sz w:val="16"/>
          <w:szCs w:val="16"/>
          <w:color w:val="auto"/>
        </w:rPr>
        <w:t xml:space="preserve">, </w:t>
      </w:r>
      <w:hyperlink r:id="rId19">
        <w:r>
          <w:rPr>
            <w:rFonts w:ascii="Times New Roman" w:cs="Times New Roman" w:eastAsia="Times New Roman" w:hAnsi="Times New Roman"/>
            <w:sz w:val="16"/>
            <w:szCs w:val="16"/>
            <w:u w:val="single" w:color="auto"/>
            <w:color w:val="0000EE"/>
          </w:rPr>
          <w:t>333-254749</w:t>
        </w:r>
      </w:hyperlink>
      <w:r>
        <w:rPr>
          <w:rFonts w:ascii="Times New Roman" w:cs="Times New Roman" w:eastAsia="Times New Roman" w:hAnsi="Times New Roman"/>
          <w:sz w:val="16"/>
          <w:szCs w:val="16"/>
          <w:color w:val="auto"/>
        </w:rPr>
        <w:t xml:space="preserve">, and </w:t>
      </w:r>
      <w:hyperlink r:id="rId20">
        <w:r>
          <w:rPr>
            <w:rFonts w:ascii="Times New Roman" w:cs="Times New Roman" w:eastAsia="Times New Roman" w:hAnsi="Times New Roman"/>
            <w:sz w:val="16"/>
            <w:szCs w:val="16"/>
            <w:u w:val="single" w:color="auto"/>
            <w:color w:val="0000EE"/>
          </w:rPr>
          <w:t>333-263975</w:t>
        </w:r>
      </w:hyperlink>
      <w:r>
        <w:rPr>
          <w:rFonts w:ascii="Times New Roman" w:cs="Times New Roman" w:eastAsia="Times New Roman" w:hAnsi="Times New Roman"/>
          <w:sz w:val="16"/>
          <w:szCs w:val="16"/>
          <w:color w:val="auto"/>
        </w:rPr>
        <w:t>).</w:t>
      </w:r>
    </w:p>
    <w:p>
      <w:pPr>
        <w:spacing w:after="0" w:line="151" w:lineRule="exact"/>
        <w:rPr>
          <w:rFonts w:ascii="Times New Roman" w:cs="Times New Roman" w:eastAsia="Times New Roman" w:hAnsi="Times New Roman"/>
          <w:sz w:val="16"/>
          <w:szCs w:val="16"/>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Exhibits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386"/>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gridSpan w:val="3"/>
          </w:tcPr>
          <w:p>
            <w:pPr>
              <w:ind w:left="43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55"/>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40" w:type="dxa"/>
            <w:vAlign w:val="bottom"/>
            <w:tcBorders>
              <w:right w:val="single" w:sz="8" w:color="CCEEFF"/>
            </w:tcBorders>
            <w:shd w:val="clear" w:color="auto" w:fill="CCEEFF"/>
          </w:tcPr>
          <w:p>
            <w:pPr>
              <w:spacing w:after="0"/>
              <w:rPr>
                <w:sz w:val="13"/>
                <w:szCs w:val="13"/>
                <w:color w:val="auto"/>
              </w:rPr>
            </w:pPr>
          </w:p>
        </w:tc>
        <w:tc>
          <w:tcPr>
            <w:tcW w:w="1010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February 14, 2024, titled “Kornit Digital Reports Fourth Quarter and Full Year 2023 Results”</w:t>
            </w:r>
          </w:p>
        </w:tc>
      </w:tr>
      <w:tr>
        <w:trPr>
          <w:trHeight w:val="36"/>
        </w:trPr>
        <w:tc>
          <w:tcPr>
            <w:tcW w:w="102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280" w:type="dxa"/>
            <w:vAlign w:val="bottom"/>
            <w:shd w:val="clear" w:color="auto" w:fill="0000EE"/>
          </w:tcPr>
          <w:p>
            <w:pPr>
              <w:spacing w:after="0"/>
              <w:rPr>
                <w:sz w:val="3"/>
                <w:szCs w:val="3"/>
                <w:color w:val="auto"/>
              </w:rPr>
            </w:pPr>
          </w:p>
        </w:tc>
        <w:tc>
          <w:tcPr>
            <w:tcW w:w="6920" w:type="dxa"/>
            <w:vAlign w:val="bottom"/>
            <w:shd w:val="clear" w:color="auto" w:fill="0000EE"/>
          </w:tcPr>
          <w:p>
            <w:pPr>
              <w:spacing w:after="0"/>
              <w:rPr>
                <w:sz w:val="3"/>
                <w:szCs w:val="3"/>
                <w:color w:val="auto"/>
              </w:rPr>
            </w:pPr>
          </w:p>
        </w:tc>
        <w:tc>
          <w:tcPr>
            <w:tcW w:w="258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55"/>
        </w:trPr>
        <w:tc>
          <w:tcPr>
            <w:tcW w:w="1020" w:type="dxa"/>
            <w:vAlign w:val="bottom"/>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40" w:type="dxa"/>
            <w:vAlign w:val="bottom"/>
          </w:tcPr>
          <w:p>
            <w:pPr>
              <w:spacing w:after="0"/>
              <w:rPr>
                <w:sz w:val="13"/>
                <w:szCs w:val="13"/>
                <w:color w:val="auto"/>
              </w:rPr>
            </w:pPr>
          </w:p>
        </w:tc>
        <w:tc>
          <w:tcPr>
            <w:tcW w:w="9780" w:type="dxa"/>
            <w:vAlign w:val="bottom"/>
            <w:tcBorders>
              <w:bottom w:val="single" w:sz="8" w:color="0000EE"/>
            </w:tcBorders>
            <w:gridSpan w:val="3"/>
          </w:tcPr>
          <w:p>
            <w:pPr>
              <w:spacing w:after="0" w:line="155" w:lineRule="exact"/>
              <w:rPr>
                <w:sz w:val="20"/>
                <w:szCs w:val="20"/>
                <w:color w:val="auto"/>
              </w:rPr>
            </w:pPr>
            <w:r>
              <w:rPr>
                <w:rFonts w:ascii="Times New Roman" w:cs="Times New Roman" w:eastAsia="Times New Roman" w:hAnsi="Times New Roman"/>
                <w:sz w:val="16"/>
                <w:szCs w:val="16"/>
                <w:color w:val="0000EE"/>
                <w:w w:val="99"/>
              </w:rPr>
              <w:t>Slide presentation for conference call of Kornit held on February 14, 2024 discussing financial results for the fourth quarter and year ended December 31,</w:t>
            </w:r>
          </w:p>
        </w:tc>
        <w:tc>
          <w:tcPr>
            <w:tcW w:w="320" w:type="dxa"/>
            <w:vAlign w:val="bottom"/>
          </w:tcPr>
          <w:p>
            <w:pPr>
              <w:spacing w:after="0"/>
              <w:rPr>
                <w:sz w:val="13"/>
                <w:szCs w:val="13"/>
                <w:color w:val="auto"/>
              </w:rPr>
            </w:pPr>
          </w:p>
        </w:tc>
      </w:tr>
      <w:tr>
        <w:trPr>
          <w:trHeight w:val="171"/>
        </w:trPr>
        <w:tc>
          <w:tcPr>
            <w:tcW w:w="1020" w:type="dxa"/>
            <w:vAlign w:val="bottom"/>
          </w:tcPr>
          <w:p>
            <w:pPr>
              <w:spacing w:after="0"/>
              <w:rPr>
                <w:sz w:val="14"/>
                <w:szCs w:val="14"/>
                <w:color w:val="auto"/>
              </w:rPr>
            </w:pPr>
          </w:p>
        </w:tc>
        <w:tc>
          <w:tcPr>
            <w:tcW w:w="7340" w:type="dxa"/>
            <w:vAlign w:val="bottom"/>
            <w:gridSpan w:val="3"/>
          </w:tcPr>
          <w:p>
            <w:pPr>
              <w:ind w:left="120"/>
              <w:spacing w:after="0" w:line="171" w:lineRule="exact"/>
              <w:rPr>
                <w:sz w:val="20"/>
                <w:szCs w:val="20"/>
                <w:color w:val="auto"/>
              </w:rPr>
            </w:pPr>
            <w:r>
              <w:rPr>
                <w:rFonts w:ascii="Times New Roman" w:cs="Times New Roman" w:eastAsia="Times New Roman" w:hAnsi="Times New Roman"/>
                <w:sz w:val="16"/>
                <w:szCs w:val="16"/>
                <w:color w:val="0000EE"/>
              </w:rPr>
              <w:t>2023</w:t>
            </w:r>
          </w:p>
        </w:tc>
        <w:tc>
          <w:tcPr>
            <w:tcW w:w="25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593"/>
        </w:trPr>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6920" w:type="dxa"/>
            <w:vAlign w:val="bottom"/>
            <w:tcBorders>
              <w:bottom w:val="single" w:sz="8" w:color="auto"/>
            </w:tcBorders>
          </w:tcPr>
          <w:p>
            <w:pPr>
              <w:jc w:val="right"/>
              <w:ind w:right="2620"/>
              <w:spacing w:after="0"/>
              <w:rPr>
                <w:sz w:val="20"/>
                <w:szCs w:val="20"/>
                <w:color w:val="auto"/>
              </w:rPr>
            </w:pPr>
            <w:r>
              <w:rPr>
                <w:rFonts w:ascii="Times New Roman" w:cs="Times New Roman" w:eastAsia="Times New Roman" w:hAnsi="Times New Roman"/>
                <w:sz w:val="16"/>
                <w:szCs w:val="16"/>
                <w:color w:val="auto"/>
              </w:rPr>
              <w:t>1</w:t>
            </w:r>
          </w:p>
        </w:tc>
        <w:tc>
          <w:tcPr>
            <w:tcW w:w="2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100" w:firstLine="57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60" w:type="dxa"/>
            <w:vAlign w:val="bottom"/>
          </w:tcPr>
          <w:p>
            <w:pPr>
              <w:spacing w:after="0"/>
              <w:rPr>
                <w:sz w:val="18"/>
                <w:szCs w:val="18"/>
                <w:color w:val="auto"/>
              </w:rPr>
            </w:pPr>
          </w:p>
        </w:tc>
        <w:tc>
          <w:tcPr>
            <w:tcW w:w="7700" w:type="dxa"/>
            <w:vAlign w:val="bottom"/>
            <w:gridSpan w:val="3"/>
          </w:tcPr>
          <w:p>
            <w:pPr>
              <w:ind w:left="3200"/>
              <w:spacing w:after="0"/>
              <w:rPr>
                <w:sz w:val="20"/>
                <w:szCs w:val="20"/>
                <w:color w:val="auto"/>
              </w:rPr>
            </w:pPr>
            <w:r>
              <w:rPr>
                <w:rFonts w:ascii="Times New Roman" w:cs="Times New Roman" w:eastAsia="Times New Roman" w:hAnsi="Times New Roman"/>
                <w:sz w:val="16"/>
                <w:szCs w:val="16"/>
                <w:color w:val="auto"/>
              </w:rPr>
              <w:t>KORNIT DIGITAL LTD.</w:t>
            </w:r>
          </w:p>
        </w:tc>
      </w:tr>
      <w:tr>
        <w:trPr>
          <w:trHeight w:val="386"/>
        </w:trPr>
        <w:tc>
          <w:tcPr>
            <w:tcW w:w="3560" w:type="dxa"/>
            <w:vAlign w:val="bottom"/>
          </w:tcPr>
          <w:p>
            <w:pPr>
              <w:spacing w:after="0"/>
              <w:rPr>
                <w:sz w:val="20"/>
                <w:szCs w:val="20"/>
                <w:color w:val="auto"/>
              </w:rPr>
            </w:pPr>
            <w:r>
              <w:rPr>
                <w:rFonts w:ascii="Times New Roman" w:cs="Times New Roman" w:eastAsia="Times New Roman" w:hAnsi="Times New Roman"/>
                <w:sz w:val="16"/>
                <w:szCs w:val="16"/>
                <w:color w:val="auto"/>
              </w:rPr>
              <w:t>Date: February 14, 2024</w:t>
            </w:r>
          </w:p>
        </w:tc>
        <w:tc>
          <w:tcPr>
            <w:tcW w:w="3700" w:type="dxa"/>
            <w:vAlign w:val="bottom"/>
          </w:tcPr>
          <w:p>
            <w:pPr>
              <w:ind w:left="3200"/>
              <w:spacing w:after="0"/>
              <w:rPr>
                <w:sz w:val="20"/>
                <w:szCs w:val="20"/>
                <w:color w:val="auto"/>
              </w:rPr>
            </w:pPr>
            <w:r>
              <w:rPr>
                <w:rFonts w:ascii="Times New Roman" w:cs="Times New Roman" w:eastAsia="Times New Roman" w:hAnsi="Times New Roman"/>
                <w:sz w:val="16"/>
                <w:szCs w:val="16"/>
                <w:color w:val="auto"/>
              </w:rPr>
              <w:t>By:</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/s/ Lauri Hanover</w:t>
            </w:r>
          </w:p>
        </w:tc>
      </w:tr>
      <w:tr>
        <w:trPr>
          <w:trHeight w:val="175"/>
        </w:trPr>
        <w:tc>
          <w:tcPr>
            <w:tcW w:w="3560" w:type="dxa"/>
            <w:vAlign w:val="bottom"/>
          </w:tcPr>
          <w:p>
            <w:pPr>
              <w:spacing w:after="0"/>
              <w:rPr>
                <w:sz w:val="15"/>
                <w:szCs w:val="15"/>
                <w:color w:val="auto"/>
              </w:rPr>
            </w:pPr>
          </w:p>
        </w:tc>
        <w:tc>
          <w:tcPr>
            <w:tcW w:w="3700" w:type="dxa"/>
            <w:vAlign w:val="bottom"/>
          </w:tcPr>
          <w:p>
            <w:pPr>
              <w:ind w:left="3200"/>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60" w:type="dxa"/>
            <w:vAlign w:val="bottom"/>
          </w:tcPr>
          <w:p>
            <w:pPr>
              <w:spacing w:after="0"/>
              <w:rPr>
                <w:sz w:val="15"/>
                <w:szCs w:val="15"/>
                <w:color w:val="auto"/>
              </w:rPr>
            </w:pPr>
          </w:p>
        </w:tc>
        <w:tc>
          <w:tcPr>
            <w:tcW w:w="3940" w:type="dxa"/>
            <w:vAlign w:val="bottom"/>
            <w:tcBorders>
              <w:top w:val="single" w:sz="8" w:color="auto"/>
            </w:tcBorders>
          </w:tcPr>
          <w:p>
            <w:pPr>
              <w:ind w:left="40"/>
              <w:spacing w:after="0" w:line="175" w:lineRule="exact"/>
              <w:rPr>
                <w:sz w:val="20"/>
                <w:szCs w:val="20"/>
                <w:color w:val="auto"/>
              </w:rPr>
            </w:pPr>
            <w:r>
              <w:rPr>
                <w:rFonts w:ascii="Times New Roman" w:cs="Times New Roman" w:eastAsia="Times New Roman" w:hAnsi="Times New Roman"/>
                <w:sz w:val="16"/>
                <w:szCs w:val="16"/>
                <w:color w:val="auto"/>
              </w:rPr>
              <w:t>Lauri Hanover</w:t>
            </w:r>
          </w:p>
        </w:tc>
      </w:tr>
      <w:tr>
        <w:trPr>
          <w:trHeight w:val="208"/>
        </w:trPr>
        <w:tc>
          <w:tcPr>
            <w:tcW w:w="3560" w:type="dxa"/>
            <w:vAlign w:val="bottom"/>
          </w:tcPr>
          <w:p>
            <w:pPr>
              <w:spacing w:after="0"/>
              <w:rPr>
                <w:sz w:val="18"/>
                <w:szCs w:val="18"/>
                <w:color w:val="auto"/>
              </w:rPr>
            </w:pPr>
          </w:p>
        </w:tc>
        <w:tc>
          <w:tcPr>
            <w:tcW w:w="3700" w:type="dxa"/>
            <w:vAlign w:val="bottom"/>
          </w:tcPr>
          <w:p>
            <w:pPr>
              <w:ind w:left="3200"/>
              <w:spacing w:after="0"/>
              <w:rPr>
                <w:sz w:val="20"/>
                <w:szCs w:val="20"/>
                <w:color w:val="auto"/>
              </w:rPr>
            </w:pPr>
            <w:r>
              <w:rPr>
                <w:rFonts w:ascii="Times New Roman" w:cs="Times New Roman" w:eastAsia="Times New Roman" w:hAnsi="Times New Roman"/>
                <w:sz w:val="16"/>
                <w:szCs w:val="16"/>
                <w:color w:val="auto"/>
              </w:rPr>
              <w:t>Title:</w:t>
            </w:r>
          </w:p>
        </w:tc>
        <w:tc>
          <w:tcPr>
            <w:tcW w:w="40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768"/>
        </w:trPr>
        <w:tc>
          <w:tcPr>
            <w:tcW w:w="35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Jared Maymon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Global Head of Investor Relations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Jared.Maymon@Kornit.com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1092835" cy="614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1092835" cy="61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Kornit Digital Reports Fourth Quarter and Full Year 2023 Results</w:t>
      </w:r>
    </w:p>
    <w:p>
      <w:pPr>
        <w:spacing w:after="0" w:line="200" w:lineRule="exact"/>
        <w:rPr>
          <w:sz w:val="20"/>
          <w:szCs w:val="20"/>
          <w:color w:val="auto"/>
        </w:rPr>
      </w:pPr>
    </w:p>
    <w:p>
      <w:pPr>
        <w:ind w:left="560" w:hanging="278"/>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Fourth quarter revenues of $56.6 million, in line with previous guidance</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Fourth quarter GAAP net loss of $22.9 million; non-GAAP net income of $3.8 million</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Achieved breakeven adjusted EBITDA and generated positive operating cash flow for the fourth quarter</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Successfully launched the Apollo platform for general commercial use in early 2024</w:t>
      </w:r>
    </w:p>
    <w:p>
      <w:pPr>
        <w:spacing w:after="0" w:line="222" w:lineRule="exact"/>
        <w:rPr>
          <w:rFonts w:ascii="Times New Roman" w:cs="Times New Roman" w:eastAsia="Times New Roman" w:hAnsi="Times New Roman"/>
          <w:sz w:val="16"/>
          <w:szCs w:val="16"/>
          <w:color w:val="auto"/>
        </w:rPr>
      </w:pPr>
    </w:p>
    <w:p>
      <w:pPr>
        <w:ind w:left="560" w:hanging="278"/>
        <w:spacing w:after="0"/>
        <w:tabs>
          <w:tab w:leader="none" w:pos="5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Expecting modest revenue growth, adjusted EBITDA profitability, and positive operating cash flow for the full year 2024</w:t>
      </w:r>
    </w:p>
    <w:p>
      <w:pPr>
        <w:spacing w:after="0" w:line="196"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b w:val="1"/>
          <w:bCs w:val="1"/>
          <w:color w:val="auto"/>
        </w:rPr>
        <w:t xml:space="preserve">Rosh-Ha’Ayin, Israel – February 14, 2024 </w:t>
      </w:r>
      <w:r>
        <w:rPr>
          <w:rFonts w:ascii="Times New Roman" w:cs="Times New Roman" w:eastAsia="Times New Roman" w:hAnsi="Times New Roman"/>
          <w:sz w:val="16"/>
          <w:szCs w:val="16"/>
          <w:color w:val="auto"/>
        </w:rPr>
        <w:t>– Kornit Digital Ltd. (“Kornit” or the “Company”) (Nasdaq: KRNT), a worldwide market leader in sustainable, on-demand, digital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fashion</w:t>
      </w:r>
      <w:r>
        <w:rPr>
          <w:rFonts w:ascii="Times New Roman" w:cs="Times New Roman" w:eastAsia="Times New Roman" w:hAnsi="Times New Roman"/>
          <w:sz w:val="26"/>
          <w:szCs w:val="26"/>
          <w:color w:val="auto"/>
          <w:vertAlign w:val="superscript"/>
        </w:rPr>
        <w:t>X</w:t>
      </w:r>
      <w:r>
        <w:rPr>
          <w:rFonts w:ascii="Times New Roman" w:cs="Times New Roman" w:eastAsia="Times New Roman" w:hAnsi="Times New Roman"/>
          <w:sz w:val="16"/>
          <w:szCs w:val="16"/>
          <w:color w:val="auto"/>
        </w:rPr>
        <w:t xml:space="preserve"> and textile production technologies, reported today its results for the fourth quarter and full year ended December 31, 2023.</w:t>
      </w:r>
    </w:p>
    <w:p>
      <w:pPr>
        <w:spacing w:after="0" w:line="26"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6"/>
          <w:szCs w:val="16"/>
          <w:color w:val="auto"/>
        </w:rPr>
        <w:t>“We experienced a healthy peak season, with year-over-year growth in impressions and double-digit growth in high-margin consumable sales.” said Ronen Samuel, Kornit’s Chief Executive Officer. Mr. Samuel continued, “This growth, combined with improvements to our operating efficiency and working capital position, drove us to positive adjusted EBITDA and cash from operations in the fourth quarter.”</w:t>
      </w:r>
    </w:p>
    <w:p>
      <w:pPr>
        <w:spacing w:after="0" w:line="15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6"/>
          <w:szCs w:val="16"/>
          <w:color w:val="auto"/>
        </w:rPr>
        <w:t>Mr. Samuel concluded, “Despite a challenging operating environment in 2023, we made progress in further diversifying our customer base, established our MAX technology as the new industry standard, and completed a successful beta program for the Apollo. As we enter 2024, while we continue to anticipate macroeconomics headwinds to weigh on our sales cycle, we are focused on leveraging our key drivers to achieve modest revenue growth for the full year. In the first quarter we have taken further actions to restructure and realign our operating expenses with the current market environment. This puts us on solid footing to generate adjusted EBITDA profitability and positive operating cash flow for the full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Fourth Quarter 2023 Results of Operations</w:t>
      </w:r>
    </w:p>
    <w:p>
      <w:pPr>
        <w:spacing w:after="0" w:line="200" w:lineRule="exact"/>
        <w:rPr>
          <w:sz w:val="20"/>
          <w:szCs w:val="20"/>
          <w:color w:val="auto"/>
        </w:rPr>
      </w:pPr>
    </w:p>
    <w:p>
      <w:pPr>
        <w:ind w:left="560" w:hanging="27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 for the fourth quarter of 2023 was $56.6 million compared with $63.3 million in the prior year period, due primarily to lower systems revenues.</w:t>
      </w:r>
    </w:p>
    <w:p>
      <w:pPr>
        <w:spacing w:after="0" w:line="198" w:lineRule="exact"/>
        <w:rPr>
          <w:rFonts w:ascii="Times New Roman" w:cs="Times New Roman" w:eastAsia="Times New Roman" w:hAnsi="Times New Roman"/>
          <w:sz w:val="16"/>
          <w:szCs w:val="16"/>
          <w:color w:val="auto"/>
        </w:rPr>
      </w:pPr>
    </w:p>
    <w:p>
      <w:pPr>
        <w:ind w:left="560" w:right="300" w:hanging="278"/>
        <w:spacing w:after="0" w:line="280" w:lineRule="auto"/>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gross profit margin for the fourth quarter of 2023 was 25.8% compared with 33.7% in the prior year period. On a non-GAAP basis, gross profit margin was 48.6% compared with 36.4% in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223520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4" w:name="page5"/>
    <w:bookmarkEnd w:id="4"/>
    <w:p>
      <w:pPr>
        <w:ind w:left="560" w:right="200" w:hanging="278"/>
        <w:spacing w:after="0" w:line="28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operating expenses for the fourth quarter of 2023 were $42.4 million compared with $38.1 million in the prior year period. On a non-GAAP basis, operating expenses decreased by 8.7% to $30.1 million compared with the prior year period.</w:t>
      </w:r>
    </w:p>
    <w:p>
      <w:pPr>
        <w:spacing w:after="0" w:line="144" w:lineRule="exact"/>
        <w:rPr>
          <w:rFonts w:ascii="Times New Roman" w:cs="Times New Roman" w:eastAsia="Times New Roman" w:hAnsi="Times New Roman"/>
          <w:sz w:val="16"/>
          <w:szCs w:val="16"/>
          <w:color w:val="auto"/>
        </w:rPr>
      </w:pPr>
    </w:p>
    <w:p>
      <w:pPr>
        <w:ind w:left="560" w:right="60" w:hanging="278"/>
        <w:spacing w:after="0" w:line="28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loss for the fourth quarter of 2023 was $22.9 million, or ($0.48) per basic share, compared with net loss of $35.4 million, or ($0.71) per basic share, for the fourth quarter of 2022.</w:t>
      </w:r>
    </w:p>
    <w:p>
      <w:pPr>
        <w:spacing w:after="0" w:line="144" w:lineRule="exact"/>
        <w:rPr>
          <w:rFonts w:ascii="Times New Roman" w:cs="Times New Roman" w:eastAsia="Times New Roman" w:hAnsi="Times New Roman"/>
          <w:sz w:val="16"/>
          <w:szCs w:val="16"/>
          <w:color w:val="auto"/>
        </w:rPr>
      </w:pPr>
    </w:p>
    <w:p>
      <w:pPr>
        <w:ind w:left="560" w:right="120" w:hanging="278"/>
        <w:spacing w:after="0" w:line="28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for the fourth quarter of 2023 was $3.8 million, or $0.08 per diluted share, compared with non-GAAP net loss of $6.6 million, or ($0.13) per basic share, for the fourth quarter of 2022.</w:t>
      </w:r>
    </w:p>
    <w:p>
      <w:pPr>
        <w:spacing w:after="0" w:line="144" w:lineRule="exact"/>
        <w:rPr>
          <w:rFonts w:ascii="Times New Roman" w:cs="Times New Roman" w:eastAsia="Times New Roman" w:hAnsi="Times New Roman"/>
          <w:sz w:val="16"/>
          <w:szCs w:val="16"/>
          <w:color w:val="auto"/>
        </w:rPr>
      </w:pPr>
    </w:p>
    <w:p>
      <w:pPr>
        <w:ind w:left="560" w:right="380" w:hanging="278"/>
        <w:spacing w:after="0" w:line="280" w:lineRule="auto"/>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for the fourth quarter of 2023 was $0.2 million compared with adjusted EBITDA loss of $6.1 million for the fourth quarter of 2022. Adjusted EBITDA margin for the fourth quarter of 2023 was 0.3% compared with -9.6% for the fourth quarter of 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Full Year 2023 Results of Operations</w:t>
      </w:r>
    </w:p>
    <w:p>
      <w:pPr>
        <w:spacing w:after="0" w:line="200" w:lineRule="exact"/>
        <w:rPr>
          <w:sz w:val="20"/>
          <w:szCs w:val="20"/>
          <w:color w:val="auto"/>
        </w:rPr>
      </w:pPr>
    </w:p>
    <w:p>
      <w:pPr>
        <w:ind w:left="560" w:hanging="278"/>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 for the full year 2023 was $219.8 million compared with $271.5 million in the prior year, due primarily to lower systems revenues.</w:t>
      </w:r>
    </w:p>
    <w:p>
      <w:pPr>
        <w:spacing w:after="0" w:line="198" w:lineRule="exact"/>
        <w:rPr>
          <w:rFonts w:ascii="Times New Roman" w:cs="Times New Roman" w:eastAsia="Times New Roman" w:hAnsi="Times New Roman"/>
          <w:sz w:val="16"/>
          <w:szCs w:val="16"/>
          <w:color w:val="auto"/>
        </w:rPr>
      </w:pPr>
    </w:p>
    <w:p>
      <w:pPr>
        <w:ind w:left="560" w:right="100" w:hanging="278"/>
        <w:spacing w:after="0" w:line="280"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gross profit margin for the full year 2023 was 30.5% compared with 35.5% in the prior year. On a non-GAAP basis, gross profit margin was 38.4% compared with 38.2% in the prior year.</w:t>
      </w:r>
    </w:p>
    <w:p>
      <w:pPr>
        <w:spacing w:after="0" w:line="144" w:lineRule="exact"/>
        <w:rPr>
          <w:rFonts w:ascii="Times New Roman" w:cs="Times New Roman" w:eastAsia="Times New Roman" w:hAnsi="Times New Roman"/>
          <w:sz w:val="16"/>
          <w:szCs w:val="16"/>
          <w:color w:val="auto"/>
        </w:rPr>
      </w:pPr>
    </w:p>
    <w:p>
      <w:pPr>
        <w:ind w:left="560" w:right="400" w:hanging="278"/>
        <w:spacing w:after="0" w:line="280"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operating expenses for the full year 2023 were $154.5 million compared with $166.4 million in the prior year. On a non-GAAP basis, operating expenses decreased by 12.3% to $127.7 million compared with the prior year.</w:t>
      </w:r>
    </w:p>
    <w:p>
      <w:pPr>
        <w:spacing w:after="0" w:line="144" w:lineRule="exact"/>
        <w:rPr>
          <w:rFonts w:ascii="Times New Roman" w:cs="Times New Roman" w:eastAsia="Times New Roman" w:hAnsi="Times New Roman"/>
          <w:sz w:val="16"/>
          <w:szCs w:val="16"/>
          <w:color w:val="auto"/>
        </w:rPr>
      </w:pPr>
    </w:p>
    <w:p>
      <w:pPr>
        <w:ind w:left="560" w:hanging="278"/>
        <w:spacing w:after="0" w:line="280"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loss for the full year 2023 was $64.4 million, or ($1.31) per basic share, compared with net loss of $79.1 million, or ($1.59) per basic share, for the full year 2022.</w:t>
      </w:r>
    </w:p>
    <w:p>
      <w:pPr>
        <w:spacing w:after="0" w:line="144" w:lineRule="exact"/>
        <w:rPr>
          <w:rFonts w:ascii="Times New Roman" w:cs="Times New Roman" w:eastAsia="Times New Roman" w:hAnsi="Times New Roman"/>
          <w:sz w:val="16"/>
          <w:szCs w:val="16"/>
          <w:color w:val="auto"/>
        </w:rPr>
      </w:pPr>
    </w:p>
    <w:p>
      <w:pPr>
        <w:ind w:left="560" w:right="360" w:hanging="278"/>
        <w:spacing w:after="0" w:line="280"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loss for the full year 2023 was $20.4 million, or ($0.42) per basic share, compared with non-GAAP net loss of $32.6 million, or ($0.66) per basic share, for the full year 2022.</w:t>
      </w:r>
    </w:p>
    <w:p>
      <w:pPr>
        <w:spacing w:after="0" w:line="144" w:lineRule="exact"/>
        <w:rPr>
          <w:rFonts w:ascii="Times New Roman" w:cs="Times New Roman" w:eastAsia="Times New Roman" w:hAnsi="Times New Roman"/>
          <w:sz w:val="16"/>
          <w:szCs w:val="16"/>
          <w:color w:val="auto"/>
        </w:rPr>
      </w:pPr>
    </w:p>
    <w:p>
      <w:pPr>
        <w:ind w:left="560" w:right="360" w:hanging="278"/>
        <w:spacing w:after="0" w:line="280" w:lineRule="auto"/>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loss for the full year 2023 was $30.9 million compared with adjusted EBITDA loss of $30.8 million for the full year 2022. Adjusted EBITDA margin for the full year 2023 was -14.0% compared with -11.3% for the full year 2022.</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First Quarter 2024 Guidance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first quarter of 2024, the Company expects revenues to be in the range of $43 million to $48 million and adjusted EBITDA margin between –16% to –26% of revenue.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guidance for revenue and adjusted EBITDA margin </w:t>
      </w:r>
      <w:r>
        <w:rPr>
          <w:rFonts w:ascii="Times New Roman" w:cs="Times New Roman" w:eastAsia="Times New Roman" w:hAnsi="Times New Roman"/>
          <w:sz w:val="16"/>
          <w:szCs w:val="16"/>
          <w:u w:val="single" w:color="auto"/>
          <w:color w:val="auto"/>
        </w:rPr>
        <w:t>includes</w:t>
      </w:r>
      <w:r>
        <w:rPr>
          <w:rFonts w:ascii="Times New Roman" w:cs="Times New Roman" w:eastAsia="Times New Roman" w:hAnsi="Times New Roman"/>
          <w:sz w:val="16"/>
          <w:szCs w:val="16"/>
          <w:color w:val="auto"/>
        </w:rPr>
        <w:t xml:space="preserve"> the impact of the non-cash expense associated with the fair value of the Company’s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Fourth Quarter and Full Year 2023 Earnings Conference Call Information</w:t>
      </w:r>
    </w:p>
    <w:p>
      <w:pPr>
        <w:spacing w:after="0" w:line="200"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6"/>
          <w:szCs w:val="16"/>
          <w:color w:val="auto"/>
        </w:rPr>
        <w:t>The Company will host a conference call today at 8:30 a.m. ET, or 3:30 p.m. Israel time, to discuss the results, followed by a question-and-answer session with the investor community.</w:t>
      </w: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816" w:right="379" w:bottom="1440" w:gutter="0" w:footer="0" w:header="0"/>
        </w:sectPr>
      </w:pPr>
    </w:p>
    <w:bookmarkStart w:id="5" w:name="page6"/>
    <w:bookmarkEnd w:id="5"/>
    <w:p>
      <w:pPr>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 live webcast of the call </w:t>
      </w:r>
      <w:r>
        <w:rPr>
          <w:rFonts w:ascii="Times New Roman" w:cs="Times New Roman" w:eastAsia="Times New Roman" w:hAnsi="Times New Roman"/>
          <w:sz w:val="16"/>
          <w:szCs w:val="16"/>
          <w:color w:val="auto"/>
        </w:rPr>
        <w:t>can be accessed at ir.kornit.com. To access the call, participants may dial toll-free at 1-877-407-0792 or 1-201-689-8263. The toll-free Israeli number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1 809 406 247. The conference confirmation code is 13744080.</w:t>
      </w:r>
    </w:p>
    <w:p>
      <w:pPr>
        <w:spacing w:after="0" w:line="14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To listen to a replay </w:t>
      </w:r>
      <w:r>
        <w:rPr>
          <w:rFonts w:ascii="Times New Roman" w:cs="Times New Roman" w:eastAsia="Times New Roman" w:hAnsi="Times New Roman"/>
          <w:sz w:val="16"/>
          <w:szCs w:val="16"/>
          <w:color w:val="auto"/>
        </w:rPr>
        <w:t>of the conference call, dial toll-free 1-844-512-2921 or 1-412-317-6671 (international) and enter confirmation code 13744080. The telephonic replay will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be available approximately three hours after the completion of the live call until 11:59 pm ET on February 28, 2024. The call will also be available for replay via the webcast link on Kornit’s Investor Relations website.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Kornit Digital</w:t>
      </w:r>
    </w:p>
    <w:p>
      <w:pPr>
        <w:spacing w:after="0" w:line="204"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6"/>
          <w:szCs w:val="16"/>
          <w:color w:val="auto"/>
        </w:rPr>
        <w:t>Kornit Digital (NASDAQ: KRNT) is a worldwide market leader in sustainable, on-demand, digital fashion</w:t>
      </w:r>
      <w:r>
        <w:rPr>
          <w:rFonts w:ascii="Times New Roman" w:cs="Times New Roman" w:eastAsia="Times New Roman" w:hAnsi="Times New Roman"/>
          <w:sz w:val="26"/>
          <w:szCs w:val="26"/>
          <w:color w:val="auto"/>
          <w:vertAlign w:val="superscript"/>
        </w:rPr>
        <w:t>x</w:t>
      </w:r>
      <w:r>
        <w:rPr>
          <w:rFonts w:ascii="Times New Roman" w:cs="Times New Roman" w:eastAsia="Times New Roman" w:hAnsi="Times New Roman"/>
          <w:sz w:val="16"/>
          <w:szCs w:val="16"/>
          <w:color w:val="auto"/>
        </w:rPr>
        <w:t xml:space="preserve">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00"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and severity of adverse macro-economic headwinds that were caused by inflationary pressures and higher interest rates, which have impacted, and may continue to impact, in an adverse manner, the Company’s operations, financial position and cash flows, in part due to the adverse impact on the Company’s customers and suppliers; the Company’s degree of success in developing, introducing and selling new or improved products and product enhancements including specifically the Company’s Poly Pro and Presto products, and the Company’s Apollo direct-to-garment platform; the extent of the Company’s ability to consummate sales to large accounts with multi-system delivery plans; the degree of the Company’s ability to fill orders for its systems; the extent of the Company’s ability to increase sales of its systems, ink and consumables; the extent of the Company’s ability to leverage its global infrastructure build-out; the development of the market for digital textile printing; the availability of alternative ink; competition; sales concentration; changes to the Company’s relationships with suppliers; the extent of the Company’s success in marketing; and those additional factors referred to under “Risk Factors” in Item 3.D of the Company’s Annual Report on Form 20-F for the year ended December 31, 2022, filed with the SEC on March 30, 2023. Any forward-looking statements in this press release are made as of the date hereof, whether as a result of new information, future events or otherwise, except as required by law.</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Non-GAAP Discussion Disclosure</w:t>
      </w:r>
    </w:p>
    <w:p>
      <w:pPr>
        <w:spacing w:after="0" w:line="200"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6"/>
          <w:szCs w:val="16"/>
          <w:color w:val="auto"/>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acquisition related expenses; restructuring expenses; foreign exchange differences associated with ASC 842; and non-cash deferred tax income.</w:t>
      </w:r>
    </w:p>
    <w:p>
      <w:pPr>
        <w:spacing w:after="0" w:line="162" w:lineRule="exact"/>
        <w:rPr>
          <w:sz w:val="20"/>
          <w:szCs w:val="20"/>
          <w:color w:val="auto"/>
        </w:rPr>
      </w:pPr>
    </w:p>
    <w:p>
      <w:pPr>
        <w:ind w:right="160"/>
        <w:spacing w:after="0" w:line="280" w:lineRule="auto"/>
        <w:rPr>
          <w:sz w:val="20"/>
          <w:szCs w:val="20"/>
          <w:color w:val="auto"/>
        </w:rPr>
      </w:pPr>
      <w:r>
        <w:rPr>
          <w:rFonts w:ascii="Times New Roman" w:cs="Times New Roman" w:eastAsia="Times New Roman" w:hAnsi="Times New Roman"/>
          <w:sz w:val="16"/>
          <w:szCs w:val="16"/>
          <w:color w:val="auto"/>
        </w:rPr>
        <w:t>The Company defines “Adjusted EBITDA” as non-GAAP operating income (loss), which reflects the adjustments described in the preceding paragraph, as further adjusted to exclude depreciation expense.</w:t>
      </w:r>
    </w:p>
    <w:p>
      <w:pPr>
        <w:spacing w:after="0" w:line="14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6"/>
          <w:szCs w:val="16"/>
          <w:color w:val="auto"/>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reconciliation tables included below present a reconciliation of our non-GAAP financial measures to the most directly comparable GAAP financial measures.</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4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39,605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104,597</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bank deposit</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235,600</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275,033</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57,292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20,380</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93,632</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67,360</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67,712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89,415</w:t>
            </w:r>
          </w:p>
        </w:tc>
        <w:tc>
          <w:tcPr>
            <w:tcW w:w="0" w:type="dxa"/>
            <w:vAlign w:val="bottom"/>
          </w:tcPr>
          <w:p>
            <w:pPr>
              <w:spacing w:after="0"/>
              <w:rPr>
                <w:sz w:val="1"/>
                <w:szCs w:val="1"/>
                <w:color w:val="auto"/>
              </w:rPr>
            </w:pPr>
          </w:p>
        </w:tc>
      </w:tr>
      <w:tr>
        <w:trPr>
          <w:trHeight w:val="195"/>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accounts receivable and prepaid expenses</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28,546</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22,054</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522,387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578,839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223,203</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245,970</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8,209</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5,927</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Severance pay fund</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283</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Property,plant and equipment, net</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50,905</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60,463</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23,782</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27,139</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7,647</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9,890</w:t>
            </w:r>
          </w:p>
        </w:tc>
        <w:tc>
          <w:tcPr>
            <w:tcW w:w="0" w:type="dxa"/>
            <w:vAlign w:val="bottom"/>
          </w:tcPr>
          <w:p>
            <w:pPr>
              <w:spacing w:after="0"/>
              <w:rPr>
                <w:sz w:val="1"/>
                <w:szCs w:val="1"/>
                <w:color w:val="auto"/>
              </w:rPr>
            </w:pPr>
          </w:p>
        </w:tc>
      </w:tr>
      <w:tr>
        <w:trPr>
          <w:trHeight w:val="195"/>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29,164</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29,164</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assets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343,193</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378,827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865,580</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957,666</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6,936</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14,833</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12,121</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14,255</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2,158</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5,701</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4,345</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4,989</w:t>
            </w:r>
          </w:p>
        </w:tc>
        <w:tc>
          <w:tcPr>
            <w:tcW w:w="0" w:type="dxa"/>
            <w:vAlign w:val="bottom"/>
          </w:tcPr>
          <w:p>
            <w:pPr>
              <w:spacing w:after="0"/>
              <w:rPr>
                <w:sz w:val="1"/>
                <w:szCs w:val="1"/>
                <w:color w:val="auto"/>
              </w:rPr>
            </w:pPr>
          </w:p>
        </w:tc>
      </w:tr>
      <w:tr>
        <w:trPr>
          <w:trHeight w:val="21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23,814</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25,592</w:t>
            </w:r>
          </w:p>
        </w:tc>
        <w:tc>
          <w:tcPr>
            <w:tcW w:w="0" w:type="dxa"/>
            <w:vAlign w:val="bottom"/>
          </w:tcPr>
          <w:p>
            <w:pPr>
              <w:spacing w:after="0"/>
              <w:rPr>
                <w:sz w:val="1"/>
                <w:szCs w:val="1"/>
                <w:color w:val="auto"/>
              </w:rPr>
            </w:pPr>
          </w:p>
        </w:tc>
      </w:tr>
      <w:tr>
        <w:trPr>
          <w:trHeight w:val="179"/>
        </w:trPr>
        <w:tc>
          <w:tcPr>
            <w:tcW w:w="4520" w:type="dxa"/>
            <w:vAlign w:val="bottom"/>
            <w:tcBorders>
              <w:top w:val="single" w:sz="8" w:color="CCEEFF"/>
              <w:bottom w:val="single" w:sz="8" w:color="CCEEFF"/>
            </w:tcBorders>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 current liabilities</w:t>
            </w:r>
          </w:p>
        </w:tc>
        <w:tc>
          <w:tcPr>
            <w:tcW w:w="41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49,374</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65,370</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severance pay</w:t>
            </w: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1,080</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1,223</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19,261</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21,035</w:t>
            </w:r>
          </w:p>
        </w:tc>
        <w:tc>
          <w:tcPr>
            <w:tcW w:w="0" w:type="dxa"/>
            <w:vAlign w:val="bottom"/>
          </w:tcPr>
          <w:p>
            <w:pPr>
              <w:spacing w:after="0"/>
              <w:rPr>
                <w:sz w:val="1"/>
                <w:szCs w:val="1"/>
                <w:color w:val="auto"/>
              </w:rPr>
            </w:pPr>
          </w:p>
        </w:tc>
      </w:tr>
      <w:tr>
        <w:trPr>
          <w:trHeight w:val="21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1,216</w:t>
            </w:r>
          </w:p>
        </w:tc>
        <w:tc>
          <w:tcPr>
            <w:tcW w:w="0" w:type="dxa"/>
            <w:vAlign w:val="bottom"/>
          </w:tcPr>
          <w:p>
            <w:pPr>
              <w:spacing w:after="0"/>
              <w:rPr>
                <w:sz w:val="1"/>
                <w:szCs w:val="1"/>
                <w:color w:val="auto"/>
              </w:rPr>
            </w:pPr>
          </w:p>
        </w:tc>
      </w:tr>
      <w:tr>
        <w:trPr>
          <w:trHeight w:val="179"/>
        </w:trPr>
        <w:tc>
          <w:tcPr>
            <w:tcW w:w="4520" w:type="dxa"/>
            <w:vAlign w:val="bottom"/>
            <w:tcBorders>
              <w:top w:val="single" w:sz="8" w:color="CCEEFF"/>
              <w:bottom w:val="single" w:sz="8" w:color="CCEEFF"/>
            </w:tcBorders>
          </w:tcPr>
          <w:p>
            <w:pPr>
              <w:ind w:left="140"/>
              <w:spacing w:after="0" w:line="175" w:lineRule="exact"/>
              <w:rPr>
                <w:sz w:val="20"/>
                <w:szCs w:val="20"/>
                <w:color w:val="auto"/>
              </w:rPr>
            </w:pPr>
            <w:r>
              <w:rPr>
                <w:rFonts w:ascii="Times New Roman" w:cs="Times New Roman" w:eastAsia="Times New Roman" w:hAnsi="Times New Roman"/>
                <w:sz w:val="16"/>
                <w:szCs w:val="16"/>
                <w:color w:val="auto"/>
              </w:rPr>
              <w:t>Total long-term liabilities</w:t>
            </w:r>
          </w:p>
        </w:tc>
        <w:tc>
          <w:tcPr>
            <w:tcW w:w="416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20,539</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23,474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4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795,667</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868,822</w:t>
            </w:r>
          </w:p>
        </w:tc>
        <w:tc>
          <w:tcPr>
            <w:tcW w:w="0" w:type="dxa"/>
            <w:vAlign w:val="bottom"/>
          </w:tcPr>
          <w:p>
            <w:pPr>
              <w:spacing w:after="0"/>
              <w:rPr>
                <w:sz w:val="1"/>
                <w:szCs w:val="1"/>
                <w:color w:val="auto"/>
              </w:rPr>
            </w:pPr>
          </w:p>
        </w:tc>
      </w:tr>
      <w:tr>
        <w:trPr>
          <w:trHeight w:val="191"/>
        </w:trPr>
        <w:tc>
          <w:tcPr>
            <w:tcW w:w="4520" w:type="dxa"/>
            <w:vAlign w:val="bottom"/>
            <w:tcBorders>
              <w:top w:val="single" w:sz="8" w:color="CCEEFF"/>
            </w:tcBorders>
            <w:shd w:val="clear" w:color="auto" w:fill="CCEEFF"/>
          </w:tcPr>
          <w:p>
            <w:pPr>
              <w:spacing w:after="0"/>
              <w:rPr>
                <w:sz w:val="16"/>
                <w:szCs w:val="16"/>
                <w:color w:val="auto"/>
              </w:rPr>
            </w:pPr>
          </w:p>
        </w:tc>
        <w:tc>
          <w:tcPr>
            <w:tcW w:w="4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4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865,580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957,666</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160" w:type="dxa"/>
            <w:vAlign w:val="bottom"/>
            <w:vMerge w:val="restart"/>
          </w:tcPr>
          <w:p>
            <w:pPr>
              <w:jc w:val="right"/>
              <w:ind w:right="294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029" w:right="319" w:bottom="1440" w:gutter="0" w:footer="0" w:header="0"/>
        </w:sectPr>
      </w:pPr>
    </w:p>
    <w:bookmarkStart w:id="8" w:name="page9"/>
    <w:bookmarkEnd w:id="8"/>
    <w:p>
      <w:pPr>
        <w:ind w:left="474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left="42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7"/>
        </w:trPr>
        <w:tc>
          <w:tcPr>
            <w:tcW w:w="3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41"/>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Revenues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43,573</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49,795</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161,045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222,502</w:t>
            </w:r>
          </w:p>
        </w:tc>
        <w:tc>
          <w:tcPr>
            <w:tcW w:w="0" w:type="dxa"/>
            <w:vAlign w:val="bottom"/>
          </w:tcPr>
          <w:p>
            <w:pPr>
              <w:spacing w:after="0"/>
              <w:rPr>
                <w:sz w:val="1"/>
                <w:szCs w:val="1"/>
                <w:color w:val="auto"/>
              </w:rPr>
            </w:pPr>
          </w:p>
        </w:tc>
      </w:tr>
      <w:tr>
        <w:trPr>
          <w:trHeight w:val="207"/>
        </w:trPr>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13,012</w:t>
            </w: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58,741</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49,016</w:t>
            </w:r>
          </w:p>
        </w:tc>
        <w:tc>
          <w:tcPr>
            <w:tcW w:w="0" w:type="dxa"/>
            <w:vAlign w:val="bottom"/>
          </w:tcPr>
          <w:p>
            <w:pPr>
              <w:spacing w:after="0"/>
              <w:rPr>
                <w:sz w:val="1"/>
                <w:szCs w:val="1"/>
                <w:color w:val="auto"/>
              </w:rPr>
            </w:pPr>
          </w:p>
        </w:tc>
      </w:tr>
      <w:tr>
        <w:trPr>
          <w:trHeight w:val="191"/>
        </w:trPr>
        <w:tc>
          <w:tcPr>
            <w:tcW w:w="5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6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56,585</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63,298</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219,786</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271,518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23,125</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29,026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91,516</w:t>
            </w: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125,935</w:t>
            </w:r>
          </w:p>
        </w:tc>
        <w:tc>
          <w:tcPr>
            <w:tcW w:w="0" w:type="dxa"/>
            <w:vAlign w:val="bottom"/>
          </w:tcPr>
          <w:p>
            <w:pPr>
              <w:spacing w:after="0"/>
              <w:rPr>
                <w:sz w:val="1"/>
                <w:szCs w:val="1"/>
                <w:color w:val="auto"/>
              </w:rPr>
            </w:pPr>
          </w:p>
        </w:tc>
      </w:tr>
      <w:tr>
        <w:trPr>
          <w:trHeight w:val="223"/>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18,888</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12,923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61,313</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49,083</w:t>
            </w:r>
          </w:p>
        </w:tc>
        <w:tc>
          <w:tcPr>
            <w:tcW w:w="0" w:type="dxa"/>
            <w:vAlign w:val="bottom"/>
          </w:tcPr>
          <w:p>
            <w:pPr>
              <w:spacing w:after="0"/>
              <w:rPr>
                <w:sz w:val="1"/>
                <w:szCs w:val="1"/>
                <w:color w:val="auto"/>
              </w:rPr>
            </w:pPr>
          </w:p>
        </w:tc>
      </w:tr>
      <w:tr>
        <w:trPr>
          <w:trHeight w:val="175"/>
        </w:trPr>
        <w:tc>
          <w:tcPr>
            <w:tcW w:w="5340" w:type="dxa"/>
            <w:vAlign w:val="bottom"/>
            <w:tcBorders>
              <w:top w:val="single" w:sz="8" w:color="CCEEFF"/>
            </w:tcBorders>
            <w:gridSpan w:val="2"/>
          </w:tcPr>
          <w:p>
            <w:pPr>
              <w:spacing w:after="0" w:line="175" w:lineRule="exact"/>
              <w:rPr>
                <w:sz w:val="20"/>
                <w:szCs w:val="20"/>
                <w:color w:val="auto"/>
              </w:rPr>
            </w:pPr>
            <w:r>
              <w:rPr>
                <w:rFonts w:ascii="Times New Roman" w:cs="Times New Roman" w:eastAsia="Times New Roman" w:hAnsi="Times New Roman"/>
                <w:sz w:val="16"/>
                <w:szCs w:val="16"/>
                <w:color w:val="auto"/>
              </w:rPr>
              <w:t>Total cost of revenues</w:t>
            </w:r>
          </w:p>
        </w:tc>
        <w:tc>
          <w:tcPr>
            <w:tcW w:w="6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42,013</w:t>
            </w:r>
          </w:p>
        </w:tc>
        <w:tc>
          <w:tcPr>
            <w:tcW w:w="240" w:type="dxa"/>
            <w:vAlign w:val="bottom"/>
            <w:tcBorders>
              <w:top w:val="single" w:sz="8" w:color="CCEE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41,949</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152,829</w:t>
            </w:r>
          </w:p>
        </w:tc>
        <w:tc>
          <w:tcPr>
            <w:tcW w:w="2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175,018</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20" w:type="dxa"/>
            <w:vAlign w:val="bottom"/>
            <w:shd w:val="clear" w:color="auto" w:fill="CCEEFF"/>
          </w:tcPr>
          <w:p>
            <w:pPr>
              <w:spacing w:after="0"/>
              <w:rPr>
                <w:sz w:val="16"/>
                <w:szCs w:val="16"/>
                <w:color w:val="auto"/>
              </w:rPr>
            </w:pPr>
          </w:p>
        </w:tc>
        <w:tc>
          <w:tcPr>
            <w:tcW w:w="50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14,572</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21,349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66,957</w:t>
            </w: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96,500</w:t>
            </w:r>
          </w:p>
        </w:tc>
        <w:tc>
          <w:tcPr>
            <w:tcW w:w="0" w:type="dxa"/>
            <w:vAlign w:val="bottom"/>
          </w:tcPr>
          <w:p>
            <w:pPr>
              <w:spacing w:after="0"/>
              <w:rPr>
                <w:sz w:val="1"/>
                <w:szCs w:val="1"/>
                <w:color w:val="auto"/>
              </w:rPr>
            </w:pPr>
          </w:p>
        </w:tc>
      </w:tr>
      <w:tr>
        <w:trPr>
          <w:trHeight w:val="191"/>
        </w:trPr>
        <w:tc>
          <w:tcPr>
            <w:tcW w:w="320" w:type="dxa"/>
            <w:vAlign w:val="bottom"/>
            <w:shd w:val="clear" w:color="auto" w:fill="CCEEFF"/>
          </w:tcPr>
          <w:p>
            <w:pPr>
              <w:spacing w:after="0"/>
              <w:rPr>
                <w:sz w:val="16"/>
                <w:szCs w:val="16"/>
                <w:color w:val="auto"/>
              </w:rPr>
            </w:pPr>
          </w:p>
        </w:tc>
        <w:tc>
          <w:tcPr>
            <w:tcW w:w="50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12,033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13,251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50,060</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56,026</w:t>
            </w:r>
          </w:p>
        </w:tc>
        <w:tc>
          <w:tcPr>
            <w:tcW w:w="0" w:type="dxa"/>
            <w:vAlign w:val="bottom"/>
          </w:tcPr>
          <w:p>
            <w:pPr>
              <w:spacing w:after="0"/>
              <w:rPr>
                <w:sz w:val="1"/>
                <w:szCs w:val="1"/>
                <w:color w:val="auto"/>
              </w:rPr>
            </w:pPr>
          </w:p>
        </w:tc>
      </w:tr>
      <w:tr>
        <w:trPr>
          <w:trHeight w:val="191"/>
        </w:trPr>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17,909</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16,150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66,836</w:t>
            </w: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71,067</w:t>
            </w:r>
          </w:p>
        </w:tc>
        <w:tc>
          <w:tcPr>
            <w:tcW w:w="0" w:type="dxa"/>
            <w:vAlign w:val="bottom"/>
          </w:tcPr>
          <w:p>
            <w:pPr>
              <w:spacing w:after="0"/>
              <w:rPr>
                <w:sz w:val="1"/>
                <w:szCs w:val="1"/>
                <w:color w:val="auto"/>
              </w:rPr>
            </w:pPr>
          </w:p>
        </w:tc>
      </w:tr>
      <w:tr>
        <w:trPr>
          <w:trHeight w:val="223"/>
        </w:trPr>
        <w:tc>
          <w:tcPr>
            <w:tcW w:w="5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12,449</w:t>
            </w: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37,592</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39,289</w:t>
            </w:r>
          </w:p>
        </w:tc>
        <w:tc>
          <w:tcPr>
            <w:tcW w:w="0" w:type="dxa"/>
            <w:vAlign w:val="bottom"/>
          </w:tcPr>
          <w:p>
            <w:pPr>
              <w:spacing w:after="0"/>
              <w:rPr>
                <w:sz w:val="1"/>
                <w:szCs w:val="1"/>
                <w:color w:val="auto"/>
              </w:rPr>
            </w:pPr>
          </w:p>
        </w:tc>
      </w:tr>
      <w:tr>
        <w:trPr>
          <w:trHeight w:val="147"/>
        </w:trPr>
        <w:tc>
          <w:tcPr>
            <w:tcW w:w="5340" w:type="dxa"/>
            <w:vAlign w:val="bottom"/>
            <w:tcBorders>
              <w:top w:val="single" w:sz="8" w:color="CCEEFF"/>
            </w:tcBorders>
            <w:gridSpan w:val="2"/>
          </w:tcPr>
          <w:p>
            <w:pPr>
              <w:spacing w:after="0" w:line="139" w:lineRule="exact"/>
              <w:rPr>
                <w:sz w:val="20"/>
                <w:szCs w:val="20"/>
                <w:color w:val="auto"/>
              </w:rPr>
            </w:pPr>
            <w:r>
              <w:rPr>
                <w:rFonts w:ascii="Times New Roman" w:cs="Times New Roman" w:eastAsia="Times New Roman" w:hAnsi="Times New Roman"/>
                <w:sz w:val="16"/>
                <w:szCs w:val="16"/>
                <w:color w:val="auto"/>
              </w:rPr>
              <w:t>Total operating expenses</w:t>
            </w:r>
          </w:p>
        </w:tc>
        <w:tc>
          <w:tcPr>
            <w:tcW w:w="6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42,391</w:t>
            </w:r>
          </w:p>
        </w:tc>
        <w:tc>
          <w:tcPr>
            <w:tcW w:w="240" w:type="dxa"/>
            <w:vAlign w:val="bottom"/>
            <w:tcBorders>
              <w:top w:val="single" w:sz="8" w:color="CCEEFF"/>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38,058</w:t>
            </w:r>
          </w:p>
        </w:tc>
        <w:tc>
          <w:tcPr>
            <w:tcW w:w="14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154,488</w:t>
            </w:r>
          </w:p>
        </w:tc>
        <w:tc>
          <w:tcPr>
            <w:tcW w:w="22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39" w:lineRule="exact"/>
              <w:rPr>
                <w:sz w:val="20"/>
                <w:szCs w:val="20"/>
                <w:color w:val="auto"/>
              </w:rPr>
            </w:pPr>
            <w:r>
              <w:rPr>
                <w:rFonts w:ascii="Times New Roman" w:cs="Times New Roman" w:eastAsia="Times New Roman" w:hAnsi="Times New Roman"/>
                <w:sz w:val="16"/>
                <w:szCs w:val="16"/>
                <w:color w:val="auto"/>
              </w:rPr>
              <w:t>166,382</w:t>
            </w: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20" w:type="dxa"/>
            <w:vAlign w:val="bottom"/>
            <w:tcBorders>
              <w:top w:val="single" w:sz="8" w:color="auto"/>
            </w:tcBorders>
            <w:shd w:val="clear" w:color="auto" w:fill="CCEEFF"/>
          </w:tcPr>
          <w:p>
            <w:pPr>
              <w:spacing w:after="0"/>
              <w:rPr>
                <w:sz w:val="17"/>
                <w:szCs w:val="17"/>
                <w:color w:val="auto"/>
              </w:rPr>
            </w:pPr>
          </w:p>
        </w:tc>
        <w:tc>
          <w:tcPr>
            <w:tcW w:w="50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(27,819)</w:t>
            </w:r>
          </w:p>
        </w:tc>
        <w:tc>
          <w:tcPr>
            <w:tcW w:w="3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(87,531)</w:t>
            </w:r>
          </w:p>
        </w:tc>
        <w:tc>
          <w:tcPr>
            <w:tcW w:w="1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(69,882)</w:t>
            </w:r>
          </w:p>
        </w:tc>
        <w:tc>
          <w:tcPr>
            <w:tcW w:w="0" w:type="dxa"/>
            <w:vAlign w:val="bottom"/>
          </w:tcPr>
          <w:p>
            <w:pPr>
              <w:spacing w:after="0"/>
              <w:rPr>
                <w:sz w:val="1"/>
                <w:szCs w:val="1"/>
                <w:color w:val="auto"/>
              </w:rPr>
            </w:pPr>
          </w:p>
        </w:tc>
      </w:tr>
      <w:tr>
        <w:trPr>
          <w:trHeight w:val="191"/>
        </w:trPr>
        <w:tc>
          <w:tcPr>
            <w:tcW w:w="320" w:type="dxa"/>
            <w:vAlign w:val="bottom"/>
            <w:shd w:val="clear" w:color="auto" w:fill="CCEEFF"/>
          </w:tcPr>
          <w:p>
            <w:pPr>
              <w:spacing w:after="0"/>
              <w:rPr>
                <w:sz w:val="16"/>
                <w:szCs w:val="16"/>
                <w:color w:val="auto"/>
              </w:rPr>
            </w:pPr>
          </w:p>
        </w:tc>
        <w:tc>
          <w:tcPr>
            <w:tcW w:w="50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income, net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5,424</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24,150</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13,382</w:t>
            </w:r>
          </w:p>
        </w:tc>
        <w:tc>
          <w:tcPr>
            <w:tcW w:w="0" w:type="dxa"/>
            <w:vAlign w:val="bottom"/>
          </w:tcPr>
          <w:p>
            <w:pPr>
              <w:spacing w:after="0"/>
              <w:rPr>
                <w:sz w:val="1"/>
                <w:szCs w:val="1"/>
                <w:color w:val="auto"/>
              </w:rPr>
            </w:pPr>
          </w:p>
        </w:tc>
      </w:tr>
      <w:tr>
        <w:trPr>
          <w:trHeight w:val="191"/>
        </w:trPr>
        <w:tc>
          <w:tcPr>
            <w:tcW w:w="53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taxes on income</w:t>
            </w:r>
          </w:p>
        </w:tc>
        <w:tc>
          <w:tcPr>
            <w:tcW w:w="6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(22,395)</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(11,657)</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(63,381)</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(56,500)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5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on income</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539</w:t>
            </w:r>
          </w:p>
        </w:tc>
        <w:tc>
          <w:tcPr>
            <w:tcW w:w="3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23,703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970</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22,565</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(22,934</w:t>
            </w:r>
          </w:p>
        </w:tc>
        <w:tc>
          <w:tcPr>
            <w:tcW w:w="240" w:type="dxa"/>
            <w:vAlign w:val="bottom"/>
            <w:vMerge w:val="continue"/>
          </w:tcPr>
          <w:p>
            <w:pPr>
              <w:spacing w:after="0"/>
              <w:rPr>
                <w:sz w:val="21"/>
                <w:szCs w:val="21"/>
                <w:color w:val="auto"/>
              </w:rPr>
            </w:pP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(35,360</w:t>
            </w:r>
          </w:p>
        </w:tc>
        <w:tc>
          <w:tcPr>
            <w:tcW w:w="140" w:type="dxa"/>
            <w:vAlign w:val="bottom"/>
            <w:vMerge w:val="continue"/>
          </w:tcPr>
          <w:p>
            <w:pPr>
              <w:spacing w:after="0"/>
              <w:rPr>
                <w:sz w:val="21"/>
                <w:szCs w:val="21"/>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(64,351</w:t>
            </w:r>
          </w:p>
        </w:tc>
        <w:tc>
          <w:tcPr>
            <w:tcW w:w="220" w:type="dxa"/>
            <w:vAlign w:val="bottom"/>
            <w:vMerge w:val="continue"/>
          </w:tcPr>
          <w:p>
            <w:pPr>
              <w:spacing w:after="0"/>
              <w:rPr>
                <w:sz w:val="21"/>
                <w:szCs w:val="21"/>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(79,065</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0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loss per share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(0.48</w:t>
            </w:r>
            <w:r>
              <w:rPr>
                <w:rFonts w:ascii="Times New Roman" w:cs="Times New Roman" w:eastAsia="Times New Roman" w:hAnsi="Times New Roman"/>
                <w:sz w:val="26"/>
                <w:szCs w:val="26"/>
                <w:color w:val="auto"/>
                <w:vertAlign w:val="superscript"/>
              </w:rPr>
              <w:t>)</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color w:val="auto"/>
              </w:rPr>
              <w:t>(0.71</w:t>
            </w:r>
            <w:r>
              <w:rPr>
                <w:rFonts w:ascii="Times New Roman" w:cs="Times New Roman" w:eastAsia="Times New Roman" w:hAnsi="Times New Roman"/>
                <w:sz w:val="26"/>
                <w:szCs w:val="26"/>
                <w:color w:val="auto"/>
                <w:vertAlign w:val="superscript"/>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80"/>
              <w:spacing w:after="0" w:line="227" w:lineRule="exact"/>
              <w:rPr>
                <w:sz w:val="20"/>
                <w:szCs w:val="20"/>
                <w:color w:val="auto"/>
              </w:rPr>
            </w:pPr>
            <w:r>
              <w:rPr>
                <w:rFonts w:ascii="Times New Roman" w:cs="Times New Roman" w:eastAsia="Times New Roman" w:hAnsi="Times New Roman"/>
                <w:sz w:val="14"/>
                <w:szCs w:val="14"/>
                <w:color w:val="auto"/>
              </w:rPr>
              <w:t>(1.31</w:t>
            </w:r>
            <w:r>
              <w:rPr>
                <w:rFonts w:ascii="Times New Roman" w:cs="Times New Roman" w:eastAsia="Times New Roman" w:hAnsi="Times New Roman"/>
                <w:sz w:val="26"/>
                <w:szCs w:val="26"/>
                <w:color w:val="auto"/>
                <w:vertAlign w:val="superscript"/>
              </w:rPr>
              <w:t>)</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color w:val="auto"/>
              </w:rPr>
              <w:t>(1.59</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0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basic net loss per share</w:t>
            </w: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48,231,916</w:t>
            </w:r>
          </w:p>
        </w:tc>
        <w:tc>
          <w:tcPr>
            <w:tcW w:w="380" w:type="dxa"/>
            <w:vAlign w:val="bottom"/>
          </w:tcPr>
          <w:p>
            <w:pPr>
              <w:spacing w:after="0"/>
              <w:rPr>
                <w:sz w:val="23"/>
                <w:szCs w:val="23"/>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49,913,898</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49,160,266</w:t>
            </w:r>
          </w:p>
        </w:tc>
        <w:tc>
          <w:tcPr>
            <w:tcW w:w="180" w:type="dxa"/>
            <w:vAlign w:val="bottom"/>
          </w:tcPr>
          <w:p>
            <w:pPr>
              <w:spacing w:after="0"/>
              <w:rPr>
                <w:sz w:val="23"/>
                <w:szCs w:val="23"/>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49,791,659</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0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Diluted net loss per share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line="227" w:lineRule="exact"/>
              <w:rPr>
                <w:sz w:val="20"/>
                <w:szCs w:val="20"/>
                <w:color w:val="auto"/>
              </w:rPr>
            </w:pPr>
            <w:r>
              <w:rPr>
                <w:rFonts w:ascii="Times New Roman" w:cs="Times New Roman" w:eastAsia="Times New Roman" w:hAnsi="Times New Roman"/>
                <w:sz w:val="14"/>
                <w:szCs w:val="14"/>
                <w:color w:val="auto"/>
              </w:rPr>
              <w:t>(0.48</w:t>
            </w:r>
            <w:r>
              <w:rPr>
                <w:rFonts w:ascii="Times New Roman" w:cs="Times New Roman" w:eastAsia="Times New Roman" w:hAnsi="Times New Roman"/>
                <w:sz w:val="26"/>
                <w:szCs w:val="26"/>
                <w:color w:val="auto"/>
                <w:vertAlign w:val="superscript"/>
              </w:rPr>
              <w:t>)</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color w:val="auto"/>
              </w:rPr>
              <w:t>(0.71</w:t>
            </w:r>
            <w:r>
              <w:rPr>
                <w:rFonts w:ascii="Times New Roman" w:cs="Times New Roman" w:eastAsia="Times New Roman" w:hAnsi="Times New Roman"/>
                <w:sz w:val="26"/>
                <w:szCs w:val="26"/>
                <w:color w:val="auto"/>
                <w:vertAlign w:val="superscript"/>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80"/>
              <w:spacing w:after="0" w:line="227" w:lineRule="exact"/>
              <w:rPr>
                <w:sz w:val="20"/>
                <w:szCs w:val="20"/>
                <w:color w:val="auto"/>
              </w:rPr>
            </w:pPr>
            <w:r>
              <w:rPr>
                <w:rFonts w:ascii="Times New Roman" w:cs="Times New Roman" w:eastAsia="Times New Roman" w:hAnsi="Times New Roman"/>
                <w:sz w:val="14"/>
                <w:szCs w:val="14"/>
                <w:color w:val="auto"/>
              </w:rPr>
              <w:t>(1.31</w:t>
            </w:r>
            <w:r>
              <w:rPr>
                <w:rFonts w:ascii="Times New Roman" w:cs="Times New Roman" w:eastAsia="Times New Roman" w:hAnsi="Times New Roman"/>
                <w:sz w:val="26"/>
                <w:szCs w:val="26"/>
                <w:color w:val="auto"/>
                <w:vertAlign w:val="superscript"/>
              </w:rPr>
              <w:t>)</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14"/>
                <w:szCs w:val="14"/>
                <w:color w:val="auto"/>
              </w:rPr>
              <w:t>(1.59</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187"/>
        </w:trPr>
        <w:tc>
          <w:tcPr>
            <w:tcW w:w="320" w:type="dxa"/>
            <w:vAlign w:val="bottom"/>
            <w:tcBorders>
              <w:top w:val="single" w:sz="8" w:color="CCEEFF"/>
            </w:tcBorders>
            <w:shd w:val="clear" w:color="auto" w:fill="CCEEFF"/>
          </w:tcPr>
          <w:p>
            <w:pPr>
              <w:spacing w:after="0"/>
              <w:rPr>
                <w:sz w:val="16"/>
                <w:szCs w:val="16"/>
                <w:color w:val="auto"/>
              </w:rPr>
            </w:pPr>
          </w:p>
        </w:tc>
        <w:tc>
          <w:tcPr>
            <w:tcW w:w="502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diluted net loss per share</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48,231,916</w:t>
            </w:r>
          </w:p>
        </w:tc>
        <w:tc>
          <w:tcPr>
            <w:tcW w:w="3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49,913,898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49,160,266</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49,791,659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4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3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9" w:name="page10"/>
    <w:bookmarkEnd w:id="9"/>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RECONCILIATION OF GAAP TO NON-GAAP CONSOLIDATED STATEMENTS OF OPERATIONS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ectPr>
          <w:pgSz w:w="11900" w:h="16907" w:orient="portrait"/>
          <w:cols w:equalWidth="0" w:num="1">
            <w:col w:w="11260"/>
          </w:cols>
          <w:pgMar w:left="320" w:top="814" w:right="319" w:bottom="0" w:gutter="0" w:footer="0" w:header="0"/>
        </w:sectPr>
      </w:pPr>
    </w:p>
    <w:p>
      <w:pPr>
        <w:spacing w:after="0" w:line="395"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6"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12065</wp:posOffset>
            </wp:positionV>
            <wp:extent cx="159321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6" w:lineRule="exact"/>
        <w:rPr>
          <w:sz w:val="20"/>
          <w:szCs w:val="20"/>
          <w:color w:val="auto"/>
        </w:rPr>
      </w:pPr>
    </w:p>
    <w:p>
      <w:pPr>
        <w:ind w:left="63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2023</w:t>
      </w:r>
      <w:r>
        <w:rPr>
          <w:sz w:val="20"/>
          <w:szCs w:val="20"/>
          <w:color w:val="auto"/>
        </w:rPr>
        <w:tab/>
      </w: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6"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12065</wp:posOffset>
            </wp:positionV>
            <wp:extent cx="154813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2023</w:t>
      </w:r>
      <w:r>
        <w:rPr>
          <w:sz w:val="20"/>
          <w:szCs w:val="20"/>
          <w:color w:val="auto"/>
        </w:rPr>
        <w:tab/>
      </w:r>
      <w:r>
        <w:rPr>
          <w:rFonts w:ascii="Times New Roman" w:cs="Times New Roman" w:eastAsia="Times New Roman" w:hAnsi="Times New Roman"/>
          <w:sz w:val="15"/>
          <w:szCs w:val="15"/>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154813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16510</wp:posOffset>
            </wp:positionV>
            <wp:extent cx="154813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00" w:lineRule="exact"/>
        <w:rPr>
          <w:sz w:val="20"/>
          <w:szCs w:val="20"/>
          <w:color w:val="auto"/>
        </w:rPr>
      </w:pPr>
    </w:p>
    <w:p>
      <w:pPr>
        <w:sectPr>
          <w:pgSz w:w="11900" w:h="16907" w:orient="portrait"/>
          <w:cols w:equalWidth="0" w:num="2">
            <w:col w:w="8380" w:space="720"/>
            <w:col w:w="2160"/>
          </w:cols>
          <w:pgMar w:left="320" w:top="814" w:right="319" w:bottom="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56,585</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63,298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219,786</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271,518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cost of revenues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42,013</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41,949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152,829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175,018</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Cost of product recorded for share-based compensation (1)</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(545)</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(2,356)</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service recorded for 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(447)</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(1,758)</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amortization on cost of product (3)</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(260)</w:t>
            </w:r>
          </w:p>
        </w:tc>
        <w:tc>
          <w:tcPr>
            <w:tcW w:w="26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(1,053)</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on cost of service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Excess cost of product on acquired inventory (2)</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Restructuring expenses (4)</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(11,501)</w:t>
            </w: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(11,590)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Non-GAAP cost of revenues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29,100</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40,267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135,432</w:t>
            </w:r>
          </w:p>
        </w:tc>
        <w:tc>
          <w:tcPr>
            <w:tcW w:w="220" w:type="dxa"/>
            <w:vAlign w:val="bottom"/>
          </w:tcPr>
          <w:p>
            <w:pPr>
              <w:spacing w:after="0"/>
              <w:rPr>
                <w:sz w:val="21"/>
                <w:szCs w:val="21"/>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167,751</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GAAP gross profit</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14,572</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21,349</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66,957</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96,500</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 adjustments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12,913</w:t>
            </w: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17,397</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7,267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Non-GAAP gross profit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27,485</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23,031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84,354</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103,767</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GAAP operating expenses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42,391</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38,058</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154,488</w:t>
            </w:r>
          </w:p>
        </w:tc>
        <w:tc>
          <w:tcPr>
            <w:tcW w:w="220" w:type="dxa"/>
            <w:vAlign w:val="bottom"/>
          </w:tcPr>
          <w:p>
            <w:pPr>
              <w:spacing w:after="0"/>
              <w:rPr>
                <w:sz w:val="16"/>
                <w:szCs w:val="16"/>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166,382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(4,653)</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(18,475)</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(18,788)</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(93)</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(550)</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 (4)</w:t>
            </w: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(7,579)</w:t>
            </w:r>
          </w:p>
        </w:tc>
        <w:tc>
          <w:tcPr>
            <w:tcW w:w="26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(7,785)</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30,066</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32,945</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127,678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145,589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Financial income, net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5,424</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1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24,150</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13,382</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1,579</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378</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Financial income , net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7,003</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5,337</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24,528</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10,259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Taxes on income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539</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23,703</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970</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22,565</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Non-cash deferred tax income (expenses)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88</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(10,234)</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666</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(10,014)</w:t>
            </w:r>
          </w:p>
        </w:tc>
        <w:tc>
          <w:tcPr>
            <w:tcW w:w="0" w:type="dxa"/>
            <w:vAlign w:val="bottom"/>
          </w:tcPr>
          <w:p>
            <w:pPr>
              <w:spacing w:after="0"/>
              <w:rPr>
                <w:sz w:val="1"/>
                <w:szCs w:val="1"/>
                <w:color w:val="auto"/>
              </w:rPr>
            </w:pPr>
          </w:p>
        </w:tc>
      </w:tr>
      <w:tr>
        <w:trPr>
          <w:trHeight w:val="20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Non-recurring tax payment (a)</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(11,485)</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Non-GAAP Taxes on income</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980" w:type="dxa"/>
            <w:vAlign w:val="bottom"/>
            <w:vMerge w:val="continue"/>
          </w:tcPr>
          <w:p>
            <w:pPr>
              <w:spacing w:after="0"/>
              <w:rPr>
                <w:sz w:val="21"/>
                <w:szCs w:val="21"/>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627</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140" w:type="dxa"/>
            <w:vAlign w:val="bottom"/>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220" w:type="dxa"/>
            <w:vAlign w:val="bottom"/>
          </w:tcPr>
          <w:p>
            <w:pPr>
              <w:spacing w:after="0"/>
              <w:rPr>
                <w:sz w:val="21"/>
                <w:szCs w:val="21"/>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1,066</w:t>
            </w:r>
          </w:p>
        </w:tc>
        <w:tc>
          <w:tcPr>
            <w:tcW w:w="0" w:type="dxa"/>
            <w:vAlign w:val="bottom"/>
          </w:tcPr>
          <w:p>
            <w:pPr>
              <w:spacing w:after="0"/>
              <w:rPr>
                <w:sz w:val="1"/>
                <w:szCs w:val="1"/>
                <w:color w:val="auto"/>
              </w:rPr>
            </w:pP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GAAP net loss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(22,934)</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(35,360)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(64,351)</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(79,065)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 (1)</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5,645</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22,589</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22,649</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Acquisition related expenses (2)</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amortization (3)</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513</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2,543</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expenses (4)</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19,080</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19,375</w:t>
            </w: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1,693</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Excess cost of product on acquired inventory (2)</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 associated with ASC 842</w:t>
            </w: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1,579</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378</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(3,123)</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deferred tax expenses (income)</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(88)</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10,234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(666)</w:t>
            </w: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10,014</w:t>
            </w:r>
          </w:p>
        </w:tc>
        <w:tc>
          <w:tcPr>
            <w:tcW w:w="0" w:type="dxa"/>
            <w:vAlign w:val="bottom"/>
          </w:tcPr>
          <w:p>
            <w:pPr>
              <w:spacing w:after="0"/>
              <w:rPr>
                <w:sz w:val="1"/>
                <w:szCs w:val="1"/>
                <w:color w:val="auto"/>
              </w:rPr>
            </w:pPr>
          </w:p>
        </w:tc>
      </w:tr>
      <w:tr>
        <w:trPr>
          <w:trHeight w:val="203"/>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Non-recurring tax payment (a)</w:t>
            </w: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net income (loss)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59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3,795</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(6,561</w:t>
            </w:r>
          </w:p>
        </w:tc>
        <w:tc>
          <w:tcPr>
            <w:tcW w:w="140" w:type="dxa"/>
            <w:vAlign w:val="bottom"/>
            <w:vMerge w:val="continue"/>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(20,432</w:t>
            </w:r>
          </w:p>
        </w:tc>
        <w:tc>
          <w:tcPr>
            <w:tcW w:w="22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(32,629</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diluted loss per share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180"/>
              <w:spacing w:after="0" w:line="227" w:lineRule="exact"/>
              <w:rPr>
                <w:sz w:val="20"/>
                <w:szCs w:val="20"/>
                <w:color w:val="auto"/>
              </w:rPr>
            </w:pPr>
            <w:r>
              <w:rPr>
                <w:rFonts w:ascii="Times New Roman" w:cs="Times New Roman" w:eastAsia="Times New Roman" w:hAnsi="Times New Roman"/>
                <w:sz w:val="14"/>
                <w:szCs w:val="14"/>
                <w:color w:val="auto"/>
              </w:rPr>
              <w:t>(0.48</w:t>
            </w:r>
            <w:r>
              <w:rPr>
                <w:rFonts w:ascii="Times New Roman" w:cs="Times New Roman" w:eastAsia="Times New Roman" w:hAnsi="Times New Roman"/>
                <w:sz w:val="26"/>
                <w:szCs w:val="26"/>
                <w:color w:val="auto"/>
                <w:vertAlign w:val="superscript"/>
              </w:rPr>
              <w:t>)</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line="227" w:lineRule="exact"/>
              <w:rPr>
                <w:sz w:val="20"/>
                <w:szCs w:val="20"/>
                <w:color w:val="auto"/>
              </w:rPr>
            </w:pPr>
            <w:r>
              <w:rPr>
                <w:rFonts w:ascii="Times New Roman" w:cs="Times New Roman" w:eastAsia="Times New Roman" w:hAnsi="Times New Roman"/>
                <w:sz w:val="14"/>
                <w:szCs w:val="14"/>
                <w:color w:val="auto"/>
              </w:rPr>
              <w:t>(0.71</w:t>
            </w:r>
            <w:r>
              <w:rPr>
                <w:rFonts w:ascii="Times New Roman" w:cs="Times New Roman" w:eastAsia="Times New Roman" w:hAnsi="Times New Roman"/>
                <w:sz w:val="26"/>
                <w:szCs w:val="26"/>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line="227" w:lineRule="exact"/>
              <w:rPr>
                <w:sz w:val="20"/>
                <w:szCs w:val="20"/>
                <w:color w:val="auto"/>
              </w:rPr>
            </w:pPr>
            <w:r>
              <w:rPr>
                <w:rFonts w:ascii="Times New Roman" w:cs="Times New Roman" w:eastAsia="Times New Roman" w:hAnsi="Times New Roman"/>
                <w:sz w:val="14"/>
                <w:szCs w:val="14"/>
                <w:color w:val="auto"/>
              </w:rPr>
              <w:t>(1.31</w:t>
            </w:r>
            <w:r>
              <w:rPr>
                <w:rFonts w:ascii="Times New Roman" w:cs="Times New Roman" w:eastAsia="Times New Roman" w:hAnsi="Times New Roman"/>
                <w:sz w:val="26"/>
                <w:szCs w:val="26"/>
                <w:color w:val="auto"/>
                <w:vertAlign w:val="superscript"/>
              </w:rPr>
              <w: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spacing w:after="0" w:line="227" w:lineRule="exact"/>
              <w:rPr>
                <w:sz w:val="20"/>
                <w:szCs w:val="20"/>
                <w:color w:val="auto"/>
              </w:rPr>
            </w:pPr>
            <w:r>
              <w:rPr>
                <w:rFonts w:ascii="Times New Roman" w:cs="Times New Roman" w:eastAsia="Times New Roman" w:hAnsi="Times New Roman"/>
                <w:sz w:val="14"/>
                <w:szCs w:val="14"/>
                <w:color w:val="auto"/>
              </w:rPr>
              <w:t>(1.59</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diluted income (loss) per share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0.08</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spacing w:after="0" w:line="227" w:lineRule="exact"/>
              <w:rPr>
                <w:sz w:val="20"/>
                <w:szCs w:val="20"/>
                <w:color w:val="auto"/>
              </w:rPr>
            </w:pPr>
            <w:r>
              <w:rPr>
                <w:rFonts w:ascii="Times New Roman" w:cs="Times New Roman" w:eastAsia="Times New Roman" w:hAnsi="Times New Roman"/>
                <w:sz w:val="14"/>
                <w:szCs w:val="14"/>
                <w:color w:val="auto"/>
              </w:rPr>
              <w:t>(0.13</w:t>
            </w:r>
            <w:r>
              <w:rPr>
                <w:rFonts w:ascii="Times New Roman" w:cs="Times New Roman" w:eastAsia="Times New Roman" w:hAnsi="Times New Roman"/>
                <w:sz w:val="26"/>
                <w:szCs w:val="26"/>
                <w:color w:val="auto"/>
                <w:vertAlign w:val="superscript"/>
              </w:rPr>
              <w:t>)</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80"/>
              <w:spacing w:after="0" w:line="227" w:lineRule="exact"/>
              <w:rPr>
                <w:sz w:val="20"/>
                <w:szCs w:val="20"/>
                <w:color w:val="auto"/>
              </w:rPr>
            </w:pPr>
            <w:r>
              <w:rPr>
                <w:rFonts w:ascii="Times New Roman" w:cs="Times New Roman" w:eastAsia="Times New Roman" w:hAnsi="Times New Roman"/>
                <w:sz w:val="14"/>
                <w:szCs w:val="14"/>
                <w:color w:val="auto"/>
              </w:rPr>
              <w:t>(0.42</w:t>
            </w:r>
            <w:r>
              <w:rPr>
                <w:rFonts w:ascii="Times New Roman" w:cs="Times New Roman" w:eastAsia="Times New Roman" w:hAnsi="Times New Roman"/>
                <w:sz w:val="26"/>
                <w:szCs w:val="26"/>
                <w:color w:val="auto"/>
                <w:vertAlign w:val="superscript"/>
              </w:rPr>
              <w:t>)</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spacing w:after="0" w:line="227" w:lineRule="exact"/>
              <w:rPr>
                <w:sz w:val="20"/>
                <w:szCs w:val="20"/>
                <w:color w:val="auto"/>
              </w:rPr>
            </w:pPr>
            <w:r>
              <w:rPr>
                <w:rFonts w:ascii="Times New Roman" w:cs="Times New Roman" w:eastAsia="Times New Roman" w:hAnsi="Times New Roman"/>
                <w:sz w:val="14"/>
                <w:szCs w:val="14"/>
                <w:color w:val="auto"/>
              </w:rPr>
              <w:t>(0.66</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GAAP diluted net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48,231,916</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49,913,898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49,160,266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49,791,659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used in computing Non-GAAP diluted net income (loss) per share</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50,094,714</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49,913,898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49,160,266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49,791,659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 Share-based compensation</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545</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543</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220" w:type="dxa"/>
            <w:vAlign w:val="bottom"/>
          </w:tcPr>
          <w:p>
            <w:pPr>
              <w:spacing w:after="0"/>
              <w:rPr>
                <w:sz w:val="16"/>
                <w:szCs w:val="16"/>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2,185</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Cost of service revenues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447</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1,676</w:t>
            </w:r>
          </w:p>
        </w:tc>
        <w:tc>
          <w:tcPr>
            <w:tcW w:w="0" w:type="dxa"/>
            <w:vAlign w:val="bottom"/>
          </w:tcPr>
          <w:p>
            <w:pPr>
              <w:spacing w:after="0"/>
              <w:rPr>
                <w:sz w:val="1"/>
                <w:szCs w:val="1"/>
                <w:color w:val="auto"/>
              </w:rPr>
            </w:pPr>
          </w:p>
        </w:tc>
      </w:tr>
      <w:tr>
        <w:trPr>
          <w:trHeight w:val="191"/>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1,329</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5,759</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5,312</w:t>
            </w: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Sales and marketing</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1,635</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6,689</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7,361</w:t>
            </w:r>
          </w:p>
        </w:tc>
        <w:tc>
          <w:tcPr>
            <w:tcW w:w="0" w:type="dxa"/>
            <w:vAlign w:val="bottom"/>
          </w:tcPr>
          <w:p>
            <w:pPr>
              <w:spacing w:after="0"/>
              <w:rPr>
                <w:sz w:val="1"/>
                <w:szCs w:val="1"/>
                <w:color w:val="auto"/>
              </w:rPr>
            </w:pPr>
          </w:p>
        </w:tc>
      </w:tr>
      <w:tr>
        <w:trPr>
          <w:trHeight w:val="203"/>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1,689</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6,115</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5,645</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22,589</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22,649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(2) Acquisition related expenses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9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Cost of product revenues</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03"/>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24"/>
        </w:trPr>
        <w:tc>
          <w:tcPr>
            <w:tcW w:w="59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9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(3) Intangible assets amortization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9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907" w:orient="portrait"/>
          <w:cols w:equalWidth="0" w:num="1">
            <w:col w:w="11260"/>
          </w:cols>
          <w:pgMar w:left="320" w:top="814" w:right="319"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Cost of product revenues</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260</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266</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1,402</w:t>
            </w:r>
          </w:p>
        </w:tc>
      </w:tr>
      <w:tr>
        <w:trPr>
          <w:trHeight w:val="191"/>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Cost of service revenues</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w:t>
            </w:r>
          </w:p>
        </w:tc>
        <w:tc>
          <w:tcPr>
            <w:tcW w:w="4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640</w:t>
            </w:r>
          </w:p>
        </w:tc>
        <w:tc>
          <w:tcPr>
            <w:tcW w:w="4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640</w:t>
            </w:r>
          </w:p>
        </w:tc>
      </w:tr>
      <w:tr>
        <w:trPr>
          <w:trHeight w:val="203"/>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93</w:t>
            </w:r>
          </w:p>
        </w:tc>
        <w:tc>
          <w:tcPr>
            <w:tcW w:w="4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550</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501</w:t>
            </w:r>
          </w:p>
        </w:tc>
      </w:tr>
      <w:tr>
        <w:trPr>
          <w:trHeight w:val="24"/>
        </w:trPr>
        <w:tc>
          <w:tcPr>
            <w:tcW w:w="59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59"/>
        </w:trPr>
        <w:tc>
          <w:tcPr>
            <w:tcW w:w="5980" w:type="dxa"/>
            <w:vAlign w:val="bottom"/>
          </w:tcPr>
          <w:p>
            <w:pPr>
              <w:spacing w:after="0"/>
              <w:rPr>
                <w:sz w:val="22"/>
                <w:szCs w:val="22"/>
                <w:color w:val="auto"/>
              </w:rPr>
            </w:pP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513</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564</w:t>
            </w: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220" w:type="dxa"/>
            <w:vAlign w:val="bottom"/>
          </w:tcPr>
          <w:p>
            <w:pPr>
              <w:spacing w:after="0"/>
              <w:rPr>
                <w:sz w:val="22"/>
                <w:szCs w:val="22"/>
                <w:color w:val="auto"/>
              </w:rPr>
            </w:pP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2,543</w:t>
            </w: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191"/>
        </w:trPr>
        <w:tc>
          <w:tcPr>
            <w:tcW w:w="5980" w:type="dxa"/>
            <w:vAlign w:val="bottom"/>
          </w:tcPr>
          <w:p>
            <w:pPr>
              <w:spacing w:after="0"/>
              <w:rPr>
                <w:sz w:val="20"/>
                <w:szCs w:val="20"/>
                <w:color w:val="auto"/>
              </w:rPr>
            </w:pPr>
            <w:r>
              <w:rPr>
                <w:rFonts w:ascii="Times New Roman" w:cs="Times New Roman" w:eastAsia="Times New Roman" w:hAnsi="Times New Roman"/>
                <w:sz w:val="16"/>
                <w:szCs w:val="16"/>
                <w:color w:val="auto"/>
              </w:rPr>
              <w:t>(4) Restructuring expenses</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Cost of product revenues</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5,569</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305</w:t>
            </w:r>
          </w:p>
        </w:tc>
        <w:tc>
          <w:tcPr>
            <w:tcW w:w="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5,658</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689</w:t>
            </w:r>
          </w:p>
        </w:tc>
      </w:tr>
      <w:tr>
        <w:trPr>
          <w:trHeight w:val="191"/>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Cost of service revenues</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5,932</w:t>
            </w:r>
          </w:p>
        </w:tc>
        <w:tc>
          <w:tcPr>
            <w:tcW w:w="4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6"/>
                <w:szCs w:val="16"/>
                <w:color w:val="auto"/>
              </w:rPr>
            </w:pPr>
          </w:p>
        </w:tc>
      </w:tr>
      <w:tr>
        <w:trPr>
          <w:trHeight w:val="191"/>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860</w:t>
            </w:r>
          </w:p>
        </w:tc>
        <w:tc>
          <w:tcPr>
            <w:tcW w:w="4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880</w:t>
            </w:r>
          </w:p>
        </w:tc>
        <w:tc>
          <w:tcPr>
            <w:tcW w:w="4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201</w:t>
            </w:r>
          </w:p>
        </w:tc>
      </w:tr>
      <w:tr>
        <w:trPr>
          <w:trHeight w:val="191"/>
        </w:trPr>
        <w:tc>
          <w:tcPr>
            <w:tcW w:w="598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2,744</w:t>
            </w:r>
          </w:p>
        </w:tc>
        <w:tc>
          <w:tcPr>
            <w:tcW w:w="44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675</w:t>
            </w:r>
          </w:p>
        </w:tc>
      </w:tr>
      <w:tr>
        <w:trPr>
          <w:trHeight w:val="203"/>
        </w:trPr>
        <w:tc>
          <w:tcPr>
            <w:tcW w:w="59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3,975</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3,975</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116</w:t>
            </w:r>
          </w:p>
        </w:tc>
      </w:tr>
      <w:tr>
        <w:trPr>
          <w:trHeight w:val="24"/>
        </w:trPr>
        <w:tc>
          <w:tcPr>
            <w:tcW w:w="59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59"/>
        </w:trPr>
        <w:tc>
          <w:tcPr>
            <w:tcW w:w="5980" w:type="dxa"/>
            <w:vAlign w:val="bottom"/>
          </w:tcPr>
          <w:p>
            <w:pPr>
              <w:spacing w:after="0"/>
              <w:rPr>
                <w:sz w:val="22"/>
                <w:szCs w:val="22"/>
                <w:color w:val="auto"/>
              </w:rPr>
            </w:pP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19,080</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20" w:type="dxa"/>
            <w:vAlign w:val="bottom"/>
          </w:tcPr>
          <w:p>
            <w:pPr>
              <w:spacing w:after="0"/>
              <w:rPr>
                <w:sz w:val="22"/>
                <w:szCs w:val="22"/>
                <w:color w:val="auto"/>
              </w:rPr>
            </w:pPr>
          </w:p>
        </w:tc>
        <w:tc>
          <w:tcPr>
            <w:tcW w:w="4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19,375</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1,693</w:t>
            </w:r>
          </w:p>
        </w:tc>
      </w:tr>
      <w:tr>
        <w:trPr>
          <w:trHeight w:val="187"/>
        </w:trPr>
        <w:tc>
          <w:tcPr>
            <w:tcW w:w="59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bl>
    <w:p>
      <w:pPr>
        <w:spacing w:after="0"/>
        <w:rPr>
          <w:sz w:val="20"/>
          <w:szCs w:val="20"/>
          <w:color w:val="auto"/>
        </w:rPr>
      </w:pPr>
      <w:r>
        <w:rPr>
          <w:rFonts w:ascii="Times New Roman" w:cs="Times New Roman" w:eastAsia="Times New Roman" w:hAnsi="Times New Roman"/>
          <w:sz w:val="16"/>
          <w:szCs w:val="16"/>
          <w:color w:val="auto"/>
        </w:rPr>
        <w:t>(a) Attributed to tax settlement with the Israeli Tax Authority</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31" w:right="31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5"/>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0" w:type="dxa"/>
            <w:vAlign w:val="bottom"/>
          </w:tcPr>
          <w:p>
            <w:pPr>
              <w:spacing w:after="0"/>
              <w:rPr>
                <w:sz w:val="1"/>
                <w:szCs w:val="1"/>
                <w:color w:val="auto"/>
              </w:rPr>
            </w:pPr>
          </w:p>
        </w:tc>
      </w:tr>
      <w:tr>
        <w:trPr>
          <w:trHeight w:val="214"/>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5"/>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7"/>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550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(22,934)</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(64,351)</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(79,065)</w:t>
            </w:r>
          </w:p>
        </w:tc>
        <w:tc>
          <w:tcPr>
            <w:tcW w:w="0" w:type="dxa"/>
            <w:vAlign w:val="bottom"/>
          </w:tcPr>
          <w:p>
            <w:pPr>
              <w:spacing w:after="0"/>
              <w:rPr>
                <w:sz w:val="1"/>
                <w:szCs w:val="1"/>
                <w:color w:val="auto"/>
              </w:rPr>
            </w:pPr>
          </w:p>
        </w:tc>
      </w:tr>
      <w:tr>
        <w:trPr>
          <w:trHeight w:val="191"/>
        </w:trPr>
        <w:tc>
          <w:tcPr>
            <w:tcW w:w="5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3,287</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14,700</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13,565</w:t>
            </w:r>
          </w:p>
        </w:tc>
        <w:tc>
          <w:tcPr>
            <w:tcW w:w="0" w:type="dxa"/>
            <w:vAlign w:val="bottom"/>
          </w:tcPr>
          <w:p>
            <w:pPr>
              <w:spacing w:after="0"/>
              <w:rPr>
                <w:sz w:val="1"/>
                <w:szCs w:val="1"/>
                <w:color w:val="auto"/>
              </w:rPr>
            </w:pPr>
          </w:p>
        </w:tc>
      </w:tr>
      <w:tr>
        <w:trPr>
          <w:trHeight w:val="191"/>
        </w:trPr>
        <w:tc>
          <w:tcPr>
            <w:tcW w:w="550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Restructuring and other charges</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19,080</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19,080</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Fair value of warrants deducted from revenues</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4,841</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13,842</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22,500</w:t>
            </w:r>
          </w:p>
        </w:tc>
        <w:tc>
          <w:tcPr>
            <w:tcW w:w="0" w:type="dxa"/>
            <w:vAlign w:val="bottom"/>
          </w:tcPr>
          <w:p>
            <w:pPr>
              <w:spacing w:after="0"/>
              <w:rPr>
                <w:sz w:val="1"/>
                <w:szCs w:val="1"/>
                <w:color w:val="auto"/>
              </w:rPr>
            </w:pPr>
          </w:p>
        </w:tc>
      </w:tr>
      <w:tr>
        <w:trPr>
          <w:trHeight w:val="191"/>
        </w:trPr>
        <w:tc>
          <w:tcPr>
            <w:tcW w:w="550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Share-based compensation</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5,645</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22,589</w:t>
            </w: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22,649</w:t>
            </w: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Amortization of premium and accretion of discount on marketable securities, net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756</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1,820</w:t>
            </w:r>
          </w:p>
        </w:tc>
        <w:tc>
          <w:tcPr>
            <w:tcW w:w="0" w:type="dxa"/>
            <w:vAlign w:val="bottom"/>
          </w:tcPr>
          <w:p>
            <w:pPr>
              <w:spacing w:after="0"/>
              <w:rPr>
                <w:sz w:val="1"/>
                <w:szCs w:val="1"/>
                <w:color w:val="auto"/>
              </w:rPr>
            </w:pPr>
          </w:p>
        </w:tc>
      </w:tr>
      <w:tr>
        <w:trPr>
          <w:trHeight w:val="191"/>
        </w:trPr>
        <w:tc>
          <w:tcPr>
            <w:tcW w:w="550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Realized gain on sale and redemption of marketable securities</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93</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134</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50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Change in operating assets and liabilities:</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640" w:type="dxa"/>
            <w:vAlign w:val="bottom"/>
            <w:tcBorders>
              <w:top w:val="single" w:sz="8" w:color="auto"/>
            </w:tcBorders>
            <w:gridSpan w:val="3"/>
          </w:tcPr>
          <w:p>
            <w:pPr>
              <w:ind w:left="280"/>
              <w:spacing w:after="0"/>
              <w:rPr>
                <w:sz w:val="20"/>
                <w:szCs w:val="20"/>
                <w:color w:val="auto"/>
              </w:rPr>
            </w:pPr>
            <w:r>
              <w:rPr>
                <w:rFonts w:ascii="Times New Roman" w:cs="Times New Roman" w:eastAsia="Times New Roman" w:hAnsi="Times New Roman"/>
                <w:sz w:val="16"/>
                <w:szCs w:val="16"/>
                <w:color w:val="auto"/>
              </w:rPr>
              <w:t>Trade receivables, net</w:t>
            </w:r>
          </w:p>
        </w:tc>
        <w:tc>
          <w:tcPr>
            <w:tcW w:w="28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6,557</w:t>
            </w:r>
          </w:p>
        </w:tc>
        <w:tc>
          <w:tcPr>
            <w:tcW w:w="38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(3,673)</w:t>
            </w: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(19,220)</w:t>
            </w:r>
          </w:p>
        </w:tc>
        <w:tc>
          <w:tcPr>
            <w:tcW w:w="18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(15,891)</w:t>
            </w: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accounts receivables and prepaid expenses</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(5,040)</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(6,492)</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(8,635)</w:t>
            </w:r>
          </w:p>
        </w:tc>
        <w:tc>
          <w:tcPr>
            <w:tcW w:w="0" w:type="dxa"/>
            <w:vAlign w:val="bottom"/>
          </w:tcPr>
          <w:p>
            <w:pPr>
              <w:spacing w:after="0"/>
              <w:rPr>
                <w:sz w:val="1"/>
                <w:szCs w:val="1"/>
                <w:color w:val="auto"/>
              </w:rPr>
            </w:pPr>
          </w:p>
        </w:tc>
      </w:tr>
      <w:tr>
        <w:trPr>
          <w:trHeight w:val="191"/>
        </w:trPr>
        <w:tc>
          <w:tcPr>
            <w:tcW w:w="550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Inventory</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4,521</w:t>
            </w:r>
          </w:p>
        </w:tc>
        <w:tc>
          <w:tcPr>
            <w:tcW w:w="3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(2,437)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11,028</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(29,004)</w:t>
            </w: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Operating leases right-of-use assets and liabilities, net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1,544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(179)</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0" w:type="dxa"/>
            <w:vAlign w:val="bottom"/>
          </w:tcPr>
          <w:p>
            <w:pPr>
              <w:spacing w:after="0"/>
              <w:rPr>
                <w:sz w:val="1"/>
                <w:szCs w:val="1"/>
                <w:color w:val="auto"/>
              </w:rPr>
            </w:pPr>
          </w:p>
        </w:tc>
      </w:tr>
      <w:tr>
        <w:trPr>
          <w:trHeight w:val="191"/>
        </w:trPr>
        <w:tc>
          <w:tcPr>
            <w:tcW w:w="550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Deferred taxes</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11,523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8,530</w:t>
            </w: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Deposits and other long term assets</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(2,282)</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w:t>
            </w:r>
          </w:p>
        </w:tc>
        <w:tc>
          <w:tcPr>
            <w:tcW w:w="0" w:type="dxa"/>
            <w:vAlign w:val="bottom"/>
          </w:tcPr>
          <w:p>
            <w:pPr>
              <w:spacing w:after="0"/>
              <w:rPr>
                <w:sz w:val="1"/>
                <w:szCs w:val="1"/>
                <w:color w:val="auto"/>
              </w:rPr>
            </w:pPr>
          </w:p>
        </w:tc>
      </w:tr>
      <w:tr>
        <w:trPr>
          <w:trHeight w:val="191"/>
        </w:trPr>
        <w:tc>
          <w:tcPr>
            <w:tcW w:w="550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Trade payables</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(2,902)</w:t>
            </w:r>
          </w:p>
        </w:tc>
        <w:tc>
          <w:tcPr>
            <w:tcW w:w="3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(9,068)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(6,491)</w:t>
            </w:r>
          </w:p>
        </w:tc>
        <w:tc>
          <w:tcPr>
            <w:tcW w:w="1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(26,948)</w:t>
            </w: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(2,294)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(1,089)</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(7,674)</w:t>
            </w:r>
          </w:p>
        </w:tc>
        <w:tc>
          <w:tcPr>
            <w:tcW w:w="0" w:type="dxa"/>
            <w:vAlign w:val="bottom"/>
          </w:tcPr>
          <w:p>
            <w:pPr>
              <w:spacing w:after="0"/>
              <w:rPr>
                <w:sz w:val="1"/>
                <w:szCs w:val="1"/>
                <w:color w:val="auto"/>
              </w:rPr>
            </w:pPr>
          </w:p>
        </w:tc>
      </w:tr>
      <w:tr>
        <w:trPr>
          <w:trHeight w:val="191"/>
        </w:trPr>
        <w:tc>
          <w:tcPr>
            <w:tcW w:w="550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(1,339)</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(4,990)</w:t>
            </w:r>
          </w:p>
        </w:tc>
        <w:tc>
          <w:tcPr>
            <w:tcW w:w="1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(8,357)</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(10,547)</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7,190</w:t>
            </w:r>
          </w:p>
        </w:tc>
        <w:tc>
          <w:tcPr>
            <w:tcW w:w="0" w:type="dxa"/>
            <w:vAlign w:val="bottom"/>
          </w:tcPr>
          <w:p>
            <w:pPr>
              <w:spacing w:after="0"/>
              <w:rPr>
                <w:sz w:val="1"/>
                <w:szCs w:val="1"/>
                <w:color w:val="auto"/>
              </w:rPr>
            </w:pPr>
          </w:p>
        </w:tc>
      </w:tr>
      <w:tr>
        <w:trPr>
          <w:trHeight w:val="191"/>
        </w:trPr>
        <w:tc>
          <w:tcPr>
            <w:tcW w:w="550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Accrued severance pay, net</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(152)</w:t>
            </w:r>
          </w:p>
        </w:tc>
        <w:tc>
          <w:tcPr>
            <w:tcW w:w="1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long - term liabilities</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(1,018)</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00" w:type="dxa"/>
            <w:vAlign w:val="bottom"/>
            <w:gridSpan w:val="4"/>
          </w:tcPr>
          <w:p>
            <w:pPr>
              <w:ind w:left="280"/>
              <w:spacing w:after="0"/>
              <w:rPr>
                <w:sz w:val="20"/>
                <w:szCs w:val="20"/>
                <w:color w:val="auto"/>
              </w:rPr>
            </w:pPr>
            <w:r>
              <w:rPr>
                <w:rFonts w:ascii="Times New Roman" w:cs="Times New Roman" w:eastAsia="Times New Roman" w:hAnsi="Times New Roman"/>
                <w:sz w:val="16"/>
                <w:szCs w:val="16"/>
                <w:color w:val="auto"/>
              </w:rPr>
              <w:t>Loss (gain) from sale and disposal of property, plant and equipment</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195"/>
        </w:trPr>
        <w:tc>
          <w:tcPr>
            <w:tcW w:w="55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2,594</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(39,577</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50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4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8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(934)</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(7,006)</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(18,042)</w:t>
            </w:r>
          </w:p>
        </w:tc>
        <w:tc>
          <w:tcPr>
            <w:tcW w:w="0" w:type="dxa"/>
            <w:vAlign w:val="bottom"/>
          </w:tcPr>
          <w:p>
            <w:pPr>
              <w:spacing w:after="0"/>
              <w:rPr>
                <w:sz w:val="1"/>
                <w:szCs w:val="1"/>
                <w:color w:val="auto"/>
              </w:rPr>
            </w:pPr>
          </w:p>
        </w:tc>
      </w:tr>
      <w:tr>
        <w:trPr>
          <w:trHeight w:val="191"/>
        </w:trPr>
        <w:tc>
          <w:tcPr>
            <w:tcW w:w="5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Investment in equity securities</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Acquisition of intangible assets</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191"/>
        </w:trPr>
        <w:tc>
          <w:tcPr>
            <w:tcW w:w="5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in connection with acquisition, net of cash acquired</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(14,654)</w:t>
            </w:r>
          </w:p>
        </w:tc>
        <w:tc>
          <w:tcPr>
            <w:tcW w:w="0" w:type="dxa"/>
            <w:vAlign w:val="bottom"/>
          </w:tcPr>
          <w:p>
            <w:pPr>
              <w:spacing w:after="0"/>
              <w:rPr>
                <w:sz w:val="1"/>
                <w:szCs w:val="1"/>
                <w:color w:val="auto"/>
              </w:rPr>
            </w:pPr>
          </w:p>
        </w:tc>
      </w:tr>
      <w:tr>
        <w:trPr>
          <w:trHeight w:val="191"/>
        </w:trPr>
        <w:tc>
          <w:tcPr>
            <w:tcW w:w="5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(investment in) short-term bank deposits, net</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(15,505)</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85,089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39,433</w:t>
            </w:r>
          </w:p>
        </w:tc>
        <w:tc>
          <w:tcPr>
            <w:tcW w:w="18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(265,865)</w:t>
            </w: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sales and redemption of marketable securities</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7,240</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1,945</w:t>
            </w:r>
          </w:p>
        </w:tc>
        <w:tc>
          <w:tcPr>
            <w:tcW w:w="0" w:type="dxa"/>
            <w:vAlign w:val="bottom"/>
          </w:tcPr>
          <w:p>
            <w:pPr>
              <w:spacing w:after="0"/>
              <w:rPr>
                <w:sz w:val="1"/>
                <w:szCs w:val="1"/>
                <w:color w:val="auto"/>
              </w:rPr>
            </w:pPr>
          </w:p>
        </w:tc>
      </w:tr>
      <w:tr>
        <w:trPr>
          <w:trHeight w:val="191"/>
        </w:trPr>
        <w:tc>
          <w:tcPr>
            <w:tcW w:w="5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6,300</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20,522</w:t>
            </w: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27,898</w:t>
            </w:r>
          </w:p>
        </w:tc>
        <w:tc>
          <w:tcPr>
            <w:tcW w:w="0" w:type="dxa"/>
            <w:vAlign w:val="bottom"/>
          </w:tcPr>
          <w:p>
            <w:pPr>
              <w:spacing w:after="0"/>
              <w:rPr>
                <w:sz w:val="1"/>
                <w:szCs w:val="1"/>
                <w:color w:val="auto"/>
              </w:rPr>
            </w:pPr>
          </w:p>
        </w:tc>
      </w:tr>
      <w:tr>
        <w:trPr>
          <w:trHeight w:val="223"/>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marketable securities</w:t>
            </w:r>
          </w:p>
        </w:tc>
        <w:tc>
          <w:tcPr>
            <w:tcW w:w="4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(9,526)</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(33,977)</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(137,500)</w:t>
            </w:r>
          </w:p>
        </w:tc>
        <w:tc>
          <w:tcPr>
            <w:tcW w:w="0" w:type="dxa"/>
            <w:vAlign w:val="bottom"/>
          </w:tcPr>
          <w:p>
            <w:pPr>
              <w:spacing w:after="0"/>
              <w:rPr>
                <w:sz w:val="1"/>
                <w:szCs w:val="1"/>
                <w:color w:val="auto"/>
              </w:rPr>
            </w:pPr>
          </w:p>
        </w:tc>
      </w:tr>
      <w:tr>
        <w:trPr>
          <w:trHeight w:val="179"/>
        </w:trPr>
        <w:tc>
          <w:tcPr>
            <w:tcW w:w="5500" w:type="dxa"/>
            <w:vAlign w:val="bottom"/>
            <w:tcBorders>
              <w:top w:val="single" w:sz="8" w:color="CCEEFF"/>
              <w:bottom w:val="single" w:sz="8" w:color="CCEEFF"/>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48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(19,665</w:t>
            </w:r>
          </w:p>
        </w:tc>
        <w:tc>
          <w:tcPr>
            <w:tcW w:w="240" w:type="dxa"/>
            <w:vAlign w:val="bottom"/>
            <w:tcBorders>
              <w:top w:val="single" w:sz="8" w:color="CCEEFF"/>
              <w:bottom w:val="single" w:sz="8" w:color="CCEEFF"/>
            </w:tcBorders>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ind w:right="22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77,412</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26,212</w:t>
            </w:r>
          </w:p>
        </w:tc>
        <w:tc>
          <w:tcPr>
            <w:tcW w:w="220" w:type="dxa"/>
            <w:vAlign w:val="bottom"/>
            <w:tcBorders>
              <w:top w:val="single" w:sz="8" w:color="CCEEFF"/>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(407,275</w:t>
            </w:r>
          </w:p>
        </w:tc>
        <w:tc>
          <w:tcPr>
            <w:tcW w:w="12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50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auto"/>
              </w:rPr>
              <w:t>Cash flows from financing activities:</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3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Exercise of employee stock options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293</w:t>
            </w: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Payments related to shares withheld for taxes</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(608)</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(1,045)</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0" w:type="dxa"/>
            <w:vAlign w:val="bottom"/>
          </w:tcPr>
          <w:p>
            <w:pPr>
              <w:spacing w:after="0"/>
              <w:rPr>
                <w:sz w:val="1"/>
                <w:szCs w:val="1"/>
                <w:color w:val="auto"/>
              </w:rPr>
            </w:pPr>
          </w:p>
        </w:tc>
      </w:tr>
      <w:tr>
        <w:trPr>
          <w:trHeight w:val="207"/>
        </w:trPr>
        <w:tc>
          <w:tcPr>
            <w:tcW w:w="5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(19,004)</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(55,770)</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5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(19,612</w:t>
            </w:r>
          </w:p>
        </w:tc>
        <w:tc>
          <w:tcPr>
            <w:tcW w:w="240" w:type="dxa"/>
            <w:vAlign w:val="bottom"/>
            <w:tcBorders>
              <w:top w:val="single" w:sz="8" w:color="CCEEFF"/>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(56,522</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(36,683)</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37,904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(64,992)</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(506,954)</w:t>
            </w:r>
          </w:p>
        </w:tc>
        <w:tc>
          <w:tcPr>
            <w:tcW w:w="0" w:type="dxa"/>
            <w:vAlign w:val="bottom"/>
          </w:tcPr>
          <w:p>
            <w:pPr>
              <w:spacing w:after="0"/>
              <w:rPr>
                <w:sz w:val="1"/>
                <w:szCs w:val="1"/>
                <w:color w:val="auto"/>
              </w:rPr>
            </w:pPr>
          </w:p>
        </w:tc>
      </w:tr>
      <w:tr>
        <w:trPr>
          <w:trHeight w:val="203"/>
        </w:trPr>
        <w:tc>
          <w:tcPr>
            <w:tcW w:w="5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and cash equivalents at the beginning of the period</w:t>
            </w: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76,288</w:t>
            </w:r>
          </w:p>
        </w:tc>
        <w:tc>
          <w:tcPr>
            <w:tcW w:w="3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66,693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104,597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611,551</w:t>
            </w:r>
          </w:p>
        </w:tc>
        <w:tc>
          <w:tcPr>
            <w:tcW w:w="0" w:type="dxa"/>
            <w:vAlign w:val="bottom"/>
          </w:tcPr>
          <w:p>
            <w:pPr>
              <w:spacing w:after="0"/>
              <w:rPr>
                <w:sz w:val="1"/>
                <w:szCs w:val="1"/>
                <w:color w:val="auto"/>
              </w:rPr>
            </w:pPr>
          </w:p>
        </w:tc>
      </w:tr>
      <w:tr>
        <w:trPr>
          <w:trHeight w:val="24"/>
        </w:trPr>
        <w:tc>
          <w:tcPr>
            <w:tcW w:w="550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tc>
        <w:tc>
          <w:tcPr>
            <w:tcW w:w="4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5500" w:type="dxa"/>
            <w:vAlign w:val="bottom"/>
            <w:gridSpan w:val="4"/>
            <w:vMerge w:val="continue"/>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39,605</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104,597</w:t>
            </w:r>
          </w:p>
        </w:tc>
        <w:tc>
          <w:tcPr>
            <w:tcW w:w="1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39,605</w:t>
            </w: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104,597</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 on credit</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314</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314</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1,692</w:t>
            </w:r>
          </w:p>
        </w:tc>
        <w:tc>
          <w:tcPr>
            <w:tcW w:w="0" w:type="dxa"/>
            <w:vAlign w:val="bottom"/>
          </w:tcPr>
          <w:p>
            <w:pPr>
              <w:spacing w:after="0"/>
              <w:rPr>
                <w:sz w:val="1"/>
                <w:szCs w:val="1"/>
                <w:color w:val="auto"/>
              </w:rPr>
            </w:pPr>
          </w:p>
        </w:tc>
      </w:tr>
      <w:tr>
        <w:trPr>
          <w:trHeight w:val="191"/>
        </w:trPr>
        <w:tc>
          <w:tcPr>
            <w:tcW w:w="5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Inventory transferred to be used as property and equipment</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531</w:t>
            </w:r>
          </w:p>
        </w:tc>
        <w:tc>
          <w:tcPr>
            <w:tcW w:w="18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6,792</w:t>
            </w:r>
          </w:p>
        </w:tc>
        <w:tc>
          <w:tcPr>
            <w:tcW w:w="0" w:type="dxa"/>
            <w:vAlign w:val="bottom"/>
          </w:tcPr>
          <w:p>
            <w:pPr>
              <w:spacing w:after="0"/>
              <w:rPr>
                <w:sz w:val="1"/>
                <w:szCs w:val="1"/>
                <w:color w:val="auto"/>
              </w:rPr>
            </w:pPr>
          </w:p>
        </w:tc>
      </w:tr>
      <w:tr>
        <w:trPr>
          <w:trHeight w:val="191"/>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transferred to be used as inventory</w:t>
            </w:r>
          </w:p>
        </w:tc>
        <w:tc>
          <w:tcPr>
            <w:tcW w:w="4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131</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865</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(3,250)</w:t>
            </w: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7,585</w:t>
            </w:r>
          </w:p>
        </w:tc>
        <w:tc>
          <w:tcPr>
            <w:tcW w:w="0" w:type="dxa"/>
            <w:vAlign w:val="bottom"/>
          </w:tcPr>
          <w:p>
            <w:pPr>
              <w:spacing w:after="0"/>
              <w:rPr>
                <w:sz w:val="1"/>
                <w:szCs w:val="1"/>
                <w:color w:val="auto"/>
              </w:rPr>
            </w:pPr>
          </w:p>
        </w:tc>
      </w:tr>
      <w:tr>
        <w:trPr>
          <w:trHeight w:val="561"/>
        </w:trPr>
        <w:tc>
          <w:tcPr>
            <w:tcW w:w="2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RECONCILIATION OF GAAP NET INCOME TO ADJUSTED EBITDA</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gridSpan w:val="3"/>
          </w:tcPr>
          <w:p>
            <w:pPr>
              <w:jc w:val="center"/>
              <w:ind w:left="400"/>
              <w:spacing w:after="0"/>
              <w:rPr>
                <w:sz w:val="20"/>
                <w:szCs w:val="20"/>
                <w:color w:val="auto"/>
              </w:rPr>
            </w:pPr>
            <w:r>
              <w:rPr>
                <w:rFonts w:ascii="Times New Roman" w:cs="Times New Roman" w:eastAsia="Times New Roman" w:hAnsi="Times New Roman"/>
                <w:sz w:val="16"/>
                <w:szCs w:val="16"/>
                <w:b w:val="1"/>
                <w:bCs w:val="1"/>
                <w:color w:val="auto"/>
                <w:w w:val="97"/>
              </w:rPr>
              <w:t>Year Ended</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Revenues</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56,585</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63,298</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219,786</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271,518</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3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GAAP Net Loss</w:t>
            </w:r>
          </w:p>
        </w:tc>
        <w:tc>
          <w:tcPr>
            <w:tcW w:w="1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(22,934)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(64,351)</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(79,065)</w:t>
            </w:r>
          </w:p>
        </w:tc>
        <w:tc>
          <w:tcPr>
            <w:tcW w:w="0" w:type="dxa"/>
            <w:vAlign w:val="bottom"/>
          </w:tcPr>
          <w:p>
            <w:pPr>
              <w:spacing w:after="0"/>
              <w:rPr>
                <w:sz w:val="1"/>
                <w:szCs w:val="1"/>
                <w:color w:val="auto"/>
              </w:rPr>
            </w:pPr>
          </w:p>
        </w:tc>
      </w:tr>
      <w:tr>
        <w:trPr>
          <w:trHeight w:val="191"/>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on income</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539</w:t>
            </w: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23,703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970</w:t>
            </w: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22,565</w:t>
            </w:r>
          </w:p>
        </w:tc>
        <w:tc>
          <w:tcPr>
            <w:tcW w:w="0" w:type="dxa"/>
            <w:vAlign w:val="bottom"/>
          </w:tcPr>
          <w:p>
            <w:pPr>
              <w:spacing w:after="0"/>
              <w:rPr>
                <w:sz w:val="1"/>
                <w:szCs w:val="1"/>
                <w:color w:val="auto"/>
              </w:rPr>
            </w:pPr>
          </w:p>
        </w:tc>
      </w:tr>
      <w:tr>
        <w:trPr>
          <w:trHeight w:val="191"/>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Financial income</w:t>
            </w:r>
          </w:p>
        </w:tc>
        <w:tc>
          <w:tcPr>
            <w:tcW w:w="1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(5,424)</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(24,150)</w:t>
            </w: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(13,382)</w:t>
            </w:r>
          </w:p>
        </w:tc>
        <w:tc>
          <w:tcPr>
            <w:tcW w:w="0" w:type="dxa"/>
            <w:vAlign w:val="bottom"/>
          </w:tcPr>
          <w:p>
            <w:pPr>
              <w:spacing w:after="0"/>
              <w:rPr>
                <w:sz w:val="1"/>
                <w:szCs w:val="1"/>
                <w:color w:val="auto"/>
              </w:rPr>
            </w:pPr>
          </w:p>
        </w:tc>
      </w:tr>
      <w:tr>
        <w:trPr>
          <w:trHeight w:val="191"/>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5,645</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22,589</w:t>
            </w: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22,649</w:t>
            </w:r>
          </w:p>
        </w:tc>
        <w:tc>
          <w:tcPr>
            <w:tcW w:w="0" w:type="dxa"/>
            <w:vAlign w:val="bottom"/>
          </w:tcPr>
          <w:p>
            <w:pPr>
              <w:spacing w:after="0"/>
              <w:rPr>
                <w:sz w:val="1"/>
                <w:szCs w:val="1"/>
                <w:color w:val="auto"/>
              </w:rPr>
            </w:pPr>
          </w:p>
        </w:tc>
      </w:tr>
      <w:tr>
        <w:trPr>
          <w:trHeight w:val="191"/>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amortization</w:t>
            </w:r>
          </w:p>
        </w:tc>
        <w:tc>
          <w:tcPr>
            <w:tcW w:w="1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513</w:t>
            </w:r>
          </w:p>
        </w:tc>
        <w:tc>
          <w:tcPr>
            <w:tcW w:w="3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2,543</w:t>
            </w:r>
          </w:p>
        </w:tc>
        <w:tc>
          <w:tcPr>
            <w:tcW w:w="0" w:type="dxa"/>
            <w:vAlign w:val="bottom"/>
          </w:tcPr>
          <w:p>
            <w:pPr>
              <w:spacing w:after="0"/>
              <w:rPr>
                <w:sz w:val="1"/>
                <w:szCs w:val="1"/>
                <w:color w:val="auto"/>
              </w:rPr>
            </w:pPr>
          </w:p>
        </w:tc>
      </w:tr>
      <w:tr>
        <w:trPr>
          <w:trHeight w:val="191"/>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512</w:t>
            </w:r>
          </w:p>
        </w:tc>
        <w:tc>
          <w:tcPr>
            <w:tcW w:w="0" w:type="dxa"/>
            <w:vAlign w:val="bottom"/>
          </w:tcPr>
          <w:p>
            <w:pPr>
              <w:spacing w:after="0"/>
              <w:rPr>
                <w:sz w:val="1"/>
                <w:szCs w:val="1"/>
                <w:color w:val="auto"/>
              </w:rPr>
            </w:pPr>
          </w:p>
        </w:tc>
      </w:tr>
      <w:tr>
        <w:trPr>
          <w:trHeight w:val="191"/>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Excess cost of product on acquired inventory</w:t>
            </w:r>
          </w:p>
        </w:tc>
        <w:tc>
          <w:tcPr>
            <w:tcW w:w="1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07"/>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Restructuring expenses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19,080</w:t>
            </w: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19,375</w:t>
            </w:r>
          </w:p>
        </w:tc>
        <w:tc>
          <w:tcPr>
            <w:tcW w:w="3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1,693</w:t>
            </w:r>
          </w:p>
        </w:tc>
        <w:tc>
          <w:tcPr>
            <w:tcW w:w="0" w:type="dxa"/>
            <w:vAlign w:val="bottom"/>
          </w:tcPr>
          <w:p>
            <w:pPr>
              <w:spacing w:after="0"/>
              <w:rPr>
                <w:sz w:val="1"/>
                <w:szCs w:val="1"/>
                <w:color w:val="auto"/>
              </w:rPr>
            </w:pPr>
          </w:p>
        </w:tc>
      </w:tr>
      <w:tr>
        <w:trPr>
          <w:trHeight w:val="191"/>
        </w:trPr>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Non-GAAP Operating Loss</w:t>
            </w:r>
          </w:p>
        </w:tc>
        <w:tc>
          <w:tcPr>
            <w:tcW w:w="16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w:t>
            </w: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(43,324)</w:t>
            </w:r>
          </w:p>
        </w:tc>
        <w:tc>
          <w:tcPr>
            <w:tcW w:w="22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(41,822)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1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2,774</w:t>
            </w: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12,457</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1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4300" w:type="dxa"/>
            <w:vAlign w:val="bottom"/>
            <w:vMerge w:val="continue"/>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193</w:t>
            </w: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(6,079</w:t>
            </w:r>
          </w:p>
        </w:tc>
        <w:tc>
          <w:tcPr>
            <w:tcW w:w="140" w:type="dxa"/>
            <w:vAlign w:val="bottom"/>
            <w:vMerge w:val="continue"/>
            <w:shd w:val="clear" w:color="auto" w:fill="CCEEFF"/>
          </w:tcPr>
          <w:p>
            <w:pPr>
              <w:spacing w:after="0"/>
              <w:rPr>
                <w:sz w:val="19"/>
                <w:szCs w:val="19"/>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(30,867</w:t>
            </w:r>
          </w:p>
        </w:tc>
        <w:tc>
          <w:tcPr>
            <w:tcW w:w="22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(30,800</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13" w:name="page14"/>
    <w:bookmarkEnd w:id="13"/>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324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4717415</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24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jpe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13" Type="http://schemas.openxmlformats.org/officeDocument/2006/relationships/hyperlink" Target="http://www.sec.gov/Archives/edgar/data/1625791/000161577415000908/s101052_forms8.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www.sec.gov/Archives/edgar/data/1625791/000121390020007116/ea119827-s8_kornitdigital.htm" TargetMode="External"/><Relationship Id="rId19" Type="http://schemas.openxmlformats.org/officeDocument/2006/relationships/hyperlink" Target="http://www.sec.gov/Archives/edgar/data/1625791/000121390021017777/ea138332-s8_kornitdigital.htm" TargetMode="External"/><Relationship Id="rId20"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2024-02-14T08:45:13Z</dcterms:created>
  <dcterms:modified xsi:type="dcterms:W3CDTF">2024-02-14T08:45:13Z</dcterms:modified>
</cp:coreProperties>
</file>