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FORM 6-K</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For the month of </w:t>
      </w:r>
      <w:r>
        <w:rPr>
          <w:rFonts w:ascii="Arial" w:cs="Arial" w:eastAsia="Arial" w:hAnsi="Arial"/>
          <w:sz w:val="16"/>
          <w:szCs w:val="16"/>
          <w:b w:val="1"/>
          <w:bCs w:val="1"/>
          <w:color w:val="auto"/>
        </w:rPr>
        <w:t>May 2022</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001-36903</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12 Ha’Amal Street</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80" w:lineRule="exact"/>
        <w:rPr>
          <w:sz w:val="24"/>
          <w:szCs w:val="24"/>
          <w:color w:val="auto"/>
        </w:rPr>
      </w:pPr>
    </w:p>
    <w:p>
      <w:pPr>
        <w:ind w:left="4740"/>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584835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70"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CONTENTS</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Results of Operations and Financial Condition- First Quarter of 2022</w:t>
      </w:r>
    </w:p>
    <w:p>
      <w:pPr>
        <w:spacing w:after="0" w:line="194" w:lineRule="exact"/>
        <w:rPr>
          <w:sz w:val="20"/>
          <w:szCs w:val="20"/>
          <w:color w:val="auto"/>
        </w:rPr>
      </w:pPr>
    </w:p>
    <w:p>
      <w:pPr>
        <w:jc w:val="both"/>
        <w:ind w:right="20" w:firstLine="565"/>
        <w:spacing w:after="0" w:line="280" w:lineRule="auto"/>
        <w:rPr>
          <w:sz w:val="20"/>
          <w:szCs w:val="20"/>
          <w:color w:val="auto"/>
        </w:rPr>
      </w:pPr>
      <w:r>
        <w:rPr>
          <w:rFonts w:ascii="Arial" w:cs="Arial" w:eastAsia="Arial" w:hAnsi="Arial"/>
          <w:sz w:val="16"/>
          <w:szCs w:val="16"/>
          <w:color w:val="auto"/>
        </w:rPr>
        <w:t>On May 11, 2022, Kornit Digital Ltd. (“</w:t>
      </w:r>
      <w:r>
        <w:rPr>
          <w:rFonts w:ascii="Arial" w:cs="Arial" w:eastAsia="Arial" w:hAnsi="Arial"/>
          <w:sz w:val="16"/>
          <w:szCs w:val="16"/>
          <w:b w:val="1"/>
          <w:bCs w:val="1"/>
          <w:color w:val="auto"/>
        </w:rPr>
        <w:t>Kornit</w:t>
      </w:r>
      <w:r>
        <w:rPr>
          <w:rFonts w:ascii="Arial" w:cs="Arial" w:eastAsia="Arial" w:hAnsi="Arial"/>
          <w:sz w:val="16"/>
          <w:szCs w:val="16"/>
          <w:color w:val="auto"/>
        </w:rPr>
        <w:t>”) issued a press release entitled “Kornit Digital Reports First Quarter 2022 Results,” in which Kornit reported its results of operations for the quarter ended March 31, 2022. A copy of that press release is furnished as Exhibit 99.1 hereto.</w:t>
      </w:r>
    </w:p>
    <w:p>
      <w:pPr>
        <w:spacing w:after="0" w:line="148" w:lineRule="exact"/>
        <w:rPr>
          <w:sz w:val="20"/>
          <w:szCs w:val="20"/>
          <w:color w:val="auto"/>
        </w:rPr>
      </w:pPr>
    </w:p>
    <w:p>
      <w:pPr>
        <w:jc w:val="both"/>
        <w:ind w:firstLine="565"/>
        <w:spacing w:after="0" w:line="262" w:lineRule="auto"/>
        <w:rPr>
          <w:sz w:val="20"/>
          <w:szCs w:val="20"/>
          <w:color w:val="auto"/>
        </w:rPr>
      </w:pPr>
      <w:r>
        <w:rPr>
          <w:rFonts w:ascii="Arial" w:cs="Arial" w:eastAsia="Arial" w:hAnsi="Arial"/>
          <w:sz w:val="16"/>
          <w:szCs w:val="16"/>
          <w:color w:val="auto"/>
        </w:rPr>
        <w:t>Kornit is holding a conference call on May 11, 2022 to discuss its quarterly results for the quarter ended March 31, 2022 and will make available to its investors a slide presentation to provide additional information regarding its business and its financial results. That slide presentation is attached as Exhibit 99.2 to this Report of Foreign Private Issuer on Form 6-K (this “</w:t>
      </w:r>
      <w:r>
        <w:rPr>
          <w:rFonts w:ascii="Arial" w:cs="Arial" w:eastAsia="Arial" w:hAnsi="Arial"/>
          <w:sz w:val="16"/>
          <w:szCs w:val="16"/>
          <w:b w:val="1"/>
          <w:bCs w:val="1"/>
          <w:color w:val="auto"/>
        </w:rPr>
        <w:t>Form 6-K</w:t>
      </w:r>
      <w:r>
        <w:rPr>
          <w:rFonts w:ascii="Arial" w:cs="Arial" w:eastAsia="Arial" w:hAnsi="Arial"/>
          <w:sz w:val="16"/>
          <w:szCs w:val="16"/>
          <w:color w:val="auto"/>
        </w:rPr>
        <w:t>”) and is incorporated herein by reference.</w:t>
      </w:r>
    </w:p>
    <w:p>
      <w:pPr>
        <w:spacing w:after="0" w:line="162" w:lineRule="exact"/>
        <w:rPr>
          <w:sz w:val="20"/>
          <w:szCs w:val="20"/>
          <w:color w:val="auto"/>
        </w:rPr>
      </w:pPr>
    </w:p>
    <w:p>
      <w:pPr>
        <w:jc w:val="both"/>
        <w:ind w:firstLine="565"/>
        <w:spacing w:after="0" w:line="258" w:lineRule="auto"/>
        <w:rPr>
          <w:rFonts w:ascii="Arial" w:cs="Arial" w:eastAsia="Arial" w:hAnsi="Arial"/>
          <w:sz w:val="16"/>
          <w:szCs w:val="16"/>
          <w:color w:val="0000EE"/>
        </w:rPr>
      </w:pPr>
      <w:r>
        <w:rPr>
          <w:rFonts w:ascii="Arial" w:cs="Arial" w:eastAsia="Arial" w:hAnsi="Arial"/>
          <w:sz w:val="16"/>
          <w:szCs w:val="16"/>
          <w:color w:val="auto"/>
        </w:rPr>
        <w:t xml:space="preserve">The U.S. GAAP financial information contained in the (i) consolidated balance sheets, (ii) consolidated statements of operations and (iii) consolidated statements of cash flows included in the press release attached as Exhibit 99.1 to this Report of Foreign Private Issuer on Form 6-K is hereby incorporated by reference into Kornit’s </w:t>
      </w:r>
      <w:hyperlink r:id="rId13">
        <w:r>
          <w:rPr>
            <w:rFonts w:ascii="Arial" w:cs="Arial" w:eastAsia="Arial" w:hAnsi="Arial"/>
            <w:sz w:val="16"/>
            <w:szCs w:val="16"/>
            <w:color w:val="auto"/>
          </w:rPr>
          <w:t xml:space="preserve">Registration Statements on Form F-3 (File No. </w:t>
        </w:r>
        <w:r>
          <w:rPr>
            <w:rFonts w:ascii="Arial" w:cs="Arial" w:eastAsia="Arial" w:hAnsi="Arial"/>
            <w:sz w:val="16"/>
            <w:szCs w:val="16"/>
            <w:u w:val="single" w:color="auto"/>
            <w:color w:val="0000EE"/>
          </w:rPr>
          <w:t>333-248784</w:t>
        </w:r>
        <w:r>
          <w:rPr>
            <w:rFonts w:ascii="Arial" w:cs="Arial" w:eastAsia="Arial" w:hAnsi="Arial"/>
            <w:sz w:val="16"/>
            <w:szCs w:val="16"/>
            <w:color w:val="auto"/>
          </w:rPr>
          <w:t xml:space="preserve">) and Form S-8 (File No.’s </w:t>
        </w:r>
        <w:r>
          <w:rPr>
            <w:rFonts w:ascii="Arial" w:cs="Arial" w:eastAsia="Arial" w:hAnsi="Arial"/>
            <w:sz w:val="16"/>
            <w:szCs w:val="16"/>
            <w:u w:val="single" w:color="auto"/>
            <w:color w:val="0000EE"/>
          </w:rPr>
          <w:t>333-203970</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333-214015</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333-217039</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333-223794</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333-230567</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333-237346</w:t>
        </w:r>
        <w:r>
          <w:rPr>
            <w:rFonts w:ascii="Arial" w:cs="Arial" w:eastAsia="Arial" w:hAnsi="Arial"/>
            <w:sz w:val="16"/>
            <w:szCs w:val="16"/>
            <w:color w:val="auto"/>
          </w:rPr>
          <w:t xml:space="preserve">, </w:t>
        </w:r>
        <w:r>
          <w:rPr>
            <w:rFonts w:ascii="Arial" w:cs="Arial" w:eastAsia="Arial" w:hAnsi="Arial"/>
            <w:sz w:val="16"/>
            <w:szCs w:val="16"/>
            <w:u w:val="single" w:color="auto"/>
            <w:color w:val="0000EE"/>
          </w:rPr>
          <w:t>333-</w:t>
        </w:r>
      </w:hyperlink>
      <w:hyperlink r:id="rId13">
        <w:r>
          <w:rPr>
            <w:rFonts w:ascii="Arial" w:cs="Arial" w:eastAsia="Arial" w:hAnsi="Arial"/>
            <w:sz w:val="16"/>
            <w:szCs w:val="16"/>
            <w:u w:val="single" w:color="auto"/>
            <w:color w:val="0000EE"/>
          </w:rPr>
          <w:t>254749</w:t>
        </w:r>
        <w:r>
          <w:rPr>
            <w:rFonts w:ascii="Arial" w:cs="Arial" w:eastAsia="Arial" w:hAnsi="Arial"/>
            <w:sz w:val="16"/>
            <w:szCs w:val="16"/>
            <w:color w:val="000000"/>
          </w:rPr>
          <w:t>, and</w:t>
        </w:r>
        <w:r>
          <w:rPr>
            <w:rFonts w:ascii="Arial" w:cs="Arial" w:eastAsia="Arial" w:hAnsi="Arial"/>
            <w:sz w:val="16"/>
            <w:szCs w:val="16"/>
            <w:color w:val="0000EE"/>
          </w:rPr>
          <w:t xml:space="preserve"> </w:t>
        </w:r>
      </w:hyperlink>
      <w:hyperlink r:id="rId14">
        <w:r>
          <w:rPr>
            <w:rFonts w:ascii="Arial" w:cs="Arial" w:eastAsia="Arial" w:hAnsi="Arial"/>
            <w:sz w:val="16"/>
            <w:szCs w:val="16"/>
            <w:u w:val="single" w:color="auto"/>
            <w:color w:val="0000EE"/>
          </w:rPr>
          <w:t>333-263975</w:t>
        </w:r>
      </w:hyperlink>
      <w:hyperlink r:id="rId13">
        <w:r>
          <w:rPr>
            <w:rFonts w:ascii="Arial" w:cs="Arial" w:eastAsia="Arial" w:hAnsi="Arial"/>
            <w:sz w:val="16"/>
            <w:szCs w:val="16"/>
            <w:color w:val="000000"/>
          </w:rPr>
          <w:t>).</w:t>
        </w:r>
      </w:hyperlink>
    </w:p>
    <w:p>
      <w:pPr>
        <w:spacing w:after="0" w:line="356" w:lineRule="exact"/>
        <w:rPr>
          <w:rFonts w:ascii="Arial" w:cs="Arial" w:eastAsia="Arial" w:hAnsi="Arial"/>
          <w:sz w:val="16"/>
          <w:szCs w:val="16"/>
          <w:color w:val="0000EE"/>
        </w:rPr>
      </w:pPr>
    </w:p>
    <w:p>
      <w:pPr>
        <w:jc w:val="center"/>
        <w:spacing w:after="0"/>
        <w:rPr>
          <w:sz w:val="20"/>
          <w:szCs w:val="20"/>
          <w:color w:val="auto"/>
        </w:rPr>
      </w:pPr>
      <w:r>
        <w:rPr>
          <w:rFonts w:ascii="Arial" w:cs="Arial" w:eastAsia="Arial" w:hAnsi="Arial"/>
          <w:sz w:val="16"/>
          <w:szCs w:val="16"/>
          <w:color w:val="auto"/>
        </w:rPr>
        <w:t>1</w:t>
      </w:r>
    </w:p>
    <w:p>
      <w:pPr>
        <w:spacing w:after="0" w:line="20" w:lineRule="exact"/>
        <w:rPr>
          <w:rFonts w:ascii="Arial" w:cs="Arial" w:eastAsia="Arial" w:hAnsi="Arial"/>
          <w:sz w:val="16"/>
          <w:szCs w:val="16"/>
          <w:color w:val="0000EE"/>
        </w:rPr>
      </w:pPr>
      <w:r>
        <w:rPr>
          <w:rFonts w:ascii="Arial" w:cs="Arial" w:eastAsia="Arial" w:hAnsi="Arial"/>
          <w:sz w:val="16"/>
          <w:szCs w:val="16"/>
          <w:color w:val="0000EE"/>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20" w:firstLine="565"/>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20" w:type="dxa"/>
            <w:vAlign w:val="bottom"/>
          </w:tcPr>
          <w:p>
            <w:pPr>
              <w:spacing w:after="0"/>
              <w:rPr>
                <w:sz w:val="17"/>
                <w:szCs w:val="17"/>
                <w:color w:val="auto"/>
              </w:rPr>
            </w:pPr>
          </w:p>
        </w:tc>
        <w:tc>
          <w:tcPr>
            <w:tcW w:w="7840" w:type="dxa"/>
            <w:vAlign w:val="bottom"/>
            <w:gridSpan w:val="2"/>
          </w:tcPr>
          <w:p>
            <w:pPr>
              <w:ind w:left="3340"/>
              <w:spacing w:after="0"/>
              <w:rPr>
                <w:sz w:val="20"/>
                <w:szCs w:val="20"/>
                <w:color w:val="auto"/>
              </w:rPr>
            </w:pPr>
            <w:r>
              <w:rPr>
                <w:rFonts w:ascii="Arial" w:cs="Arial" w:eastAsia="Arial" w:hAnsi="Arial"/>
                <w:sz w:val="16"/>
                <w:szCs w:val="16"/>
                <w:color w:val="auto"/>
              </w:rPr>
              <w:t>KORNIT DIGITAL LTD.</w:t>
            </w:r>
          </w:p>
        </w:tc>
        <w:tc>
          <w:tcPr>
            <w:tcW w:w="0" w:type="dxa"/>
            <w:vAlign w:val="bottom"/>
          </w:tcPr>
          <w:p>
            <w:pPr>
              <w:spacing w:after="0"/>
              <w:rPr>
                <w:sz w:val="1"/>
                <w:szCs w:val="1"/>
                <w:color w:val="auto"/>
              </w:rPr>
            </w:pPr>
          </w:p>
        </w:tc>
      </w:tr>
      <w:tr>
        <w:trPr>
          <w:trHeight w:val="382"/>
        </w:trPr>
        <w:tc>
          <w:tcPr>
            <w:tcW w:w="3420" w:type="dxa"/>
            <w:vAlign w:val="bottom"/>
          </w:tcPr>
          <w:p>
            <w:pPr>
              <w:spacing w:after="0"/>
              <w:rPr>
                <w:sz w:val="20"/>
                <w:szCs w:val="20"/>
                <w:color w:val="auto"/>
              </w:rPr>
            </w:pPr>
            <w:r>
              <w:rPr>
                <w:rFonts w:ascii="Arial" w:cs="Arial" w:eastAsia="Arial" w:hAnsi="Arial"/>
                <w:sz w:val="16"/>
                <w:szCs w:val="16"/>
                <w:color w:val="auto"/>
              </w:rPr>
              <w:t>Date: May 11, 2022</w:t>
            </w:r>
          </w:p>
        </w:tc>
        <w:tc>
          <w:tcPr>
            <w:tcW w:w="3900" w:type="dxa"/>
            <w:vAlign w:val="bottom"/>
          </w:tcPr>
          <w:p>
            <w:pPr>
              <w:ind w:left="3340"/>
              <w:spacing w:after="0"/>
              <w:rPr>
                <w:sz w:val="20"/>
                <w:szCs w:val="20"/>
                <w:color w:val="auto"/>
              </w:rPr>
            </w:pPr>
            <w:r>
              <w:rPr>
                <w:rFonts w:ascii="Arial" w:cs="Arial" w:eastAsia="Arial" w:hAnsi="Arial"/>
                <w:sz w:val="16"/>
                <w:szCs w:val="16"/>
                <w:color w:val="auto"/>
              </w:rPr>
              <w:t>By:</w:t>
            </w:r>
          </w:p>
        </w:tc>
        <w:tc>
          <w:tcPr>
            <w:tcW w:w="3940" w:type="dxa"/>
            <w:vAlign w:val="bottom"/>
          </w:tcPr>
          <w:p>
            <w:pPr>
              <w:spacing w:after="0"/>
              <w:rPr>
                <w:sz w:val="20"/>
                <w:szCs w:val="20"/>
                <w:color w:val="auto"/>
              </w:rPr>
            </w:pPr>
            <w:r>
              <w:rPr>
                <w:rFonts w:ascii="Arial" w:cs="Arial" w:eastAsia="Arial" w:hAnsi="Arial"/>
                <w:sz w:val="16"/>
                <w:szCs w:val="16"/>
                <w:color w:val="auto"/>
              </w:rPr>
              <w:t>/s/ Alon Rozner</w:t>
            </w:r>
          </w:p>
        </w:tc>
        <w:tc>
          <w:tcPr>
            <w:tcW w:w="0" w:type="dxa"/>
            <w:vAlign w:val="bottom"/>
          </w:tcPr>
          <w:p>
            <w:pPr>
              <w:spacing w:after="0"/>
              <w:rPr>
                <w:sz w:val="1"/>
                <w:szCs w:val="1"/>
                <w:color w:val="auto"/>
              </w:rPr>
            </w:pPr>
          </w:p>
        </w:tc>
      </w:tr>
      <w:tr>
        <w:trPr>
          <w:trHeight w:val="28"/>
        </w:trPr>
        <w:tc>
          <w:tcPr>
            <w:tcW w:w="3420" w:type="dxa"/>
            <w:vAlign w:val="bottom"/>
          </w:tcPr>
          <w:p>
            <w:pPr>
              <w:spacing w:after="0"/>
              <w:rPr>
                <w:sz w:val="2"/>
                <w:szCs w:val="2"/>
                <w:color w:val="auto"/>
              </w:rPr>
            </w:pPr>
          </w:p>
        </w:tc>
        <w:tc>
          <w:tcPr>
            <w:tcW w:w="3900" w:type="dxa"/>
            <w:vAlign w:val="bottom"/>
            <w:vMerge w:val="restart"/>
          </w:tcPr>
          <w:p>
            <w:pPr>
              <w:ind w:left="3340"/>
              <w:spacing w:after="0"/>
              <w:rPr>
                <w:sz w:val="20"/>
                <w:szCs w:val="20"/>
                <w:color w:val="auto"/>
              </w:rPr>
            </w:pPr>
            <w:r>
              <w:rPr>
                <w:rFonts w:ascii="Arial" w:cs="Arial" w:eastAsia="Arial" w:hAnsi="Arial"/>
                <w:sz w:val="16"/>
                <w:szCs w:val="16"/>
                <w:color w:val="auto"/>
              </w:rPr>
              <w:t>Name:</w:t>
            </w:r>
          </w:p>
        </w:tc>
        <w:tc>
          <w:tcPr>
            <w:tcW w:w="3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9"/>
        </w:trPr>
        <w:tc>
          <w:tcPr>
            <w:tcW w:w="3420" w:type="dxa"/>
            <w:vAlign w:val="bottom"/>
          </w:tcPr>
          <w:p>
            <w:pPr>
              <w:spacing w:after="0"/>
              <w:rPr>
                <w:sz w:val="15"/>
                <w:szCs w:val="15"/>
                <w:color w:val="auto"/>
              </w:rPr>
            </w:pPr>
          </w:p>
        </w:tc>
        <w:tc>
          <w:tcPr>
            <w:tcW w:w="3900" w:type="dxa"/>
            <w:vAlign w:val="bottom"/>
            <w:vMerge w:val="continue"/>
          </w:tcPr>
          <w:p>
            <w:pPr>
              <w:spacing w:after="0"/>
              <w:rPr>
                <w:sz w:val="15"/>
                <w:szCs w:val="15"/>
                <w:color w:val="auto"/>
              </w:rPr>
            </w:pP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Alon Rozner</w:t>
            </w:r>
          </w:p>
        </w:tc>
        <w:tc>
          <w:tcPr>
            <w:tcW w:w="0" w:type="dxa"/>
            <w:vAlign w:val="bottom"/>
          </w:tcPr>
          <w:p>
            <w:pPr>
              <w:spacing w:after="0"/>
              <w:rPr>
                <w:sz w:val="1"/>
                <w:szCs w:val="1"/>
                <w:color w:val="auto"/>
              </w:rPr>
            </w:pPr>
          </w:p>
        </w:tc>
      </w:tr>
      <w:tr>
        <w:trPr>
          <w:trHeight w:val="204"/>
        </w:trPr>
        <w:tc>
          <w:tcPr>
            <w:tcW w:w="3420" w:type="dxa"/>
            <w:vAlign w:val="bottom"/>
          </w:tcPr>
          <w:p>
            <w:pPr>
              <w:spacing w:after="0"/>
              <w:rPr>
                <w:sz w:val="17"/>
                <w:szCs w:val="17"/>
                <w:color w:val="auto"/>
              </w:rPr>
            </w:pPr>
          </w:p>
        </w:tc>
        <w:tc>
          <w:tcPr>
            <w:tcW w:w="3900" w:type="dxa"/>
            <w:vAlign w:val="bottom"/>
          </w:tcPr>
          <w:p>
            <w:pPr>
              <w:ind w:left="3340"/>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Financial Officer</w:t>
            </w:r>
          </w:p>
        </w:tc>
        <w:tc>
          <w:tcPr>
            <w:tcW w:w="0" w:type="dxa"/>
            <w:vAlign w:val="bottom"/>
          </w:tcPr>
          <w:p>
            <w:pPr>
              <w:spacing w:after="0"/>
              <w:rPr>
                <w:sz w:val="1"/>
                <w:szCs w:val="1"/>
                <w:color w:val="auto"/>
              </w:rPr>
            </w:pPr>
          </w:p>
        </w:tc>
      </w:tr>
      <w:tr>
        <w:trPr>
          <w:trHeight w:val="577"/>
        </w:trPr>
        <w:tc>
          <w:tcPr>
            <w:tcW w:w="342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ind w:left="2160"/>
              <w:spacing w:after="0"/>
              <w:rPr>
                <w:sz w:val="20"/>
                <w:szCs w:val="20"/>
                <w:color w:val="auto"/>
              </w:rPr>
            </w:pPr>
            <w:r>
              <w:rPr>
                <w:rFonts w:ascii="Arial" w:cs="Arial" w:eastAsia="Arial" w:hAnsi="Arial"/>
                <w:sz w:val="16"/>
                <w:szCs w:val="16"/>
                <w:color w:val="auto"/>
              </w:rPr>
              <w:t>2</w:t>
            </w:r>
          </w:p>
        </w:tc>
        <w:tc>
          <w:tcPr>
            <w:tcW w:w="3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jc w:val="center"/>
              <w:ind w:right="1140"/>
              <w:spacing w:after="0"/>
              <w:rPr>
                <w:sz w:val="20"/>
                <w:szCs w:val="20"/>
                <w:color w:val="auto"/>
              </w:rPr>
            </w:pPr>
            <w:r>
              <w:rPr>
                <w:rFonts w:ascii="Arial" w:cs="Arial" w:eastAsia="Arial" w:hAnsi="Arial"/>
                <w:sz w:val="16"/>
                <w:szCs w:val="16"/>
                <w:b w:val="1"/>
                <w:bCs w:val="1"/>
                <w:color w:val="auto"/>
                <w:w w:val="94"/>
              </w:rPr>
              <w:t>Exhibit Index</w:t>
            </w:r>
          </w:p>
        </w:tc>
      </w:tr>
      <w:tr>
        <w:trPr>
          <w:trHeight w:val="386"/>
        </w:trPr>
        <w:tc>
          <w:tcPr>
            <w:tcW w:w="102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Exhibit No.</w:t>
            </w:r>
          </w:p>
        </w:tc>
        <w:tc>
          <w:tcPr>
            <w:tcW w:w="120" w:type="dxa"/>
            <w:vAlign w:val="bottom"/>
            <w:tcBorders>
              <w:bottom w:val="single" w:sz="8" w:color="CCEEFF"/>
            </w:tcBorders>
          </w:tcPr>
          <w:p>
            <w:pPr>
              <w:spacing w:after="0"/>
              <w:rPr>
                <w:sz w:val="24"/>
                <w:szCs w:val="24"/>
                <w:color w:val="auto"/>
              </w:rPr>
            </w:pPr>
          </w:p>
        </w:tc>
        <w:tc>
          <w:tcPr>
            <w:tcW w:w="10120" w:type="dxa"/>
            <w:vAlign w:val="bottom"/>
            <w:tcBorders>
              <w:bottom w:val="single" w:sz="8" w:color="auto"/>
            </w:tcBorders>
            <w:gridSpan w:val="3"/>
          </w:tcPr>
          <w:p>
            <w:pPr>
              <w:ind w:left="4660"/>
              <w:spacing w:after="0"/>
              <w:rPr>
                <w:sz w:val="20"/>
                <w:szCs w:val="20"/>
                <w:color w:val="auto"/>
              </w:rPr>
            </w:pPr>
            <w:r>
              <w:rPr>
                <w:rFonts w:ascii="Arial" w:cs="Arial" w:eastAsia="Arial" w:hAnsi="Arial"/>
                <w:sz w:val="16"/>
                <w:szCs w:val="16"/>
                <w:b w:val="1"/>
                <w:bCs w:val="1"/>
                <w:color w:val="auto"/>
              </w:rPr>
              <w:t>Description</w:t>
            </w:r>
          </w:p>
        </w:tc>
      </w:tr>
      <w:tr>
        <w:trPr>
          <w:trHeight w:val="171"/>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20" w:type="dxa"/>
            <w:vAlign w:val="bottom"/>
            <w:shd w:val="clear" w:color="auto" w:fill="CCEEFF"/>
          </w:tcPr>
          <w:p>
            <w:pPr>
              <w:spacing w:after="0"/>
              <w:rPr>
                <w:sz w:val="14"/>
                <w:szCs w:val="14"/>
                <w:color w:val="auto"/>
              </w:rPr>
            </w:pPr>
          </w:p>
        </w:tc>
        <w:tc>
          <w:tcPr>
            <w:tcW w:w="10120" w:type="dxa"/>
            <w:vAlign w:val="bottom"/>
            <w:gridSpan w:val="3"/>
            <w:shd w:val="clear" w:color="auto" w:fill="CCEEFF"/>
          </w:tcPr>
          <w:p>
            <w:pPr>
              <w:spacing w:after="0" w:line="155" w:lineRule="exact"/>
              <w:rPr>
                <w:rFonts w:ascii="Arial" w:cs="Arial" w:eastAsia="Arial" w:hAnsi="Arial"/>
                <w:sz w:val="16"/>
                <w:szCs w:val="16"/>
                <w:color w:val="0000EE"/>
              </w:rPr>
            </w:pPr>
            <w:hyperlink w:anchor="page5">
              <w:r>
                <w:rPr>
                  <w:rFonts w:ascii="Arial" w:cs="Arial" w:eastAsia="Arial" w:hAnsi="Arial"/>
                  <w:sz w:val="16"/>
                  <w:szCs w:val="16"/>
                  <w:color w:val="0000EE"/>
                </w:rPr>
                <w:t>Press release, dated May 11, 2022 titled “Kornit Digital Reports First Quarter 2022 Results”</w:t>
              </w:r>
            </w:hyperlink>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5860" w:type="dxa"/>
            <w:vAlign w:val="bottom"/>
            <w:tcBorders>
              <w:top w:val="single" w:sz="8" w:color="0000EE"/>
            </w:tcBorders>
          </w:tcPr>
          <w:p>
            <w:pPr>
              <w:spacing w:after="0"/>
              <w:rPr>
                <w:sz w:val="16"/>
                <w:szCs w:val="16"/>
                <w:color w:val="auto"/>
              </w:rPr>
            </w:pPr>
          </w:p>
        </w:tc>
        <w:tc>
          <w:tcPr>
            <w:tcW w:w="2720" w:type="dxa"/>
            <w:vAlign w:val="bottom"/>
            <w:tcBorders>
              <w:top w:val="single" w:sz="8" w:color="CCEEFF"/>
            </w:tcBorders>
          </w:tcPr>
          <w:p>
            <w:pPr>
              <w:spacing w:after="0"/>
              <w:rPr>
                <w:sz w:val="16"/>
                <w:szCs w:val="16"/>
                <w:color w:val="auto"/>
              </w:rPr>
            </w:pPr>
          </w:p>
        </w:tc>
        <w:tc>
          <w:tcPr>
            <w:tcW w:w="154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99.2</w:t>
            </w:r>
          </w:p>
        </w:tc>
        <w:tc>
          <w:tcPr>
            <w:tcW w:w="10240" w:type="dxa"/>
            <w:vAlign w:val="bottom"/>
            <w:gridSpan w:val="4"/>
            <w:shd w:val="clear" w:color="auto" w:fill="CCEEFF"/>
          </w:tcPr>
          <w:p>
            <w:pPr>
              <w:ind w:left="120"/>
              <w:spacing w:after="0" w:line="155" w:lineRule="exact"/>
              <w:rPr>
                <w:rFonts w:ascii="Arial" w:cs="Arial" w:eastAsia="Arial" w:hAnsi="Arial"/>
                <w:sz w:val="16"/>
                <w:szCs w:val="16"/>
                <w:color w:val="0000EE"/>
              </w:rPr>
            </w:pPr>
            <w:hyperlink w:anchor="page14">
              <w:r>
                <w:rPr>
                  <w:rFonts w:ascii="Arial" w:cs="Arial" w:eastAsia="Arial" w:hAnsi="Arial"/>
                  <w:sz w:val="16"/>
                  <w:szCs w:val="16"/>
                  <w:color w:val="0000EE"/>
                </w:rPr>
                <w:t>Slide presentation for conference call of Kornit held on May 11, 2022 discussing quarterly financial results for the first quarter of 2022</w:t>
              </w:r>
            </w:hyperlink>
          </w:p>
        </w:tc>
      </w:tr>
      <w:tr>
        <w:trPr>
          <w:trHeight w:val="577"/>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860" w:type="dxa"/>
            <w:vAlign w:val="bottom"/>
            <w:tcBorders>
              <w:top w:val="single" w:sz="8" w:color="0000EE"/>
              <w:bottom w:val="single" w:sz="8" w:color="auto"/>
            </w:tcBorders>
          </w:tcPr>
          <w:p>
            <w:pPr>
              <w:jc w:val="right"/>
              <w:ind w:right="1260"/>
              <w:spacing w:after="0"/>
              <w:rPr>
                <w:sz w:val="20"/>
                <w:szCs w:val="20"/>
                <w:color w:val="auto"/>
              </w:rPr>
            </w:pPr>
            <w:r>
              <w:rPr>
                <w:rFonts w:ascii="Arial" w:cs="Arial" w:eastAsia="Arial" w:hAnsi="Arial"/>
                <w:sz w:val="16"/>
                <w:szCs w:val="16"/>
                <w:color w:val="auto"/>
              </w:rPr>
              <w:t>3</w:t>
            </w:r>
          </w:p>
        </w:tc>
        <w:tc>
          <w:tcPr>
            <w:tcW w:w="2720" w:type="dxa"/>
            <w:vAlign w:val="bottom"/>
            <w:tcBorders>
              <w:top w:val="single" w:sz="8" w:color="0000EE"/>
              <w:bottom w:val="single" w:sz="8" w:color="auto"/>
            </w:tcBorders>
          </w:tcPr>
          <w:p>
            <w:pPr>
              <w:spacing w:after="0"/>
              <w:rPr>
                <w:sz w:val="24"/>
                <w:szCs w:val="24"/>
                <w:color w:val="auto"/>
              </w:rPr>
            </w:pPr>
          </w:p>
        </w:tc>
        <w:tc>
          <w:tcPr>
            <w:tcW w:w="154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Contact:</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Andrew G. Backman</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Global Head of Investor Relations</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andrew.backman@kornit.com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125730</wp:posOffset>
            </wp:positionV>
            <wp:extent cx="1069975" cy="637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69975" cy="637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Kornit Digital Reports First Quarter 2022 Results</w:t>
      </w:r>
    </w:p>
    <w:p>
      <w:pPr>
        <w:spacing w:after="0" w:line="202" w:lineRule="exact"/>
        <w:rPr>
          <w:sz w:val="20"/>
          <w:szCs w:val="20"/>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First quarter revenues of $83.3 million, net of non-cash warrants impact of $8.0 million; up 26% year-over-year</w:t>
      </w:r>
    </w:p>
    <w:p>
      <w:pPr>
        <w:spacing w:after="0" w:line="198"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First quarter GAAP operating loss of $6.9 million; Non-GAAP operating loss of $0.7 million, net of $8.0 million attributed to the non-cash impact of warrants</w:t>
      </w:r>
    </w:p>
    <w:p>
      <w:pPr>
        <w:spacing w:after="0" w:line="198"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Exceptional quarter for Presto and overall systems sales</w:t>
      </w:r>
    </w:p>
    <w:p>
      <w:pPr>
        <w:spacing w:after="0" w:line="198"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Excellent adoption and feedback for Atlas Max</w:t>
      </w:r>
    </w:p>
    <w:p>
      <w:pPr>
        <w:spacing w:after="0" w:line="198"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Record quarter in Asia Pacific; Strong performance in EMEA and Americas</w:t>
      </w:r>
    </w:p>
    <w:p>
      <w:pPr>
        <w:spacing w:after="0" w:line="198"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16"/>
          <w:szCs w:val="16"/>
          <w:color w:val="auto"/>
        </w:rPr>
      </w:pPr>
      <w:r>
        <w:rPr>
          <w:rFonts w:ascii="Arial" w:cs="Arial" w:eastAsia="Arial" w:hAnsi="Arial"/>
          <w:sz w:val="16"/>
          <w:szCs w:val="16"/>
          <w:color w:val="auto"/>
        </w:rPr>
        <w:t xml:space="preserve">Ground-breaking new product introductions unveiled at </w:t>
      </w:r>
      <w:r>
        <w:rPr>
          <w:rFonts w:ascii="Arial" w:cs="Arial" w:eastAsia="Arial" w:hAnsi="Arial"/>
          <w:sz w:val="16"/>
          <w:szCs w:val="16"/>
          <w:b w:val="1"/>
          <w:bCs w:val="1"/>
          <w:i w:val="1"/>
          <w:iCs w:val="1"/>
          <w:color w:val="auto"/>
        </w:rPr>
        <w:t>Kornit Fashion Week - Tel Aviv</w:t>
      </w:r>
      <w:r>
        <w:rPr>
          <w:rFonts w:ascii="Arial" w:cs="Arial" w:eastAsia="Arial" w:hAnsi="Arial"/>
          <w:sz w:val="16"/>
          <w:szCs w:val="16"/>
          <w:color w:val="auto"/>
        </w:rPr>
        <w:t xml:space="preserve"> including Atlas MAX Poly and Kornit Apollo</w:t>
      </w:r>
    </w:p>
    <w:p>
      <w:pPr>
        <w:spacing w:after="0" w:line="179" w:lineRule="exact"/>
        <w:rPr>
          <w:rFonts w:ascii="Arial" w:cs="Arial" w:eastAsia="Arial" w:hAnsi="Arial"/>
          <w:sz w:val="16"/>
          <w:szCs w:val="16"/>
          <w:color w:val="auto"/>
        </w:rPr>
      </w:pPr>
    </w:p>
    <w:p>
      <w:pPr>
        <w:ind w:left="284" w:hanging="284"/>
        <w:spacing w:after="0"/>
        <w:tabs>
          <w:tab w:leader="none" w:pos="284" w:val="left"/>
        </w:tabs>
        <w:numPr>
          <w:ilvl w:val="0"/>
          <w:numId w:val="1"/>
        </w:numPr>
        <w:rPr>
          <w:rFonts w:ascii="Arial" w:cs="Arial" w:eastAsia="Arial" w:hAnsi="Arial"/>
          <w:sz w:val="32"/>
          <w:szCs w:val="32"/>
          <w:color w:val="auto"/>
          <w:vertAlign w:val="superscript"/>
        </w:rPr>
      </w:pPr>
      <w:r>
        <w:rPr>
          <w:rFonts w:ascii="Arial" w:cs="Arial" w:eastAsia="Arial" w:hAnsi="Arial"/>
          <w:sz w:val="16"/>
          <w:szCs w:val="16"/>
          <w:color w:val="auto"/>
        </w:rPr>
        <w:t xml:space="preserve">Gearing up for </w:t>
      </w:r>
      <w:r>
        <w:rPr>
          <w:rFonts w:ascii="Arial" w:cs="Arial" w:eastAsia="Arial" w:hAnsi="Arial"/>
          <w:sz w:val="16"/>
          <w:szCs w:val="16"/>
          <w:b w:val="1"/>
          <w:bCs w:val="1"/>
          <w:i w:val="1"/>
          <w:iCs w:val="1"/>
          <w:color w:val="auto"/>
        </w:rPr>
        <w:t>Kornit Fashion Week – London</w:t>
      </w:r>
      <w:r>
        <w:rPr>
          <w:rFonts w:ascii="Arial" w:cs="Arial" w:eastAsia="Arial" w:hAnsi="Arial"/>
          <w:sz w:val="16"/>
          <w:szCs w:val="16"/>
          <w:color w:val="auto"/>
        </w:rPr>
        <w:t xml:space="preserve"> – May 15th – 17</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w:t>
      </w:r>
      <w:r>
        <w:rPr>
          <w:rFonts w:ascii="Arial" w:cs="Arial" w:eastAsia="Arial" w:hAnsi="Arial"/>
          <w:sz w:val="16"/>
          <w:szCs w:val="16"/>
          <w:b w:val="1"/>
          <w:bCs w:val="1"/>
          <w:i w:val="1"/>
          <w:iCs w:val="1"/>
          <w:color w:val="auto"/>
        </w:rPr>
        <w:t>FESPA Berlin</w:t>
      </w:r>
    </w:p>
    <w:p>
      <w:pPr>
        <w:spacing w:after="0" w:line="73" w:lineRule="exact"/>
        <w:rPr>
          <w:sz w:val="20"/>
          <w:szCs w:val="20"/>
          <w:color w:val="auto"/>
        </w:rPr>
      </w:pPr>
    </w:p>
    <w:p>
      <w:pPr>
        <w:jc w:val="both"/>
        <w:ind w:left="4" w:right="20"/>
        <w:spacing w:after="0" w:line="212" w:lineRule="auto"/>
        <w:rPr>
          <w:sz w:val="20"/>
          <w:szCs w:val="20"/>
          <w:color w:val="auto"/>
        </w:rPr>
      </w:pPr>
      <w:r>
        <w:rPr>
          <w:rFonts w:ascii="Arial" w:cs="Arial" w:eastAsia="Arial" w:hAnsi="Arial"/>
          <w:sz w:val="16"/>
          <w:szCs w:val="16"/>
          <w:b w:val="1"/>
          <w:bCs w:val="1"/>
          <w:color w:val="auto"/>
        </w:rPr>
        <w:t xml:space="preserve">Rosh-Ha’Ayin, Israel – May 11, 2022 – </w:t>
      </w:r>
      <w:r>
        <w:rPr>
          <w:rFonts w:ascii="Arial" w:cs="Arial" w:eastAsia="Arial" w:hAnsi="Arial"/>
          <w:sz w:val="16"/>
          <w:szCs w:val="16"/>
          <w:color w:val="auto"/>
        </w:rPr>
        <w:t>Kornit Digital Ltd. (NASDAQ: KRNT), a worldwide market leader in sustainable, on-demand, digital fashion</w:t>
      </w:r>
      <w:r>
        <w:rPr>
          <w:rFonts w:ascii="Arial" w:cs="Arial" w:eastAsia="Arial" w:hAnsi="Arial"/>
          <w:sz w:val="26"/>
          <w:szCs w:val="26"/>
          <w:color w:val="auto"/>
          <w:vertAlign w:val="superscript"/>
        </w:rPr>
        <w:t>x</w:t>
      </w:r>
      <w:r>
        <w:rPr>
          <w:rFonts w:ascii="Arial" w:cs="Arial" w:eastAsia="Arial" w:hAnsi="Arial"/>
          <w:sz w:val="16"/>
          <w:szCs w:val="16"/>
          <w:b w:val="1"/>
          <w:bCs w:val="1"/>
          <w:color w:val="auto"/>
        </w:rPr>
        <w:t xml:space="preserve"> </w:t>
      </w:r>
      <w:r>
        <w:rPr>
          <w:rFonts w:ascii="Arial" w:cs="Arial" w:eastAsia="Arial" w:hAnsi="Arial"/>
          <w:sz w:val="16"/>
          <w:szCs w:val="16"/>
          <w:color w:val="auto"/>
        </w:rPr>
        <w:t>and textile production</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reported today results for the first quarter ended March 31, 2022.</w:t>
      </w:r>
    </w:p>
    <w:p>
      <w:pPr>
        <w:spacing w:after="0" w:line="179" w:lineRule="exact"/>
        <w:rPr>
          <w:sz w:val="20"/>
          <w:szCs w:val="20"/>
          <w:color w:val="auto"/>
        </w:rPr>
      </w:pPr>
    </w:p>
    <w:p>
      <w:pPr>
        <w:jc w:val="both"/>
        <w:ind w:left="4" w:right="20"/>
        <w:spacing w:after="0" w:line="317" w:lineRule="auto"/>
        <w:rPr>
          <w:sz w:val="20"/>
          <w:szCs w:val="20"/>
          <w:color w:val="auto"/>
        </w:rPr>
      </w:pPr>
      <w:r>
        <w:rPr>
          <w:rFonts w:ascii="Arial" w:cs="Arial" w:eastAsia="Arial" w:hAnsi="Arial"/>
          <w:sz w:val="14"/>
          <w:szCs w:val="14"/>
          <w:color w:val="auto"/>
        </w:rPr>
        <w:t>“We are pleased to have delivered a good start to the year and are excited about our tremendous period of ground-breaking new product introductions,” said Ronen Samuel, Kornit Digital’s Chief Executive Officer. “During the quarter, we made significant progress with some of the largest and most respected global brands and retailers, supported our global strategic account with major expansion and capacity initiatives, and introduced some of the most innovative and disruptive systems and solutions to the market.”</w:t>
      </w:r>
    </w:p>
    <w:p>
      <w:pPr>
        <w:spacing w:after="0" w:line="127"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Mr. Samuel concluded, “The tailwinds driving the industry to on-demand sustainable production are intensifying with an accelerated level of focus to shifting a substantial amount of impressions to nearshore, short-medium run production, addressing evolving online and retail business models. We believe our unmatched portfolio of mass-production MAX solutions, including our recently announced Kornit Apollo - all powered by our unique Kornit X platform – place Kornit in a great position to capitalize on these evolving and accelerating market opportunities and trends. While we are certainly not immune to overall macro-economic headwinds and near-term volatility, which we see impacting our second quarter growth, we continue to expect to deliver, ahead of plan, on the $125 million run-rate business we originally targeted for the fourth quarter 2023, and remain confident in our journey to become a billion-dollar business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374015</wp:posOffset>
            </wp:positionV>
            <wp:extent cx="7148195"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5" w:name="page6"/>
    <w:bookmarkEnd w:id="5"/>
    <w:p>
      <w:pPr>
        <w:ind w:left="4"/>
        <w:spacing w:after="0" w:line="275" w:lineRule="auto"/>
        <w:rPr>
          <w:sz w:val="20"/>
          <w:szCs w:val="20"/>
          <w:color w:val="auto"/>
        </w:rPr>
      </w:pPr>
      <w:r>
        <w:rPr>
          <w:rFonts w:ascii="Arial" w:cs="Arial" w:eastAsia="Arial" w:hAnsi="Arial"/>
          <w:sz w:val="16"/>
          <w:szCs w:val="16"/>
          <w:color w:val="auto"/>
        </w:rPr>
        <w:t>The following table compares the adverse, non-cash impact that the Company’s outstanding warrants had on the Company’s results of operations during the first quarters of 2022 and 2021, respectively:</w:t>
      </w:r>
    </w:p>
    <w:p>
      <w:pPr>
        <w:spacing w:after="0" w:line="148" w:lineRule="exact"/>
        <w:rPr>
          <w:sz w:val="20"/>
          <w:szCs w:val="20"/>
          <w:color w:val="auto"/>
        </w:rPr>
      </w:pPr>
    </w:p>
    <w:tbl>
      <w:tblPr>
        <w:tblLayout w:type="fixed"/>
        <w:tblInd w:w="4" w:type="dxa"/>
        <w:tblCellMar>
          <w:top w:w="0" w:type="dxa"/>
          <w:left w:w="0" w:type="dxa"/>
          <w:bottom w:w="0" w:type="dxa"/>
          <w:right w:w="0" w:type="dxa"/>
        </w:tblCellMar>
      </w:tblPr>
      <w:tr>
        <w:trPr>
          <w:trHeight w:val="208"/>
        </w:trPr>
        <w:tc>
          <w:tcPr>
            <w:tcW w:w="5860" w:type="dxa"/>
            <w:vAlign w:val="bottom"/>
          </w:tcPr>
          <w:p>
            <w:pPr>
              <w:spacing w:after="0"/>
              <w:rPr>
                <w:sz w:val="20"/>
                <w:szCs w:val="20"/>
                <w:color w:val="auto"/>
              </w:rPr>
            </w:pPr>
            <w:r>
              <w:rPr>
                <w:rFonts w:ascii="Arial" w:cs="Arial" w:eastAsia="Arial" w:hAnsi="Arial"/>
                <w:sz w:val="16"/>
                <w:szCs w:val="16"/>
                <w:b w:val="1"/>
                <w:bCs w:val="1"/>
                <w:color w:val="auto"/>
              </w:rPr>
              <w:t>First Quarter Warrants Impact</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378"/>
        </w:trPr>
        <w:tc>
          <w:tcPr>
            <w:tcW w:w="5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520" w:type="dxa"/>
            <w:vAlign w:val="bottom"/>
            <w:gridSpan w:val="5"/>
          </w:tcPr>
          <w:p>
            <w:pPr>
              <w:ind w:left="340"/>
              <w:spacing w:after="0"/>
              <w:rPr>
                <w:sz w:val="20"/>
                <w:szCs w:val="20"/>
                <w:color w:val="auto"/>
              </w:rPr>
            </w:pPr>
            <w:r>
              <w:rPr>
                <w:rFonts w:ascii="Arial" w:cs="Arial" w:eastAsia="Arial" w:hAnsi="Arial"/>
                <w:sz w:val="16"/>
                <w:szCs w:val="16"/>
                <w:b w:val="1"/>
                <w:bCs w:val="1"/>
                <w:color w:val="auto"/>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2"/>
        </w:trPr>
        <w:tc>
          <w:tcPr>
            <w:tcW w:w="5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720"/>
              <w:spacing w:after="0"/>
              <w:rPr>
                <w:sz w:val="20"/>
                <w:szCs w:val="20"/>
                <w:color w:val="auto"/>
              </w:rPr>
            </w:pPr>
            <w:r>
              <w:rPr>
                <w:rFonts w:ascii="Arial" w:cs="Arial" w:eastAsia="Arial" w:hAnsi="Arial"/>
                <w:sz w:val="16"/>
                <w:szCs w:val="16"/>
                <w:b w:val="1"/>
                <w:bCs w:val="1"/>
                <w:color w:val="auto"/>
                <w:w w:val="92"/>
              </w:rPr>
              <w:t>March 31,</w:t>
            </w: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07"/>
        </w:trPr>
        <w:tc>
          <w:tcPr>
            <w:tcW w:w="58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2022</w:t>
            </w:r>
          </w:p>
        </w:tc>
        <w:tc>
          <w:tcPr>
            <w:tcW w:w="96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2021</w:t>
            </w:r>
          </w:p>
        </w:tc>
        <w:tc>
          <w:tcPr>
            <w:tcW w:w="9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75"/>
        </w:trPr>
        <w:tc>
          <w:tcPr>
            <w:tcW w:w="5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88"/>
              </w:rPr>
              <w:t>Net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400"/>
              <w:spacing w:after="0" w:line="175" w:lineRule="exact"/>
              <w:rPr>
                <w:sz w:val="20"/>
                <w:szCs w:val="20"/>
                <w:color w:val="auto"/>
              </w:rPr>
            </w:pPr>
            <w:r>
              <w:rPr>
                <w:rFonts w:ascii="Arial" w:cs="Arial" w:eastAsia="Arial" w:hAnsi="Arial"/>
                <w:sz w:val="16"/>
                <w:szCs w:val="16"/>
                <w:b w:val="1"/>
                <w:bCs w:val="1"/>
                <w:color w:val="auto"/>
                <w:w w:val="92"/>
              </w:rPr>
              <w:t>Net of</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191"/>
        </w:trPr>
        <w:tc>
          <w:tcPr>
            <w:tcW w:w="5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Warrants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Warrants</w:t>
            </w:r>
          </w:p>
        </w:tc>
        <w:tc>
          <w:tcPr>
            <w:tcW w:w="200" w:type="dxa"/>
            <w:vAlign w:val="bottom"/>
          </w:tcPr>
          <w:p>
            <w:pPr>
              <w:spacing w:after="0"/>
              <w:rPr>
                <w:sz w:val="16"/>
                <w:szCs w:val="16"/>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5"/>
              </w:rPr>
              <w:t>Warrants</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60"/>
              <w:spacing w:after="0"/>
              <w:rPr>
                <w:sz w:val="20"/>
                <w:szCs w:val="20"/>
                <w:color w:val="auto"/>
              </w:rPr>
            </w:pPr>
            <w:r>
              <w:rPr>
                <w:rFonts w:ascii="Arial" w:cs="Arial" w:eastAsia="Arial" w:hAnsi="Arial"/>
                <w:sz w:val="16"/>
                <w:szCs w:val="16"/>
                <w:b w:val="1"/>
                <w:bCs w:val="1"/>
                <w:color w:val="auto"/>
              </w:rPr>
              <w:t>Warrants</w:t>
            </w:r>
          </w:p>
        </w:tc>
      </w:tr>
      <w:tr>
        <w:trPr>
          <w:trHeight w:val="212"/>
        </w:trPr>
        <w:tc>
          <w:tcPr>
            <w:tcW w:w="5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2"/>
              </w:rPr>
              <w:t>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ind w:left="160"/>
              <w:spacing w:after="0"/>
              <w:rPr>
                <w:sz w:val="20"/>
                <w:szCs w:val="20"/>
                <w:color w:val="auto"/>
              </w:rPr>
            </w:pPr>
            <w:r>
              <w:rPr>
                <w:rFonts w:ascii="Arial" w:cs="Arial" w:eastAsia="Arial" w:hAnsi="Arial"/>
                <w:sz w:val="16"/>
                <w:szCs w:val="16"/>
                <w:b w:val="1"/>
                <w:bCs w:val="1"/>
                <w:color w:val="auto"/>
              </w:rPr>
              <w:t>Impact</w:t>
            </w:r>
          </w:p>
        </w:tc>
        <w:tc>
          <w:tcPr>
            <w:tcW w:w="200" w:type="dxa"/>
            <w:vAlign w:val="bottom"/>
          </w:tcPr>
          <w:p>
            <w:pPr>
              <w:spacing w:after="0"/>
              <w:rPr>
                <w:sz w:val="18"/>
                <w:szCs w:val="18"/>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6"/>
              </w:rPr>
              <w:t>Impact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6"/>
                <w:szCs w:val="16"/>
                <w:b w:val="1"/>
                <w:bCs w:val="1"/>
                <w:color w:val="auto"/>
              </w:rPr>
              <w:t>Impact</w:t>
            </w:r>
          </w:p>
        </w:tc>
      </w:tr>
      <w:tr>
        <w:trPr>
          <w:trHeight w:val="191"/>
        </w:trPr>
        <w:tc>
          <w:tcPr>
            <w:tcW w:w="58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91"/>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83.3M</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8.0M</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66.1M</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w w:val="89"/>
              </w:rPr>
              <w:t>3.1M</w:t>
            </w:r>
          </w:p>
        </w:tc>
      </w:tr>
      <w:tr>
        <w:trPr>
          <w:trHeight w:val="191"/>
        </w:trPr>
        <w:tc>
          <w:tcPr>
            <w:tcW w:w="5860" w:type="dxa"/>
            <w:vAlign w:val="bottom"/>
          </w:tcPr>
          <w:p>
            <w:pPr>
              <w:spacing w:after="0"/>
              <w:rPr>
                <w:sz w:val="20"/>
                <w:szCs w:val="20"/>
                <w:color w:val="auto"/>
              </w:rPr>
            </w:pPr>
            <w:r>
              <w:rPr>
                <w:rFonts w:ascii="Arial" w:cs="Arial" w:eastAsia="Arial" w:hAnsi="Arial"/>
                <w:sz w:val="16"/>
                <w:szCs w:val="16"/>
                <w:color w:val="auto"/>
              </w:rPr>
              <w:t>Non-GAAP Gross Margin</w:t>
            </w:r>
          </w:p>
        </w:tc>
        <w:tc>
          <w:tcPr>
            <w:tcW w:w="16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41.5%</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5.1%</w:t>
            </w:r>
          </w:p>
        </w:tc>
        <w:tc>
          <w:tcPr>
            <w:tcW w:w="20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47.1%</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w w:val="87"/>
              </w:rPr>
              <w:t>2.4%</w:t>
            </w:r>
          </w:p>
        </w:tc>
      </w:tr>
      <w:tr>
        <w:trPr>
          <w:trHeight w:val="191"/>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Non-GAAP Operating Margin</w:t>
            </w:r>
          </w:p>
        </w:tc>
        <w:tc>
          <w:tcPr>
            <w:tcW w:w="16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rPr>
              <w:t>8.8%</w:t>
            </w:r>
          </w:p>
        </w:tc>
        <w:tc>
          <w:tcPr>
            <w:tcW w:w="20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ind w:left="760"/>
              <w:spacing w:after="0"/>
              <w:rPr>
                <w:sz w:val="20"/>
                <w:szCs w:val="20"/>
                <w:color w:val="auto"/>
              </w:rPr>
            </w:pPr>
            <w:r>
              <w:rPr>
                <w:rFonts w:ascii="Arial" w:cs="Arial" w:eastAsia="Arial" w:hAnsi="Arial"/>
                <w:sz w:val="16"/>
                <w:szCs w:val="16"/>
                <w:color w:val="auto"/>
                <w:w w:val="87"/>
              </w:rPr>
              <w:t>4.1%</w:t>
            </w:r>
          </w:p>
        </w:tc>
      </w:tr>
      <w:tr>
        <w:trPr>
          <w:trHeight w:val="191"/>
        </w:trPr>
        <w:tc>
          <w:tcPr>
            <w:tcW w:w="5860" w:type="dxa"/>
            <w:vAlign w:val="bottom"/>
          </w:tcPr>
          <w:p>
            <w:pPr>
              <w:spacing w:after="0"/>
              <w:rPr>
                <w:sz w:val="20"/>
                <w:szCs w:val="20"/>
                <w:color w:val="auto"/>
              </w:rPr>
            </w:pPr>
            <w:r>
              <w:rPr>
                <w:rFonts w:ascii="Arial" w:cs="Arial" w:eastAsia="Arial" w:hAnsi="Arial"/>
                <w:sz w:val="16"/>
                <w:szCs w:val="16"/>
                <w:color w:val="auto"/>
              </w:rPr>
              <w:t>Non-GAAP Net Margin</w:t>
            </w:r>
          </w:p>
        </w:tc>
        <w:tc>
          <w:tcPr>
            <w:tcW w:w="160" w:type="dxa"/>
            <w:vAlign w:val="bottom"/>
          </w:tcPr>
          <w:p>
            <w:pPr>
              <w:spacing w:after="0"/>
              <w:rPr>
                <w:sz w:val="16"/>
                <w:szCs w:val="16"/>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6"/>
                <w:szCs w:val="16"/>
                <w:color w:val="auto"/>
              </w:rPr>
              <w:t>0.2%</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ind w:left="760"/>
              <w:spacing w:after="0"/>
              <w:rPr>
                <w:sz w:val="20"/>
                <w:szCs w:val="20"/>
                <w:color w:val="auto"/>
              </w:rPr>
            </w:pPr>
            <w:r>
              <w:rPr>
                <w:rFonts w:ascii="Arial" w:cs="Arial" w:eastAsia="Arial" w:hAnsi="Arial"/>
                <w:sz w:val="16"/>
                <w:szCs w:val="16"/>
                <w:color w:val="auto"/>
              </w:rPr>
              <w:t>8.8%</w:t>
            </w:r>
          </w:p>
        </w:tc>
        <w:tc>
          <w:tcPr>
            <w:tcW w:w="20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gridSpan w:val="2"/>
          </w:tcPr>
          <w:p>
            <w:pPr>
              <w:ind w:left="760"/>
              <w:spacing w:after="0"/>
              <w:rPr>
                <w:sz w:val="20"/>
                <w:szCs w:val="20"/>
                <w:color w:val="auto"/>
              </w:rPr>
            </w:pPr>
            <w:r>
              <w:rPr>
                <w:rFonts w:ascii="Arial" w:cs="Arial" w:eastAsia="Arial" w:hAnsi="Arial"/>
                <w:sz w:val="16"/>
                <w:szCs w:val="16"/>
                <w:color w:val="auto"/>
                <w:w w:val="87"/>
              </w:rPr>
              <w:t>4.0%</w:t>
            </w:r>
          </w:p>
        </w:tc>
      </w:tr>
      <w:tr>
        <w:trPr>
          <w:trHeight w:val="191"/>
        </w:trPr>
        <w:tc>
          <w:tcPr>
            <w:tcW w:w="586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Per Share</w:t>
            </w: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0.00</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0.16</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0.16</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EEFF"/>
          </w:tcPr>
          <w:p>
            <w:pPr>
              <w:ind w:left="680"/>
              <w:spacing w:after="0"/>
              <w:rPr>
                <w:sz w:val="20"/>
                <w:szCs w:val="20"/>
                <w:color w:val="auto"/>
              </w:rPr>
            </w:pPr>
            <w:r>
              <w:rPr>
                <w:rFonts w:ascii="Arial" w:cs="Arial" w:eastAsia="Arial" w:hAnsi="Arial"/>
                <w:sz w:val="16"/>
                <w:szCs w:val="16"/>
                <w:color w:val="auto"/>
              </w:rPr>
              <w:t>0.07</w:t>
            </w:r>
          </w:p>
        </w:tc>
      </w:tr>
    </w:tbl>
    <w:p>
      <w:pPr>
        <w:spacing w:after="0" w:line="179"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color w:val="auto"/>
        </w:rPr>
        <w:t>“During the first quarter, we saw good diversification across the business and strong revenue performance in all regions,” said Alon Rozner, Kornit Digital’s Chief Financial Officer. “With a pipeline of opportunities, we continue to strategically invest in the business to support our new industry leading product initiatives and go-to-market strategies to generate profitable, long-term growth. Given our proactive supply chain initiatives, we remain confident in our ability to deliver on all our 2022 customer commitments and continue to leverage our strong balance sheet to secure 2023 requirements.”</w:t>
      </w:r>
    </w:p>
    <w:p>
      <w:pPr>
        <w:spacing w:after="0" w:line="16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First Quarter 2022 Results of Operations</w:t>
      </w:r>
    </w:p>
    <w:p>
      <w:pPr>
        <w:spacing w:after="0" w:line="202" w:lineRule="exact"/>
        <w:rPr>
          <w:sz w:val="20"/>
          <w:szCs w:val="20"/>
          <w:color w:val="auto"/>
        </w:rPr>
      </w:pPr>
    </w:p>
    <w:p>
      <w:pPr>
        <w:ind w:left="284" w:right="2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Total revenue for the first quarter of 2022 was $83.3 million, net of $8.0 million attributed to the non-cash impact of warrants, compared to $66.1 million, net of $3.1 million attributed to the non-cash impact of warrants in the prior year period.</w:t>
      </w:r>
    </w:p>
    <w:p>
      <w:pPr>
        <w:spacing w:after="0" w:line="151"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GAAP net loss for the first quarter of 2022 was $5.2 million, or $0.10 per basic share, compared to net income of $5.1 million, or $0.11 per share, for the first quarter of 2021.</w:t>
      </w:r>
    </w:p>
    <w:p>
      <w:pPr>
        <w:spacing w:after="0" w:line="151" w:lineRule="exact"/>
        <w:rPr>
          <w:rFonts w:ascii="Arial" w:cs="Arial" w:eastAsia="Arial" w:hAnsi="Arial"/>
          <w:sz w:val="16"/>
          <w:szCs w:val="16"/>
          <w:color w:val="auto"/>
        </w:rPr>
      </w:pPr>
    </w:p>
    <w:p>
      <w:pPr>
        <w:jc w:val="both"/>
        <w:ind w:left="284" w:right="20" w:hanging="284"/>
        <w:spacing w:after="0" w:line="262"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Non-GAAP net income for the first quarter of 2022 was $0.2 million, or $0.00 per diluted share, net of $0.16 per diluted share attributed to the non-cash impact of warrants, compared to non-GAAP net income of $7.7 million, or $0.16 per diluted share, net of $0.07 per diluted share attributed to the non-cash impact of warrants, for the first quarter of 2021.</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Second Quarter 2022 Guidance</w:t>
      </w:r>
    </w:p>
    <w:p>
      <w:pPr>
        <w:spacing w:after="0" w:line="202" w:lineRule="exact"/>
        <w:rPr>
          <w:sz w:val="20"/>
          <w:szCs w:val="20"/>
          <w:color w:val="auto"/>
        </w:rPr>
      </w:pPr>
    </w:p>
    <w:p>
      <w:pPr>
        <w:ind w:left="4" w:right="20"/>
        <w:spacing w:after="0" w:line="349" w:lineRule="auto"/>
        <w:rPr>
          <w:sz w:val="20"/>
          <w:szCs w:val="20"/>
          <w:color w:val="auto"/>
        </w:rPr>
      </w:pPr>
      <w:r>
        <w:rPr>
          <w:rFonts w:ascii="Arial" w:cs="Arial" w:eastAsia="Arial" w:hAnsi="Arial"/>
          <w:sz w:val="14"/>
          <w:szCs w:val="14"/>
          <w:color w:val="auto"/>
        </w:rPr>
        <w:t>For the second quarter of 2022, the Company expects revenue to be in the range of $85 million to $95 million; non-GAAP operating income to be in the range of -2% to +2% of revenue; EBITDA Margins to be in the range of 0% to 4%. Consistent with past practice, this guidance excludes the impact of the fair value of issued warrants in the quarter.</w:t>
      </w:r>
    </w:p>
    <w:p>
      <w:pPr>
        <w:spacing w:after="0" w:line="105" w:lineRule="exact"/>
        <w:rPr>
          <w:sz w:val="20"/>
          <w:szCs w:val="20"/>
          <w:color w:val="auto"/>
        </w:rPr>
      </w:pPr>
    </w:p>
    <w:p>
      <w:pPr>
        <w:ind w:left="4"/>
        <w:spacing w:after="0" w:line="275" w:lineRule="auto"/>
        <w:rPr>
          <w:sz w:val="20"/>
          <w:szCs w:val="20"/>
          <w:color w:val="auto"/>
        </w:rPr>
      </w:pPr>
      <w:r>
        <w:rPr>
          <w:rFonts w:ascii="Arial" w:cs="Arial" w:eastAsia="Arial" w:hAnsi="Arial"/>
          <w:sz w:val="16"/>
          <w:szCs w:val="16"/>
          <w:color w:val="auto"/>
        </w:rPr>
        <w:t>The Company expects revenues in the third and fourth quarters to be stronger than the second quarter. The Company further expects higher operating margins in the second half of the year, with operating margins in the third and fourth quarters in the low to mid-teens.</w:t>
      </w:r>
    </w:p>
    <w:p>
      <w:pPr>
        <w:spacing w:after="0" w:line="337"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318"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First Quarter Earnings Conference Call Information</w:t>
      </w:r>
    </w:p>
    <w:p>
      <w:pPr>
        <w:spacing w:after="0" w:line="202"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The Company will host a conference call today at 8:30 a.m. ET, or 3:30 p.m. Israel time, to discuss the results, followed by a question-and-answer session with the investment community.</w:t>
      </w:r>
    </w:p>
    <w:p>
      <w:pPr>
        <w:spacing w:after="0" w:line="148" w:lineRule="exact"/>
        <w:rPr>
          <w:sz w:val="20"/>
          <w:szCs w:val="20"/>
          <w:color w:val="auto"/>
        </w:rPr>
      </w:pPr>
    </w:p>
    <w:p>
      <w:pPr>
        <w:jc w:val="both"/>
        <w:spacing w:after="0" w:line="280" w:lineRule="auto"/>
        <w:rPr>
          <w:sz w:val="20"/>
          <w:szCs w:val="20"/>
          <w:color w:val="auto"/>
        </w:rPr>
      </w:pPr>
      <w:r>
        <w:rPr>
          <w:rFonts w:ascii="Arial" w:cs="Arial" w:eastAsia="Arial" w:hAnsi="Arial"/>
          <w:sz w:val="16"/>
          <w:szCs w:val="16"/>
          <w:b w:val="1"/>
          <w:bCs w:val="1"/>
          <w:color w:val="auto"/>
        </w:rPr>
        <w:t xml:space="preserve">A live webcast of the call </w:t>
      </w:r>
      <w:r>
        <w:rPr>
          <w:rFonts w:ascii="Arial" w:cs="Arial" w:eastAsia="Arial" w:hAnsi="Arial"/>
          <w:sz w:val="16"/>
          <w:szCs w:val="16"/>
          <w:color w:val="auto"/>
        </w:rPr>
        <w:t>can be accessed at ir.kornit.com. To access the call, participants may dial toll-free at 1-877-407-0792 or +1-201-689-8263. The toll-free Israeli</w:t>
      </w:r>
      <w:r>
        <w:rPr>
          <w:rFonts w:ascii="Arial" w:cs="Arial" w:eastAsia="Arial" w:hAnsi="Arial"/>
          <w:sz w:val="16"/>
          <w:szCs w:val="16"/>
          <w:b w:val="1"/>
          <w:bCs w:val="1"/>
          <w:color w:val="auto"/>
        </w:rPr>
        <w:t xml:space="preserve"> </w:t>
      </w:r>
      <w:r>
        <w:rPr>
          <w:rFonts w:ascii="Arial" w:cs="Arial" w:eastAsia="Arial" w:hAnsi="Arial"/>
          <w:sz w:val="16"/>
          <w:szCs w:val="16"/>
          <w:color w:val="auto"/>
        </w:rPr>
        <w:t>number is 1-809-406-247. The conference confirmation code is 13729422.</w:t>
      </w:r>
    </w:p>
    <w:p>
      <w:pPr>
        <w:spacing w:after="0" w:line="144" w:lineRule="exact"/>
        <w:rPr>
          <w:sz w:val="20"/>
          <w:szCs w:val="20"/>
          <w:color w:val="auto"/>
        </w:rPr>
      </w:pPr>
    </w:p>
    <w:p>
      <w:pPr>
        <w:jc w:val="both"/>
        <w:ind w:right="20"/>
        <w:spacing w:after="0" w:line="265" w:lineRule="auto"/>
        <w:rPr>
          <w:sz w:val="20"/>
          <w:szCs w:val="20"/>
          <w:color w:val="auto"/>
        </w:rPr>
      </w:pPr>
      <w:r>
        <w:rPr>
          <w:rFonts w:ascii="Arial" w:cs="Arial" w:eastAsia="Arial" w:hAnsi="Arial"/>
          <w:sz w:val="16"/>
          <w:szCs w:val="16"/>
          <w:b w:val="1"/>
          <w:bCs w:val="1"/>
          <w:color w:val="auto"/>
        </w:rPr>
        <w:t xml:space="preserve">To listen to a replay </w:t>
      </w:r>
      <w:r>
        <w:rPr>
          <w:rFonts w:ascii="Arial" w:cs="Arial" w:eastAsia="Arial" w:hAnsi="Arial"/>
          <w:sz w:val="16"/>
          <w:szCs w:val="16"/>
          <w:color w:val="auto"/>
        </w:rPr>
        <w:t>of the conference call, dial toll-free 1-844-512-2921 or +1-412-317-6671 (international) and enter confirmation code 13729422. The telephonic replay will</w:t>
      </w:r>
      <w:r>
        <w:rPr>
          <w:rFonts w:ascii="Arial" w:cs="Arial" w:eastAsia="Arial" w:hAnsi="Arial"/>
          <w:sz w:val="16"/>
          <w:szCs w:val="16"/>
          <w:b w:val="1"/>
          <w:bCs w:val="1"/>
          <w:color w:val="auto"/>
        </w:rPr>
        <w:t xml:space="preserve"> </w:t>
      </w:r>
      <w:r>
        <w:rPr>
          <w:rFonts w:ascii="Arial" w:cs="Arial" w:eastAsia="Arial" w:hAnsi="Arial"/>
          <w:sz w:val="16"/>
          <w:szCs w:val="16"/>
          <w:color w:val="auto"/>
        </w:rPr>
        <w:t>be available approximately two hours after the completion of the live call, 11:59 p.m. ET on Wednesday, May 25, 2022. The call will also be available for replay via the webcast link on Kornit’s Investor Relations website.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Kornit’s systems; the extent of the Company’s ability to continue to increase sales of Kornit’s systems, ink and consumables; the extent of the Company’s ability to leverage Kornit’s global infrastructure build-out; the development of the market for digital textile printing; the availability of alternative ink; competition; sales concentration; changes to the Company’s relationships with suppliers; the extent of the Company’s success in marketing; the duration and severity of the macro-economic impacts triggered by the global COVID-19 pandemic, such as supply-chain delays and inflationary pressures, which could potentially impact, in a material adverse manner, the Company’s operations, financial position and cash flows, and those of the Company’s customers and suppliers; and those additional factors referred to under “Risk Factors” in Item 3.D of the Company’s Annual Report on Form 20-F for the year ended December 31, 2021, filed with the SEC on March 30, 2022. Any forward-looking statements in this press release are made as of the date hereof, whether as a result of new information, future events or otherwise, except as required by law.</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 w:name="page8"/>
    <w:bookmarkEnd w:id="7"/>
    <w:p>
      <w:pPr>
        <w:jc w:val="both"/>
        <w:ind w:right="20"/>
        <w:spacing w:after="0" w:line="274" w:lineRule="auto"/>
        <w:rPr>
          <w:sz w:val="20"/>
          <w:szCs w:val="20"/>
          <w:color w:val="auto"/>
        </w:rPr>
      </w:pPr>
      <w:r>
        <w:rPr>
          <w:rFonts w:ascii="Arial" w:cs="Arial" w:eastAsia="Arial" w:hAnsi="Arial"/>
          <w:sz w:val="15"/>
          <w:szCs w:val="15"/>
          <w:color w:val="auto"/>
        </w:rPr>
        <w:t>The presentation of non-GAAP financial information is not meant to be considered in isolation or as a substitute for the directly comparable financial measures prepared in accordance with GAAP. Kornit urges investors to review the reconciliation of non-GAAP financial measures to the comparable GAAP financial measures included below, and not to rely on any single financial measures to evaluate its business. A reconciliation for non-GAAP operating income guidance set forth above is not provided because, as forward-looking statements, such reconciliation is not available without unreasonable effort due to the high variability, complexity, and difficulty of estimating certain items such as charges to share-based compensation expense and currency fluctuations which could have an impact on its consolidated results. Kornit believes the information provided is useful to investors because it can be considered in the context of Kornit’s historical disclosures of this measure.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Discussion Disclosure</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16"/>
          <w:szCs w:val="16"/>
          <w:color w:val="auto"/>
        </w:rPr>
        <w:t>Non-GAAP financial measures consist of GAAP financial measures adjusted to exclude the impact of share-based compensation expenses, acquisition related expenses, foreign exchange differences associated with ASC 842, amortization of acquired intangible assets, and the related tax effect of the foregoing. The purpose of such adjustments is to provide an indication of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However,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Kornit</w:t>
      </w:r>
    </w:p>
    <w:p>
      <w:pPr>
        <w:spacing w:after="0" w:line="20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Kornit Digital (NASDAQ: KRNT) is a worldwide market leader in sustainable, on-demand, digital fashionx and textile production technologies. The company is writing the operating system for fashion with end-to-end solutions including digital printing systems, inks, consumables, and an entire global ecosystem that manages workflows and fulfillment. Headquartered in Israel with offices in the USA, Europe, and Asia Pacific, Kornit Digital serves customers in more than 100 countries and states worldwide. To learn more about how Kornit Digital is boldly transforming the world of fashion and textiles, visit www.kornit.com.</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Cash and cash equivalents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Short-term bank deposit</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Trade receivables, net</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Inventory</w:t>
      </w:r>
    </w:p>
    <w:p>
      <w:pPr>
        <w:spacing w:after="0" w:line="7" w:lineRule="exact"/>
        <w:rPr>
          <w:sz w:val="20"/>
          <w:szCs w:val="20"/>
          <w:color w:val="auto"/>
        </w:rPr>
      </w:pPr>
    </w:p>
    <w:p>
      <w:pPr>
        <w:ind w:right="320" w:firstLine="143"/>
        <w:spacing w:after="0" w:line="289" w:lineRule="auto"/>
        <w:rPr>
          <w:sz w:val="20"/>
          <w:szCs w:val="20"/>
          <w:color w:val="auto"/>
        </w:rPr>
      </w:pPr>
      <w:r>
        <w:rPr>
          <w:rFonts w:ascii="Arial" w:cs="Arial" w:eastAsia="Arial" w:hAnsi="Arial"/>
          <w:sz w:val="16"/>
          <w:szCs w:val="16"/>
          <w:color w:val="auto"/>
        </w:rPr>
        <w:t>Other accounts receivable and prepaid expenses Total current assets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LONG-TERM ASSETS:</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Deposits and other long-term assets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Severance pay fund</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Deferred taxes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Property,plant and equipment, net</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Operating lease right-of-use assets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Intangible assets, net</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Total long-term assets</w:t>
      </w:r>
    </w:p>
    <w:p>
      <w:pPr>
        <w:spacing w:after="0" w:line="23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assets</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4260"/>
        <w:spacing w:after="0"/>
        <w:rPr>
          <w:sz w:val="20"/>
          <w:szCs w:val="20"/>
          <w:color w:val="auto"/>
        </w:rPr>
      </w:pPr>
      <w:r>
        <w:rPr>
          <w:rFonts w:ascii="Arial" w:cs="Arial" w:eastAsia="Arial" w:hAnsi="Arial"/>
          <w:sz w:val="15"/>
          <w:szCs w:val="15"/>
          <w:b w:val="1"/>
          <w:bCs w:val="1"/>
          <w:color w:val="auto"/>
        </w:rPr>
        <w:t>CONSOLIDATED BALANCE SHEETS</w:t>
      </w:r>
    </w:p>
    <w:p>
      <w:pPr>
        <w:spacing w:after="0" w:line="19"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(U.S. dollars in thousands)</w:t>
      </w:r>
    </w:p>
    <w:p>
      <w:pPr>
        <w:spacing w:after="0" w:line="206" w:lineRule="exact"/>
        <w:rPr>
          <w:sz w:val="20"/>
          <w:szCs w:val="20"/>
          <w:color w:val="auto"/>
        </w:rPr>
      </w:pPr>
    </w:p>
    <w:tbl>
      <w:tblPr>
        <w:tblLayout w:type="fixed"/>
        <w:tblInd w:w="444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March 31,</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88"/>
              </w:rPr>
              <w:t>December 31,</w:t>
            </w:r>
          </w:p>
        </w:tc>
      </w:tr>
      <w:tr>
        <w:trPr>
          <w:trHeight w:val="212"/>
        </w:trPr>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2022</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r>
      <w:tr>
        <w:trPr>
          <w:trHeight w:val="195"/>
        </w:trPr>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6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77,284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611,551</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420,153</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9,168</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19,597</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28,116</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80,990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49,797</w:t>
            </w:r>
          </w:p>
        </w:tc>
      </w:tr>
      <w:tr>
        <w:trPr>
          <w:trHeight w:val="203"/>
        </w:trPr>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71,360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63,017</w:t>
            </w:r>
          </w:p>
        </w:tc>
      </w:tr>
      <w:tr>
        <w:trPr>
          <w:trHeight w:val="208"/>
        </w:trPr>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16,061</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13,694</w:t>
            </w:r>
          </w:p>
        </w:tc>
      </w:tr>
      <w:tr>
        <w:trPr>
          <w:trHeight w:val="195"/>
        </w:trPr>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685,445</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775,343</w:t>
            </w:r>
          </w:p>
        </w:tc>
      </w:tr>
      <w:tr>
        <w:trPr>
          <w:trHeight w:val="56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216,856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149,269</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850</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856</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361</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357</w:t>
            </w:r>
          </w:p>
        </w:tc>
      </w:tr>
      <w:tr>
        <w:trPr>
          <w:trHeight w:val="191"/>
        </w:trPr>
        <w:tc>
          <w:tcPr>
            <w:tcW w:w="1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11,792</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9,339</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46,412</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45,046</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29,388</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25,155</w:t>
            </w:r>
          </w:p>
        </w:tc>
      </w:tr>
      <w:tr>
        <w:trPr>
          <w:trHeight w:val="203"/>
        </w:trPr>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9,535</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10,063</w:t>
            </w:r>
          </w:p>
        </w:tc>
      </w:tr>
      <w:tr>
        <w:trPr>
          <w:trHeight w:val="208"/>
        </w:trPr>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25,447</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25,447</w:t>
            </w:r>
          </w:p>
        </w:tc>
      </w:tr>
      <w:tr>
        <w:trPr>
          <w:trHeight w:val="195"/>
        </w:trPr>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340,641</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265,532</w:t>
            </w:r>
          </w:p>
        </w:tc>
      </w:tr>
      <w:tr>
        <w:trPr>
          <w:trHeight w:val="422"/>
        </w:trPr>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1,026,086</w:t>
            </w:r>
          </w:p>
        </w:tc>
        <w:tc>
          <w:tcPr>
            <w:tcW w:w="240" w:type="dxa"/>
            <w:vAlign w:val="bottom"/>
          </w:tcPr>
          <w:p>
            <w:pPr>
              <w:spacing w:after="0"/>
              <w:rPr>
                <w:sz w:val="24"/>
                <w:szCs w:val="24"/>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1,040,875</w:t>
            </w:r>
          </w:p>
        </w:tc>
      </w:tr>
      <w:tr>
        <w:trPr>
          <w:trHeight w:val="20"/>
        </w:trPr>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-2564130</wp:posOffset>
            </wp:positionV>
            <wp:extent cx="7148195" cy="121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-2321560</wp:posOffset>
            </wp:positionV>
            <wp:extent cx="714819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-2078355</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-1820545</wp:posOffset>
            </wp:positionV>
            <wp:extent cx="7148195" cy="136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-1555115</wp:posOffset>
            </wp:positionV>
            <wp:extent cx="7148195" cy="1212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-1311910</wp:posOffset>
            </wp:positionV>
            <wp:extent cx="7148195" cy="12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-1069340</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-826770</wp:posOffset>
            </wp:positionV>
            <wp:extent cx="7148195"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-583565</wp:posOffset>
            </wp:positionV>
            <wp:extent cx="7148195" cy="136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-310515</wp:posOffset>
            </wp:positionV>
            <wp:extent cx="714819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20" w:space="720"/>
            <w:col w:w="7020"/>
          </w:cols>
          <w:pgMar w:left="320" w:top="816" w:right="319" w:bottom="1440" w:gutter="0" w:footer="0" w:header="0"/>
        </w:sectPr>
      </w:pPr>
    </w:p>
    <w:tbl>
      <w:tblPr>
        <w:tblLayout w:type="fixed"/>
        <w:tblInd w:w="0" w:type="dxa"/>
        <w:tblCellMar>
          <w:top w:w="0" w:type="dxa"/>
          <w:left w:w="0" w:type="dxa"/>
          <w:bottom w:w="0" w:type="dxa"/>
          <w:right w:w="0" w:type="dxa"/>
        </w:tblCellMar>
      </w:tblPr>
      <w:tr>
        <w:trPr>
          <w:trHeight w:val="171"/>
        </w:trPr>
        <w:tc>
          <w:tcPr>
            <w:tcW w:w="6060" w:type="dxa"/>
            <w:vAlign w:val="bottom"/>
            <w:shd w:val="clear" w:color="auto" w:fill="CCEEFF"/>
          </w:tcPr>
          <w:p>
            <w:pPr>
              <w:spacing w:after="0"/>
              <w:rPr>
                <w:sz w:val="14"/>
                <w:szCs w:val="14"/>
                <w:color w:val="auto"/>
              </w:rPr>
            </w:pPr>
          </w:p>
        </w:tc>
        <w:tc>
          <w:tcPr>
            <w:tcW w:w="26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91"/>
        </w:trPr>
        <w:tc>
          <w:tcPr>
            <w:tcW w:w="606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2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Arial" w:cs="Arial" w:eastAsia="Arial" w:hAnsi="Arial"/>
                <w:sz w:val="16"/>
                <w:szCs w:val="16"/>
                <w:color w:val="auto"/>
              </w:rPr>
              <w:t>Trade payables</w:t>
            </w:r>
          </w:p>
        </w:tc>
        <w:tc>
          <w:tcPr>
            <w:tcW w:w="2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34,267</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46,448</w:t>
            </w:r>
          </w:p>
        </w:tc>
      </w:tr>
      <w:tr>
        <w:trPr>
          <w:trHeight w:val="191"/>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Employees and payroll accruals</w:t>
            </w:r>
          </w:p>
        </w:tc>
        <w:tc>
          <w:tcPr>
            <w:tcW w:w="2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15,502</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22,482</w:t>
            </w:r>
          </w:p>
        </w:tc>
      </w:tr>
      <w:tr>
        <w:trPr>
          <w:trHeight w:val="191"/>
        </w:trPr>
        <w:tc>
          <w:tcPr>
            <w:tcW w:w="6060" w:type="dxa"/>
            <w:vAlign w:val="bottom"/>
          </w:tcPr>
          <w:p>
            <w:pPr>
              <w:ind w:left="140"/>
              <w:spacing w:after="0"/>
              <w:rPr>
                <w:sz w:val="20"/>
                <w:szCs w:val="20"/>
                <w:color w:val="auto"/>
              </w:rPr>
            </w:pPr>
            <w:r>
              <w:rPr>
                <w:rFonts w:ascii="Arial" w:cs="Arial" w:eastAsia="Arial" w:hAnsi="Arial"/>
                <w:sz w:val="16"/>
                <w:szCs w:val="16"/>
                <w:color w:val="auto"/>
              </w:rPr>
              <w:t>Deferred revenues and advances from customers</w:t>
            </w:r>
          </w:p>
        </w:tc>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3,930</w:t>
            </w:r>
          </w:p>
        </w:tc>
        <w:tc>
          <w:tcPr>
            <w:tcW w:w="28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5,401</w:t>
            </w:r>
          </w:p>
        </w:tc>
      </w:tr>
      <w:tr>
        <w:trPr>
          <w:trHeight w:val="191"/>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2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5,353</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5,058</w:t>
            </w:r>
          </w:p>
        </w:tc>
      </w:tr>
      <w:tr>
        <w:trPr>
          <w:trHeight w:val="207"/>
        </w:trPr>
        <w:tc>
          <w:tcPr>
            <w:tcW w:w="6060" w:type="dxa"/>
            <w:vAlign w:val="bottom"/>
          </w:tcPr>
          <w:p>
            <w:pPr>
              <w:ind w:left="140"/>
              <w:spacing w:after="0"/>
              <w:rPr>
                <w:sz w:val="20"/>
                <w:szCs w:val="20"/>
                <w:color w:val="auto"/>
              </w:rPr>
            </w:pPr>
            <w:r>
              <w:rPr>
                <w:rFonts w:ascii="Arial" w:cs="Arial" w:eastAsia="Arial" w:hAnsi="Arial"/>
                <w:sz w:val="16"/>
                <w:szCs w:val="16"/>
                <w:color w:val="auto"/>
              </w:rPr>
              <w:t>Other payables and accrued expenses</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17,646</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17,287</w:t>
            </w: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76,698</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96,676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2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6060" w:type="dxa"/>
            <w:vAlign w:val="bottom"/>
          </w:tcPr>
          <w:p>
            <w:pPr>
              <w:ind w:left="140"/>
              <w:spacing w:after="0"/>
              <w:rPr>
                <w:sz w:val="20"/>
                <w:szCs w:val="20"/>
                <w:color w:val="auto"/>
              </w:rPr>
            </w:pPr>
            <w:r>
              <w:rPr>
                <w:rFonts w:ascii="Arial" w:cs="Arial" w:eastAsia="Arial" w:hAnsi="Arial"/>
                <w:sz w:val="16"/>
                <w:szCs w:val="16"/>
                <w:color w:val="auto"/>
              </w:rPr>
              <w:t>Accrued severance pay</w:t>
            </w:r>
          </w:p>
        </w:tc>
        <w:tc>
          <w:tcPr>
            <w:tcW w:w="2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1,358</w:t>
            </w:r>
          </w:p>
        </w:tc>
        <w:tc>
          <w:tcPr>
            <w:tcW w:w="280" w:type="dxa"/>
            <w:vAlign w:val="bottom"/>
          </w:tcPr>
          <w:p>
            <w:pPr>
              <w:jc w:val="right"/>
              <w:ind w:right="126"/>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1,543</w:t>
            </w:r>
          </w:p>
        </w:tc>
      </w:tr>
      <w:tr>
        <w:trPr>
          <w:trHeight w:val="191"/>
        </w:trPr>
        <w:tc>
          <w:tcPr>
            <w:tcW w:w="606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Operating lease liabilities</w:t>
            </w:r>
          </w:p>
        </w:tc>
        <w:tc>
          <w:tcPr>
            <w:tcW w:w="26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25,430</w:t>
            </w:r>
          </w:p>
        </w:tc>
        <w:tc>
          <w:tcPr>
            <w:tcW w:w="28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21,900</w:t>
            </w:r>
          </w:p>
        </w:tc>
      </w:tr>
      <w:tr>
        <w:trPr>
          <w:trHeight w:val="207"/>
        </w:trPr>
        <w:tc>
          <w:tcPr>
            <w:tcW w:w="6060" w:type="dxa"/>
            <w:vAlign w:val="bottom"/>
          </w:tcPr>
          <w:p>
            <w:pPr>
              <w:ind w:left="140"/>
              <w:spacing w:after="0"/>
              <w:rPr>
                <w:sz w:val="20"/>
                <w:szCs w:val="20"/>
                <w:color w:val="auto"/>
              </w:rPr>
            </w:pPr>
            <w:r>
              <w:rPr>
                <w:rFonts w:ascii="Arial" w:cs="Arial" w:eastAsia="Arial" w:hAnsi="Arial"/>
                <w:sz w:val="16"/>
                <w:szCs w:val="16"/>
                <w:color w:val="auto"/>
              </w:rPr>
              <w:t>Other long-term liabilities</w:t>
            </w:r>
          </w:p>
        </w:tc>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6"/>
                <w:szCs w:val="16"/>
                <w:color w:val="auto"/>
              </w:rPr>
              <w:t>1,519</w:t>
            </w:r>
          </w:p>
        </w:tc>
        <w:tc>
          <w:tcPr>
            <w:tcW w:w="2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6"/>
                <w:szCs w:val="16"/>
                <w:color w:val="auto"/>
              </w:rPr>
              <w:t>1,203</w:t>
            </w:r>
          </w:p>
        </w:tc>
      </w:tr>
      <w:tr>
        <w:trPr>
          <w:trHeight w:val="195"/>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long-term liabilities</w:t>
            </w:r>
          </w:p>
        </w:tc>
        <w:tc>
          <w:tcPr>
            <w:tcW w:w="262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28,307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spacing w:after="0"/>
              <w:rPr>
                <w:sz w:val="16"/>
                <w:szCs w:val="16"/>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24,646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91"/>
        </w:trPr>
        <w:tc>
          <w:tcPr>
            <w:tcW w:w="606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7"/>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2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921,081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919,553</w:t>
            </w:r>
          </w:p>
        </w:tc>
      </w:tr>
      <w:tr>
        <w:trPr>
          <w:trHeight w:val="191"/>
        </w:trPr>
        <w:tc>
          <w:tcPr>
            <w:tcW w:w="6060" w:type="dxa"/>
            <w:vAlign w:val="bottom"/>
            <w:tcBorders>
              <w:top w:val="single" w:sz="8" w:color="CCEEFF"/>
            </w:tcBorders>
          </w:tcPr>
          <w:p>
            <w:pPr>
              <w:spacing w:after="0"/>
              <w:rPr>
                <w:sz w:val="16"/>
                <w:szCs w:val="16"/>
                <w:color w:val="auto"/>
              </w:rPr>
            </w:pPr>
          </w:p>
        </w:tc>
        <w:tc>
          <w:tcPr>
            <w:tcW w:w="26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r>
      <w:tr>
        <w:trPr>
          <w:trHeight w:val="231"/>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shareholders’ equity</w:t>
            </w:r>
          </w:p>
        </w:tc>
        <w:tc>
          <w:tcPr>
            <w:tcW w:w="29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1,026,086</w:t>
            </w:r>
          </w:p>
        </w:tc>
        <w:tc>
          <w:tcPr>
            <w:tcW w:w="240" w:type="dxa"/>
            <w:vAlign w:val="bottom"/>
            <w:shd w:val="clear" w:color="auto" w:fill="CCEEFF"/>
          </w:tcPr>
          <w:p>
            <w:pPr>
              <w:spacing w:after="0"/>
              <w:rPr>
                <w:sz w:val="20"/>
                <w:szCs w:val="20"/>
                <w:color w:val="auto"/>
              </w:rPr>
            </w:pPr>
          </w:p>
        </w:tc>
        <w:tc>
          <w:tcPr>
            <w:tcW w:w="280" w:type="dxa"/>
            <w:vAlign w:val="bottom"/>
            <w:shd w:val="clear" w:color="auto" w:fill="CCEEFF"/>
          </w:tcPr>
          <w:p>
            <w:pPr>
              <w:jc w:val="right"/>
              <w:ind w:right="126"/>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1,040,875</w:t>
            </w:r>
          </w:p>
        </w:tc>
        <w:tc>
          <w:tcPr>
            <w:tcW w:w="120" w:type="dxa"/>
            <w:vAlign w:val="bottom"/>
            <w:shd w:val="clear" w:color="auto" w:fill="CCEEFF"/>
          </w:tcPr>
          <w:p>
            <w:pPr>
              <w:spacing w:after="0"/>
              <w:rPr>
                <w:sz w:val="20"/>
                <w:szCs w:val="20"/>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363"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type w:val="continuous"/>
        </w:sectPr>
      </w:pPr>
    </w:p>
    <w:bookmarkStart w:id="9" w:name="page10"/>
    <w:bookmarkEnd w:id="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Revenues</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Products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Total revenues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Cost of revenues</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Products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Services</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Total cost of revenues</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color w:val="auto"/>
        </w:rPr>
        <w:t>Gross profit</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Operating expenses:</w:t>
      </w:r>
    </w:p>
    <w:p>
      <w:pPr>
        <w:spacing w:after="0" w:line="20" w:lineRule="exact"/>
        <w:rPr>
          <w:sz w:val="20"/>
          <w:szCs w:val="20"/>
          <w:color w:val="auto"/>
        </w:rPr>
      </w:pPr>
    </w:p>
    <w:p>
      <w:pPr>
        <w:ind w:left="140"/>
        <w:spacing w:after="0"/>
        <w:rPr>
          <w:sz w:val="20"/>
          <w:szCs w:val="20"/>
          <w:color w:val="auto"/>
        </w:rPr>
      </w:pPr>
      <w:r>
        <w:rPr>
          <w:rFonts w:ascii="Arial" w:cs="Arial" w:eastAsia="Arial" w:hAnsi="Arial"/>
          <w:sz w:val="15"/>
          <w:szCs w:val="15"/>
          <w:color w:val="auto"/>
        </w:rPr>
        <w:t>Research and development, net</w:t>
      </w:r>
    </w:p>
    <w:p>
      <w:pPr>
        <w:spacing w:after="0" w:line="19" w:lineRule="exact"/>
        <w:rPr>
          <w:sz w:val="20"/>
          <w:szCs w:val="20"/>
          <w:color w:val="auto"/>
        </w:rPr>
      </w:pPr>
    </w:p>
    <w:p>
      <w:pPr>
        <w:ind w:left="140"/>
        <w:spacing w:after="0"/>
        <w:rPr>
          <w:sz w:val="20"/>
          <w:szCs w:val="20"/>
          <w:color w:val="auto"/>
        </w:rPr>
      </w:pPr>
      <w:r>
        <w:rPr>
          <w:rFonts w:ascii="Arial" w:cs="Arial" w:eastAsia="Arial" w:hAnsi="Arial"/>
          <w:sz w:val="16"/>
          <w:szCs w:val="16"/>
          <w:color w:val="auto"/>
        </w:rPr>
        <w:t>Sales and marketing</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General and administrative</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Total operating expenses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Operating income (loss)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Financial income, net</w:t>
      </w:r>
    </w:p>
    <w:p>
      <w:pPr>
        <w:spacing w:after="0" w:line="30" w:lineRule="exact"/>
        <w:rPr>
          <w:sz w:val="20"/>
          <w:szCs w:val="20"/>
          <w:color w:val="auto"/>
        </w:rPr>
      </w:pPr>
    </w:p>
    <w:p>
      <w:pPr>
        <w:spacing w:after="0"/>
        <w:rPr>
          <w:sz w:val="20"/>
          <w:szCs w:val="20"/>
          <w:color w:val="auto"/>
        </w:rPr>
      </w:pPr>
      <w:r>
        <w:rPr>
          <w:rFonts w:ascii="Arial" w:cs="Arial" w:eastAsia="Arial" w:hAnsi="Arial"/>
          <w:sz w:val="14"/>
          <w:szCs w:val="14"/>
          <w:color w:val="auto"/>
        </w:rPr>
        <w:t>Income (loss) before taxes on income</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Taxes on income</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294" w:lineRule="exact"/>
        <w:rPr>
          <w:sz w:val="20"/>
          <w:szCs w:val="20"/>
          <w:color w:val="auto"/>
        </w:rPr>
      </w:pPr>
    </w:p>
    <w:p>
      <w:pPr>
        <w:spacing w:after="0"/>
        <w:rPr>
          <w:sz w:val="20"/>
          <w:szCs w:val="20"/>
          <w:color w:val="auto"/>
        </w:rPr>
      </w:pPr>
      <w:r>
        <w:rPr>
          <w:rFonts w:ascii="Arial" w:cs="Arial" w:eastAsia="Arial" w:hAnsi="Arial"/>
          <w:sz w:val="16"/>
          <w:szCs w:val="16"/>
          <w:color w:val="auto"/>
        </w:rPr>
        <w:t>Basic net income (loss) per share</w:t>
      </w:r>
    </w:p>
    <w:p>
      <w:pPr>
        <w:spacing w:after="0" w:line="294" w:lineRule="exact"/>
        <w:rPr>
          <w:sz w:val="20"/>
          <w:szCs w:val="20"/>
          <w:color w:val="auto"/>
        </w:rPr>
      </w:pPr>
    </w:p>
    <w:p>
      <w:pPr>
        <w:ind w:right="740"/>
        <w:spacing w:after="0" w:line="262" w:lineRule="auto"/>
        <w:rPr>
          <w:sz w:val="20"/>
          <w:szCs w:val="20"/>
          <w:color w:val="auto"/>
        </w:rPr>
      </w:pPr>
      <w:r>
        <w:rPr>
          <w:rFonts w:ascii="Arial" w:cs="Arial" w:eastAsia="Arial" w:hAnsi="Arial"/>
          <w:sz w:val="16"/>
          <w:szCs w:val="16"/>
          <w:color w:val="auto"/>
        </w:rPr>
        <w:t>Weighted average number of shares used in computing basic net income (loss) per share</w:t>
      </w: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Diluted net income (loss) per share</w:t>
      </w:r>
    </w:p>
    <w:p>
      <w:pPr>
        <w:spacing w:after="0" w:line="321" w:lineRule="exact"/>
        <w:rPr>
          <w:sz w:val="20"/>
          <w:szCs w:val="20"/>
          <w:color w:val="auto"/>
        </w:rPr>
      </w:pPr>
    </w:p>
    <w:p>
      <w:pPr>
        <w:ind w:left="140" w:right="740" w:hanging="142"/>
        <w:spacing w:after="0" w:line="294" w:lineRule="auto"/>
        <w:rPr>
          <w:sz w:val="20"/>
          <w:szCs w:val="20"/>
          <w:color w:val="auto"/>
        </w:rPr>
      </w:pPr>
      <w:r>
        <w:rPr>
          <w:rFonts w:ascii="Arial" w:cs="Arial" w:eastAsia="Arial" w:hAnsi="Arial"/>
          <w:sz w:val="14"/>
          <w:szCs w:val="14"/>
          <w:color w:val="auto"/>
        </w:rPr>
        <w:t>Weighted average number of shares used in computing diluted</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net income (loss) per share</w:t>
      </w:r>
    </w:p>
    <w:p>
      <w:pPr>
        <w:spacing w:after="0" w:line="20" w:lineRule="exact"/>
        <w:rPr>
          <w:sz w:val="20"/>
          <w:szCs w:val="20"/>
          <w:color w:val="auto"/>
        </w:rPr>
      </w:pPr>
      <w:r>
        <w:rPr>
          <w:sz w:val="20"/>
          <w:szCs w:val="20"/>
          <w:color w:val="auto"/>
        </w:rPr>
        <w:br w:type="column"/>
      </w:r>
    </w:p>
    <w:p>
      <w:pPr>
        <w:ind w:left="100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ind w:left="98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(U.S. dollars in thousands, except share and per share data)</w:t>
      </w:r>
    </w:p>
    <w:p>
      <w:pPr>
        <w:spacing w:after="0" w:line="206" w:lineRule="exact"/>
        <w:rPr>
          <w:sz w:val="20"/>
          <w:szCs w:val="20"/>
          <w:color w:val="auto"/>
        </w:rPr>
      </w:pPr>
    </w:p>
    <w:p>
      <w:pPr>
        <w:jc w:val="center"/>
        <w:ind w:left="-4499"/>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left="-4499"/>
        <w:spacing w:after="0"/>
        <w:rPr>
          <w:sz w:val="20"/>
          <w:szCs w:val="20"/>
          <w:color w:val="auto"/>
        </w:rPr>
      </w:pPr>
      <w:r>
        <w:rPr>
          <w:rFonts w:ascii="Arial" w:cs="Arial" w:eastAsia="Arial" w:hAnsi="Arial"/>
          <w:sz w:val="16"/>
          <w:szCs w:val="16"/>
          <w:b w:val="1"/>
          <w:bCs w:val="1"/>
          <w:color w:val="auto"/>
        </w:rPr>
        <w:t>March 31,</w:t>
      </w:r>
    </w:p>
    <w:p>
      <w:pPr>
        <w:spacing w:after="0" w:line="19" w:lineRule="exact"/>
        <w:rPr>
          <w:sz w:val="20"/>
          <w:szCs w:val="20"/>
          <w:color w:val="auto"/>
        </w:rPr>
      </w:pPr>
    </w:p>
    <w:tbl>
      <w:tblPr>
        <w:tblLayout w:type="fixed"/>
        <w:tblInd w:w="4940" w:type="dxa"/>
        <w:tblCellMar>
          <w:top w:w="0" w:type="dxa"/>
          <w:left w:w="0" w:type="dxa"/>
          <w:bottom w:w="0" w:type="dxa"/>
          <w:right w:w="0" w:type="dxa"/>
        </w:tblCellMar>
      </w:tblPr>
      <w:tr>
        <w:trPr>
          <w:trHeight w:val="211"/>
        </w:trPr>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2021</w:t>
            </w:r>
          </w:p>
        </w:tc>
        <w:tc>
          <w:tcPr>
            <w:tcW w:w="0" w:type="dxa"/>
            <w:vAlign w:val="bottom"/>
          </w:tcPr>
          <w:p>
            <w:pPr>
              <w:spacing w:after="0"/>
              <w:rPr>
                <w:sz w:val="1"/>
                <w:szCs w:val="1"/>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2"/>
        </w:trPr>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72,514</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57,946</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10,779</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8,177</w:t>
            </w:r>
          </w:p>
        </w:tc>
        <w:tc>
          <w:tcPr>
            <w:tcW w:w="0" w:type="dxa"/>
            <w:vAlign w:val="bottom"/>
          </w:tcPr>
          <w:p>
            <w:pPr>
              <w:spacing w:after="0"/>
              <w:rPr>
                <w:sz w:val="1"/>
                <w:szCs w:val="1"/>
                <w:color w:val="auto"/>
              </w:rPr>
            </w:pPr>
          </w:p>
        </w:tc>
      </w:tr>
      <w:tr>
        <w:trPr>
          <w:trHeight w:val="204"/>
        </w:trPr>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83,293</w:t>
            </w: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66,123</w:t>
            </w:r>
          </w:p>
        </w:tc>
        <w:tc>
          <w:tcPr>
            <w:tcW w:w="0" w:type="dxa"/>
            <w:vAlign w:val="bottom"/>
          </w:tcPr>
          <w:p>
            <w:pPr>
              <w:spacing w:after="0"/>
              <w:rPr>
                <w:sz w:val="1"/>
                <w:szCs w:val="1"/>
                <w:color w:val="auto"/>
              </w:rPr>
            </w:pPr>
          </w:p>
        </w:tc>
      </w:tr>
      <w:tr>
        <w:trPr>
          <w:trHeight w:val="560"/>
        </w:trPr>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39,237</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28,175</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10,654</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7,538</w:t>
            </w:r>
          </w:p>
        </w:tc>
        <w:tc>
          <w:tcPr>
            <w:tcW w:w="0" w:type="dxa"/>
            <w:vAlign w:val="bottom"/>
          </w:tcPr>
          <w:p>
            <w:pPr>
              <w:spacing w:after="0"/>
              <w:rPr>
                <w:sz w:val="1"/>
                <w:szCs w:val="1"/>
                <w:color w:val="auto"/>
              </w:rPr>
            </w:pPr>
          </w:p>
        </w:tc>
      </w:tr>
      <w:tr>
        <w:trPr>
          <w:trHeight w:val="204"/>
        </w:trPr>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49,891</w:t>
            </w: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35,713</w:t>
            </w:r>
          </w:p>
        </w:tc>
        <w:tc>
          <w:tcPr>
            <w:tcW w:w="0" w:type="dxa"/>
            <w:vAlign w:val="bottom"/>
          </w:tcPr>
          <w:p>
            <w:pPr>
              <w:spacing w:after="0"/>
              <w:rPr>
                <w:sz w:val="1"/>
                <w:szCs w:val="1"/>
                <w:color w:val="auto"/>
              </w:rPr>
            </w:pPr>
          </w:p>
        </w:tc>
      </w:tr>
      <w:tr>
        <w:trPr>
          <w:trHeight w:val="194"/>
        </w:trPr>
        <w:tc>
          <w:tcPr>
            <w:tcW w:w="240" w:type="dxa"/>
            <w:vAlign w:val="bottom"/>
          </w:tcPr>
          <w:p>
            <w:pPr>
              <w:spacing w:after="0"/>
              <w:rPr>
                <w:sz w:val="16"/>
                <w:szCs w:val="16"/>
                <w:color w:val="auto"/>
              </w:rPr>
            </w:pPr>
          </w:p>
        </w:tc>
        <w:tc>
          <w:tcPr>
            <w:tcW w:w="1120" w:type="dxa"/>
            <w:vAlign w:val="bottom"/>
            <w:gridSpan w:val="2"/>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4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33,402</w:t>
            </w:r>
          </w:p>
        </w:tc>
        <w:tc>
          <w:tcPr>
            <w:tcW w:w="240" w:type="dxa"/>
            <w:vAlign w:val="bottom"/>
          </w:tcPr>
          <w:p>
            <w:pPr>
              <w:spacing w:after="0"/>
              <w:rPr>
                <w:sz w:val="16"/>
                <w:szCs w:val="16"/>
                <w:color w:val="auto"/>
              </w:rPr>
            </w:pPr>
          </w:p>
        </w:tc>
        <w:tc>
          <w:tcPr>
            <w:tcW w:w="340" w:type="dxa"/>
            <w:vAlign w:val="bottom"/>
            <w:tcBorders>
              <w:top w:val="single" w:sz="8" w:color="auto"/>
              <w:bottom w:val="single" w:sz="8" w:color="auto"/>
            </w:tcBorders>
          </w:tcPr>
          <w:p>
            <w:pPr>
              <w:spacing w:after="0"/>
              <w:rPr>
                <w:sz w:val="16"/>
                <w:szCs w:val="16"/>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30,410</w:t>
            </w:r>
          </w:p>
        </w:tc>
        <w:tc>
          <w:tcPr>
            <w:tcW w:w="0" w:type="dxa"/>
            <w:vAlign w:val="bottom"/>
          </w:tcPr>
          <w:p>
            <w:pPr>
              <w:spacing w:after="0"/>
              <w:rPr>
                <w:sz w:val="1"/>
                <w:szCs w:val="1"/>
                <w:color w:val="auto"/>
              </w:rPr>
            </w:pPr>
          </w:p>
        </w:tc>
      </w:tr>
      <w:tr>
        <w:trPr>
          <w:trHeight w:val="561"/>
        </w:trPr>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14,010</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9,444</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16,531</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11,049</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9,766</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6,808</w:t>
            </w:r>
          </w:p>
        </w:tc>
        <w:tc>
          <w:tcPr>
            <w:tcW w:w="0" w:type="dxa"/>
            <w:vAlign w:val="bottom"/>
          </w:tcPr>
          <w:p>
            <w:pPr>
              <w:spacing w:after="0"/>
              <w:rPr>
                <w:sz w:val="1"/>
                <w:szCs w:val="1"/>
                <w:color w:val="auto"/>
              </w:rPr>
            </w:pPr>
          </w:p>
        </w:tc>
      </w:tr>
      <w:tr>
        <w:trPr>
          <w:trHeight w:val="179"/>
        </w:trPr>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6"/>
                <w:szCs w:val="16"/>
                <w:color w:val="auto"/>
              </w:rPr>
              <w:t>40,307</w:t>
            </w: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jc w:val="right"/>
              <w:spacing w:after="0" w:line="179" w:lineRule="exact"/>
              <w:rPr>
                <w:sz w:val="20"/>
                <w:szCs w:val="20"/>
                <w:color w:val="auto"/>
              </w:rPr>
            </w:pPr>
            <w:r>
              <w:rPr>
                <w:rFonts w:ascii="Arial" w:cs="Arial" w:eastAsia="Arial" w:hAnsi="Arial"/>
                <w:sz w:val="16"/>
                <w:szCs w:val="16"/>
                <w:color w:val="auto"/>
              </w:rPr>
              <w:t>27,301</w:t>
            </w:r>
          </w:p>
        </w:tc>
        <w:tc>
          <w:tcPr>
            <w:tcW w:w="0" w:type="dxa"/>
            <w:vAlign w:val="bottom"/>
          </w:tcPr>
          <w:p>
            <w:pPr>
              <w:spacing w:after="0"/>
              <w:rPr>
                <w:sz w:val="1"/>
                <w:szCs w:val="1"/>
                <w:color w:val="auto"/>
              </w:rPr>
            </w:pPr>
          </w:p>
        </w:tc>
      </w:tr>
      <w:tr>
        <w:trPr>
          <w:trHeight w:val="203"/>
        </w:trPr>
        <w:tc>
          <w:tcPr>
            <w:tcW w:w="24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(6,905)</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3,109</w:t>
            </w:r>
          </w:p>
        </w:tc>
        <w:tc>
          <w:tcPr>
            <w:tcW w:w="0" w:type="dxa"/>
            <w:vAlign w:val="bottom"/>
          </w:tcPr>
          <w:p>
            <w:pPr>
              <w:spacing w:after="0"/>
              <w:rPr>
                <w:sz w:val="1"/>
                <w:szCs w:val="1"/>
                <w:color w:val="auto"/>
              </w:rPr>
            </w:pPr>
          </w:p>
        </w:tc>
      </w:t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1,799</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2,065</w:t>
            </w:r>
          </w:p>
        </w:tc>
        <w:tc>
          <w:tcPr>
            <w:tcW w:w="0" w:type="dxa"/>
            <w:vAlign w:val="bottom"/>
          </w:tcPr>
          <w:p>
            <w:pPr>
              <w:spacing w:after="0"/>
              <w:rPr>
                <w:sz w:val="1"/>
                <w:szCs w:val="1"/>
                <w:color w:val="auto"/>
              </w:rPr>
            </w:pPr>
          </w:p>
        </w:tc>
      </w:tr>
      <w:tr>
        <w:trPr>
          <w:trHeight w:val="204"/>
        </w:trPr>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(5,106)</w:t>
            </w:r>
          </w:p>
        </w:tc>
        <w:tc>
          <w:tcPr>
            <w:tcW w:w="24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5,174</w:t>
            </w:r>
          </w:p>
        </w:tc>
        <w:tc>
          <w:tcPr>
            <w:tcW w:w="0" w:type="dxa"/>
            <w:vAlign w:val="bottom"/>
          </w:tcPr>
          <w:p>
            <w:pPr>
              <w:spacing w:after="0"/>
              <w:rPr>
                <w:sz w:val="1"/>
                <w:szCs w:val="1"/>
                <w:color w:val="auto"/>
              </w:rPr>
            </w:pPr>
          </w:p>
        </w:tc>
      </w:tr>
      <w:tr>
        <w:trPr>
          <w:trHeight w:val="386"/>
        </w:trPr>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240" w:type="dxa"/>
            <w:vAlign w:val="bottom"/>
            <w:vMerge w:val="restart"/>
          </w:tcPr>
          <w:p>
            <w:pPr>
              <w:jc w:val="right"/>
              <w:ind w:right="100"/>
              <w:spacing w:after="0"/>
              <w:rPr>
                <w:sz w:val="20"/>
                <w:szCs w:val="20"/>
                <w:color w:val="auto"/>
              </w:rPr>
            </w:pPr>
            <w:r>
              <w:rPr>
                <w:rFonts w:ascii="Arial" w:cs="Arial" w:eastAsia="Arial" w:hAnsi="Arial"/>
                <w:sz w:val="16"/>
                <w:szCs w:val="16"/>
                <w:color w:val="auto"/>
                <w:w w:val="74"/>
              </w:rPr>
              <w:t>)</w:t>
            </w: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0" w:type="dxa"/>
            <w:vAlign w:val="bottom"/>
          </w:tcPr>
          <w:p>
            <w:pPr>
              <w:spacing w:after="0"/>
              <w:rPr>
                <w:sz w:val="1"/>
                <w:szCs w:val="1"/>
                <w:color w:val="auto"/>
              </w:rPr>
            </w:pPr>
          </w:p>
        </w:tc>
      </w:tr>
      <w:tr>
        <w:trPr>
          <w:trHeight w:val="219"/>
        </w:trPr>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(5,197</w:t>
            </w:r>
          </w:p>
        </w:tc>
        <w:tc>
          <w:tcPr>
            <w:tcW w:w="240" w:type="dxa"/>
            <w:vAlign w:val="bottom"/>
            <w:vMerge w:val="continue"/>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5,099</w:t>
            </w: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(0.10</w:t>
            </w:r>
            <w:r>
              <w:rPr>
                <w:rFonts w:ascii="Arial" w:cs="Arial" w:eastAsia="Arial" w:hAnsi="Arial"/>
                <w:sz w:val="31"/>
                <w:szCs w:val="31"/>
                <w:color w:val="auto"/>
                <w:vertAlign w:val="superscript"/>
              </w:rPr>
              <w:t>)</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49,658,028</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46,041,253</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6"/>
                <w:szCs w:val="16"/>
                <w:color w:val="auto"/>
              </w:rPr>
              <w:t>(0.10</w:t>
            </w:r>
            <w:r>
              <w:rPr>
                <w:rFonts w:ascii="Arial" w:cs="Arial" w:eastAsia="Arial" w:hAnsi="Arial"/>
                <w:sz w:val="31"/>
                <w:szCs w:val="31"/>
                <w:color w:val="auto"/>
                <w:vertAlign w:val="superscript"/>
              </w:rPr>
              <w:t>)</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0.11</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0"/>
        </w:trPr>
        <w:tc>
          <w:tcPr>
            <w:tcW w:w="2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6"/>
                <w:szCs w:val="16"/>
                <w:color w:val="auto"/>
              </w:rPr>
              <w:t>49,658,028</w:t>
            </w:r>
          </w:p>
        </w:tc>
        <w:tc>
          <w:tcPr>
            <w:tcW w:w="34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w w:val="92"/>
              </w:rPr>
              <w:t>47,568,215</w:t>
            </w:r>
          </w:p>
        </w:tc>
        <w:tc>
          <w:tcPr>
            <w:tcW w:w="0" w:type="dxa"/>
            <w:vAlign w:val="bottom"/>
          </w:tcPr>
          <w:p>
            <w:pPr>
              <w:spacing w:after="0"/>
              <w:rPr>
                <w:sz w:val="1"/>
                <w:szCs w:val="1"/>
                <w:color w:val="auto"/>
              </w:rPr>
            </w:pP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-4575175</wp:posOffset>
            </wp:positionV>
            <wp:extent cx="7148195" cy="1212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-4316730</wp:posOffset>
            </wp:positionV>
            <wp:extent cx="714819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-4066540</wp:posOffset>
            </wp:positionV>
            <wp:extent cx="7148195" cy="1212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-3823970</wp:posOffset>
            </wp:positionV>
            <wp:extent cx="7148195" cy="1365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-3558540</wp:posOffset>
            </wp:positionV>
            <wp:extent cx="7148195" cy="136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-3284855</wp:posOffset>
            </wp:positionV>
            <wp:extent cx="714819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-3034665</wp:posOffset>
            </wp:positionV>
            <wp:extent cx="7148195" cy="1212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-2792095</wp:posOffset>
            </wp:positionV>
            <wp:extent cx="7148195" cy="136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-2526030</wp:posOffset>
            </wp:positionV>
            <wp:extent cx="7148195" cy="1212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-2268220</wp:posOffset>
            </wp:positionV>
            <wp:extent cx="714819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48195" cy="12890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-2018030</wp:posOffset>
            </wp:positionV>
            <wp:extent cx="7148195" cy="136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-1722120</wp:posOffset>
            </wp:positionV>
            <wp:extent cx="7148195" cy="144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48195" cy="14414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-1418590</wp:posOffset>
            </wp:positionV>
            <wp:extent cx="7148195" cy="144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48195" cy="14414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-1152525</wp:posOffset>
            </wp:positionV>
            <wp:extent cx="7148195" cy="1212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-871855</wp:posOffset>
            </wp:positionV>
            <wp:extent cx="7148195" cy="144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48195" cy="144145"/>
                    </a:xfrm>
                    <a:prstGeom prst="rect">
                      <a:avLst/>
                    </a:prstGeom>
                    <a:noFill/>
                  </pic:spPr>
                </pic:pic>
              </a:graphicData>
            </a:graphic>
          </wp:anchor>
        </w:drawing>
        <w:drawing>
          <wp:anchor simplePos="0" relativeHeight="251657728" behindDoc="1" locked="0" layoutInCell="0" allowOverlap="1">
            <wp:simplePos x="0" y="0"/>
            <wp:positionH relativeFrom="column">
              <wp:posOffset>-2376805</wp:posOffset>
            </wp:positionH>
            <wp:positionV relativeFrom="paragraph">
              <wp:posOffset>-568325</wp:posOffset>
            </wp:positionV>
            <wp:extent cx="7148195" cy="144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343" w:lineRule="exact"/>
        <w:rPr>
          <w:sz w:val="20"/>
          <w:szCs w:val="20"/>
          <w:color w:val="auto"/>
        </w:rPr>
      </w:pPr>
    </w:p>
    <w:p>
      <w:pPr>
        <w:ind w:left="184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-2376805</wp:posOffset>
            </wp:positionH>
            <wp:positionV relativeFrom="paragraph">
              <wp:posOffset>10160</wp:posOffset>
            </wp:positionV>
            <wp:extent cx="7148195" cy="152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2">
            <w:col w:w="3020" w:space="720"/>
            <w:col w:w="7400"/>
          </w:cols>
          <w:pgMar w:left="320" w:top="816" w:right="439" w:bottom="1440" w:gutter="0" w:footer="0" w:header="0"/>
        </w:sectPr>
      </w:pPr>
    </w:p>
    <w:bookmarkStart w:id="10" w:name="page11"/>
    <w:bookmarkEnd w:id="10"/>
    <w:p>
      <w:pPr>
        <w:spacing w:after="0" w:line="60"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RECONCILATION OF GAAP TO NON-GAAP CONSOLIDATED STATEMENTS OF OPERATIONS</w:t>
      </w:r>
    </w:p>
    <w:p>
      <w:pPr>
        <w:spacing w:after="0" w:line="7" w:lineRule="exact"/>
        <w:rPr>
          <w:sz w:val="20"/>
          <w:szCs w:val="20"/>
          <w:color w:val="auto"/>
        </w:rPr>
      </w:pPr>
    </w:p>
    <w:p>
      <w:pPr>
        <w:jc w:val="center"/>
        <w:ind w:right="16"/>
        <w:spacing w:after="0"/>
        <w:rPr>
          <w:sz w:val="20"/>
          <w:szCs w:val="20"/>
          <w:color w:val="auto"/>
        </w:rPr>
      </w:pPr>
      <w:r>
        <w:rPr>
          <w:rFonts w:ascii="Arial" w:cs="Arial" w:eastAsia="Arial" w:hAnsi="Arial"/>
          <w:sz w:val="16"/>
          <w:szCs w:val="16"/>
          <w:color w:val="auto"/>
        </w:rPr>
        <w:t>(U.S. dollars in thousands, except share and per share data)</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203"/>
        </w:trPr>
        <w:tc>
          <w:tcPr>
            <w:tcW w:w="622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6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22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rPr>
              <w:t>2022</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2021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41"/>
              <w:spacing w:after="0"/>
              <w:rPr>
                <w:sz w:val="20"/>
                <w:szCs w:val="20"/>
                <w:color w:val="auto"/>
              </w:rPr>
            </w:pPr>
            <w:r>
              <w:rPr>
                <w:rFonts w:ascii="Arial" w:cs="Arial" w:eastAsia="Arial" w:hAnsi="Arial"/>
                <w:sz w:val="16"/>
                <w:szCs w:val="16"/>
                <w:b w:val="1"/>
                <w:bCs w:val="1"/>
                <w:color w:val="auto"/>
                <w:w w:val="92"/>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Revenues</w:t>
            </w:r>
          </w:p>
        </w:tc>
        <w:tc>
          <w:tcPr>
            <w:tcW w:w="2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83,293</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66,123</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GAAP cost of revenues</w:t>
            </w:r>
          </w:p>
        </w:tc>
        <w:tc>
          <w:tcPr>
            <w:tcW w:w="2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49,891</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35,713</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Arial" w:cs="Arial" w:eastAsia="Arial" w:hAnsi="Arial"/>
                <w:sz w:val="16"/>
                <w:szCs w:val="16"/>
                <w:color w:val="auto"/>
              </w:rPr>
              <w:t>Cost of product recorded for share-based compensation (1)</w:t>
            </w: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(449)</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(299)</w:t>
            </w:r>
          </w:p>
        </w:tc>
        <w:tc>
          <w:tcPr>
            <w:tcW w:w="0" w:type="dxa"/>
            <w:vAlign w:val="bottom"/>
          </w:tcPr>
          <w:p>
            <w:pPr>
              <w:spacing w:after="0"/>
              <w:rPr>
                <w:sz w:val="1"/>
                <w:szCs w:val="1"/>
                <w:color w:val="auto"/>
              </w:rPr>
            </w:pPr>
          </w:p>
        </w:tc>
      </w:tr>
      <w:tr>
        <w:trPr>
          <w:trHeight w:val="191"/>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 recorded for share-based compensation (1)</w:t>
            </w:r>
          </w:p>
        </w:tc>
        <w:tc>
          <w:tcPr>
            <w:tcW w:w="2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(385)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Arial" w:cs="Arial" w:eastAsia="Arial" w:hAnsi="Arial"/>
                <w:sz w:val="16"/>
                <w:szCs w:val="16"/>
                <w:color w:val="auto"/>
              </w:rPr>
              <w:t>Intangible assets amortization on cost of product (3)</w:t>
            </w: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(173)</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on cost of service (3)</w:t>
            </w: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(160)</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(160)</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cost of revenues</w:t>
            </w:r>
          </w:p>
        </w:tc>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220" w:type="dxa"/>
            <w:vAlign w:val="bottom"/>
            <w:vMerge w:val="continue"/>
          </w:tcPr>
          <w:p>
            <w:pPr>
              <w:spacing w:after="0"/>
              <w:rPr>
                <w:sz w:val="21"/>
                <w:szCs w:val="21"/>
                <w:color w:val="auto"/>
              </w:rPr>
            </w:pPr>
          </w:p>
        </w:tc>
        <w:tc>
          <w:tcPr>
            <w:tcW w:w="2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48,724</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34,996</w:t>
            </w:r>
          </w:p>
        </w:tc>
        <w:tc>
          <w:tcPr>
            <w:tcW w:w="0" w:type="dxa"/>
            <w:vAlign w:val="bottom"/>
          </w:tcPr>
          <w:p>
            <w:pPr>
              <w:spacing w:after="0"/>
              <w:rPr>
                <w:sz w:val="1"/>
                <w:szCs w:val="1"/>
                <w:color w:val="auto"/>
              </w:rPr>
            </w:pPr>
          </w:p>
        </w:tc>
      </w:tr>
      <w:tr>
        <w:trPr>
          <w:trHeight w:val="187"/>
        </w:trPr>
        <w:tc>
          <w:tcPr>
            <w:tcW w:w="622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Arial" w:cs="Arial" w:eastAsia="Arial" w:hAnsi="Arial"/>
                <w:sz w:val="16"/>
                <w:szCs w:val="16"/>
                <w:color w:val="auto"/>
              </w:rPr>
              <w:t>GAAP gross profit</w:t>
            </w:r>
          </w:p>
        </w:tc>
        <w:tc>
          <w:tcPr>
            <w:tcW w:w="2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33,402</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30,410</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Gross profit adjustments</w:t>
            </w: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1,167</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717</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gross profit</w:t>
            </w:r>
          </w:p>
        </w:tc>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220" w:type="dxa"/>
            <w:vAlign w:val="bottom"/>
            <w:vMerge w:val="continue"/>
          </w:tcPr>
          <w:p>
            <w:pPr>
              <w:spacing w:after="0"/>
              <w:rPr>
                <w:sz w:val="21"/>
                <w:szCs w:val="21"/>
                <w:color w:val="auto"/>
              </w:rPr>
            </w:pPr>
          </w:p>
        </w:tc>
        <w:tc>
          <w:tcPr>
            <w:tcW w:w="2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34,569</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31,127</w:t>
            </w:r>
          </w:p>
        </w:tc>
        <w:tc>
          <w:tcPr>
            <w:tcW w:w="0" w:type="dxa"/>
            <w:vAlign w:val="bottom"/>
          </w:tcPr>
          <w:p>
            <w:pPr>
              <w:spacing w:after="0"/>
              <w:rPr>
                <w:sz w:val="1"/>
                <w:szCs w:val="1"/>
                <w:color w:val="auto"/>
              </w:rPr>
            </w:pPr>
          </w:p>
        </w:tc>
      </w:tr>
      <w:tr>
        <w:trPr>
          <w:trHeight w:val="187"/>
        </w:trPr>
        <w:tc>
          <w:tcPr>
            <w:tcW w:w="622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Arial" w:cs="Arial" w:eastAsia="Arial" w:hAnsi="Arial"/>
                <w:sz w:val="16"/>
                <w:szCs w:val="16"/>
                <w:color w:val="auto"/>
              </w:rPr>
              <w:t>GAAP operating expenses</w:t>
            </w:r>
          </w:p>
        </w:tc>
        <w:tc>
          <w:tcPr>
            <w:tcW w:w="2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40,307</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27,301</w:t>
            </w:r>
          </w:p>
        </w:tc>
        <w:tc>
          <w:tcPr>
            <w:tcW w:w="0" w:type="dxa"/>
            <w:vAlign w:val="bottom"/>
          </w:tcPr>
          <w:p>
            <w:pPr>
              <w:spacing w:after="0"/>
              <w:rPr>
                <w:sz w:val="1"/>
                <w:szCs w:val="1"/>
                <w:color w:val="auto"/>
              </w:rPr>
            </w:pPr>
          </w:p>
        </w:tc>
      </w:tr>
      <w:tr>
        <w:trPr>
          <w:trHeight w:val="191"/>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(1)</w:t>
            </w:r>
          </w:p>
        </w:tc>
        <w:tc>
          <w:tcPr>
            <w:tcW w:w="2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(4,464)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(2,540)</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Arial" w:cs="Arial" w:eastAsia="Arial" w:hAnsi="Arial"/>
                <w:sz w:val="16"/>
                <w:szCs w:val="16"/>
                <w:color w:val="auto"/>
              </w:rPr>
              <w:t>Acquisition related expenses (2)</w:t>
            </w: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(512)</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(3)</w:t>
            </w: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(86)</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operating expenses</w:t>
            </w:r>
          </w:p>
        </w:tc>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220" w:type="dxa"/>
            <w:vAlign w:val="bottom"/>
            <w:vMerge w:val="continue"/>
          </w:tcPr>
          <w:p>
            <w:pPr>
              <w:spacing w:after="0"/>
              <w:rPr>
                <w:sz w:val="21"/>
                <w:szCs w:val="21"/>
                <w:color w:val="auto"/>
              </w:rPr>
            </w:pPr>
          </w:p>
        </w:tc>
        <w:tc>
          <w:tcPr>
            <w:tcW w:w="2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35,245</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24,642</w:t>
            </w:r>
          </w:p>
        </w:tc>
        <w:tc>
          <w:tcPr>
            <w:tcW w:w="0" w:type="dxa"/>
            <w:vAlign w:val="bottom"/>
          </w:tcPr>
          <w:p>
            <w:pPr>
              <w:spacing w:after="0"/>
              <w:rPr>
                <w:sz w:val="1"/>
                <w:szCs w:val="1"/>
                <w:color w:val="auto"/>
              </w:rPr>
            </w:pPr>
          </w:p>
        </w:tc>
      </w:tr>
      <w:tr>
        <w:trPr>
          <w:trHeight w:val="187"/>
        </w:trPr>
        <w:tc>
          <w:tcPr>
            <w:tcW w:w="622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Arial" w:cs="Arial" w:eastAsia="Arial" w:hAnsi="Arial"/>
                <w:sz w:val="16"/>
                <w:szCs w:val="16"/>
                <w:color w:val="auto"/>
              </w:rPr>
              <w:t>GAAP Financial income (expenses), net</w:t>
            </w:r>
          </w:p>
        </w:tc>
        <w:tc>
          <w:tcPr>
            <w:tcW w:w="2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1,799</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2,065</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losses associated with ASC 842</w:t>
            </w: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(649)</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Financial income , net</w:t>
            </w:r>
          </w:p>
        </w:tc>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220" w:type="dxa"/>
            <w:vAlign w:val="bottom"/>
            <w:vMerge w:val="continue"/>
          </w:tcPr>
          <w:p>
            <w:pPr>
              <w:spacing w:after="0"/>
              <w:rPr>
                <w:sz w:val="21"/>
                <w:szCs w:val="21"/>
                <w:color w:val="auto"/>
              </w:rPr>
            </w:pPr>
          </w:p>
        </w:tc>
        <w:tc>
          <w:tcPr>
            <w:tcW w:w="2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1,150</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187"/>
        </w:trPr>
        <w:tc>
          <w:tcPr>
            <w:tcW w:w="622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Arial" w:cs="Arial" w:eastAsia="Arial" w:hAnsi="Arial"/>
                <w:sz w:val="16"/>
                <w:szCs w:val="16"/>
                <w:color w:val="auto"/>
              </w:rPr>
              <w:t>GAAP Taxes on income (benefit)</w:t>
            </w:r>
          </w:p>
        </w:tc>
        <w:tc>
          <w:tcPr>
            <w:tcW w:w="2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91</w:t>
            </w:r>
          </w:p>
        </w:tc>
        <w:tc>
          <w:tcPr>
            <w:tcW w:w="240" w:type="dxa"/>
            <w:vAlign w:val="bottom"/>
          </w:tcPr>
          <w:p>
            <w:pPr>
              <w:spacing w:after="0"/>
              <w:rPr>
                <w:sz w:val="16"/>
                <w:szCs w:val="16"/>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Tax effect on to the above non-GAAP adjustments</w:t>
            </w:r>
          </w:p>
        </w:tc>
        <w:tc>
          <w:tcPr>
            <w:tcW w:w="2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327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3"/>
        </w:trPr>
        <w:tc>
          <w:tcPr>
            <w:tcW w:w="6220" w:type="dxa"/>
            <w:vAlign w:val="bottom"/>
          </w:tcPr>
          <w:p>
            <w:pPr>
              <w:spacing w:after="0"/>
              <w:rPr>
                <w:sz w:val="20"/>
                <w:szCs w:val="20"/>
                <w:color w:val="auto"/>
              </w:rPr>
            </w:pPr>
            <w:r>
              <w:rPr>
                <w:rFonts w:ascii="Arial" w:cs="Arial" w:eastAsia="Arial" w:hAnsi="Arial"/>
                <w:sz w:val="16"/>
                <w:szCs w:val="16"/>
                <w:color w:val="auto"/>
              </w:rPr>
              <w:t>Deferred tax benefit based on an Israeli statutory tax rate</w:t>
            </w:r>
          </w:p>
        </w:tc>
        <w:tc>
          <w:tcPr>
            <w:tcW w:w="2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(110)</w:t>
            </w:r>
          </w:p>
        </w:tc>
        <w:tc>
          <w:tcPr>
            <w:tcW w:w="34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4"/>
        </w:trPr>
        <w:tc>
          <w:tcPr>
            <w:tcW w:w="622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Taxes on income (benefit)</w:t>
            </w:r>
          </w:p>
        </w:tc>
        <w:tc>
          <w:tcPr>
            <w:tcW w:w="24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220" w:type="dxa"/>
            <w:vAlign w:val="bottom"/>
            <w:vMerge w:val="continue"/>
            <w:shd w:val="clear" w:color="auto" w:fill="CCEEFF"/>
          </w:tcPr>
          <w:p>
            <w:pPr>
              <w:spacing w:after="0"/>
              <w:rPr>
                <w:sz w:val="19"/>
                <w:szCs w:val="19"/>
                <w:color w:val="auto"/>
              </w:rPr>
            </w:pPr>
          </w:p>
        </w:tc>
        <w:tc>
          <w:tcPr>
            <w:tcW w:w="2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308</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2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GAAP net income (loss)</w:t>
            </w:r>
          </w:p>
        </w:tc>
        <w:tc>
          <w:tcPr>
            <w:tcW w:w="27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(5,197)</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5,099</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Arial" w:cs="Arial" w:eastAsia="Arial" w:hAnsi="Arial"/>
                <w:sz w:val="16"/>
                <w:szCs w:val="16"/>
                <w:color w:val="auto"/>
              </w:rPr>
              <w:t>Share-based compensation (1)</w:t>
            </w: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5,298</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3,072</w:t>
            </w:r>
          </w:p>
        </w:tc>
        <w:tc>
          <w:tcPr>
            <w:tcW w:w="0" w:type="dxa"/>
            <w:vAlign w:val="bottom"/>
          </w:tcPr>
          <w:p>
            <w:pPr>
              <w:spacing w:after="0"/>
              <w:rPr>
                <w:sz w:val="1"/>
                <w:szCs w:val="1"/>
                <w:color w:val="auto"/>
              </w:rPr>
            </w:pPr>
          </w:p>
        </w:tc>
      </w:tr>
      <w:tr>
        <w:trPr>
          <w:trHeight w:val="191"/>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Acquisition related expenses (2)</w:t>
            </w:r>
          </w:p>
        </w:tc>
        <w:tc>
          <w:tcPr>
            <w:tcW w:w="2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512</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Arial" w:cs="Arial" w:eastAsia="Arial" w:hAnsi="Arial"/>
                <w:sz w:val="16"/>
                <w:szCs w:val="16"/>
                <w:color w:val="auto"/>
              </w:rPr>
              <w:t>Intangible assets amortization (3)</w:t>
            </w: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419</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304</w:t>
            </w:r>
          </w:p>
        </w:tc>
        <w:tc>
          <w:tcPr>
            <w:tcW w:w="0" w:type="dxa"/>
            <w:vAlign w:val="bottom"/>
          </w:tcPr>
          <w:p>
            <w:pPr>
              <w:spacing w:after="0"/>
              <w:rPr>
                <w:sz w:val="1"/>
                <w:szCs w:val="1"/>
                <w:color w:val="auto"/>
              </w:rPr>
            </w:pPr>
          </w:p>
        </w:tc>
      </w:tr>
      <w:tr>
        <w:trPr>
          <w:trHeight w:val="191"/>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Foreign exchange losses associated with ASC 842</w:t>
            </w:r>
          </w:p>
        </w:tc>
        <w:tc>
          <w:tcPr>
            <w:tcW w:w="2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(649)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(802)</w:t>
            </w: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Arial" w:cs="Arial" w:eastAsia="Arial" w:hAnsi="Arial"/>
                <w:sz w:val="16"/>
                <w:szCs w:val="16"/>
                <w:color w:val="auto"/>
              </w:rPr>
              <w:t>Tax effect of the above non-GAAP adjustments</w:t>
            </w: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(327)</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3"/>
        </w:trPr>
        <w:tc>
          <w:tcPr>
            <w:tcW w:w="6220" w:type="dxa"/>
            <w:vAlign w:val="bottom"/>
            <w:shd w:val="clear" w:color="auto" w:fill="CCEEFF"/>
          </w:tcPr>
          <w:p>
            <w:pPr>
              <w:spacing w:after="0"/>
              <w:rPr>
                <w:sz w:val="20"/>
                <w:szCs w:val="20"/>
                <w:color w:val="auto"/>
              </w:rPr>
            </w:pPr>
            <w:r>
              <w:rPr>
                <w:rFonts w:ascii="Arial" w:cs="Arial" w:eastAsia="Arial" w:hAnsi="Arial"/>
                <w:sz w:val="16"/>
                <w:szCs w:val="16"/>
                <w:color w:val="auto"/>
              </w:rPr>
              <w:t>Deferred tax benefit at the Israeli statutory tax rate</w:t>
            </w:r>
          </w:p>
        </w:tc>
        <w:tc>
          <w:tcPr>
            <w:tcW w:w="2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110</w:t>
            </w:r>
          </w:p>
        </w:tc>
        <w:tc>
          <w:tcPr>
            <w:tcW w:w="3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248</w:t>
            </w: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net income</w:t>
            </w:r>
          </w:p>
        </w:tc>
        <w:tc>
          <w:tcPr>
            <w:tcW w:w="2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220" w:type="dxa"/>
            <w:vAlign w:val="bottom"/>
            <w:vMerge w:val="continue"/>
          </w:tcPr>
          <w:p>
            <w:pPr>
              <w:spacing w:after="0"/>
              <w:rPr>
                <w:sz w:val="21"/>
                <w:szCs w:val="21"/>
                <w:color w:val="auto"/>
              </w:rPr>
            </w:pPr>
          </w:p>
        </w:tc>
        <w:tc>
          <w:tcPr>
            <w:tcW w:w="2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166</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7,730</w:t>
            </w:r>
          </w:p>
        </w:tc>
        <w:tc>
          <w:tcPr>
            <w:tcW w:w="0" w:type="dxa"/>
            <w:vAlign w:val="bottom"/>
          </w:tcPr>
          <w:p>
            <w:pPr>
              <w:spacing w:after="0"/>
              <w:rPr>
                <w:sz w:val="1"/>
                <w:szCs w:val="1"/>
                <w:color w:val="auto"/>
              </w:rPr>
            </w:pPr>
          </w:p>
        </w:tc>
      </w:tr>
      <w:tr>
        <w:trPr>
          <w:trHeight w:val="187"/>
        </w:trPr>
        <w:tc>
          <w:tcPr>
            <w:tcW w:w="622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6220" w:type="dxa"/>
            <w:vAlign w:val="bottom"/>
          </w:tcPr>
          <w:p>
            <w:pPr>
              <w:spacing w:after="0"/>
              <w:rPr>
                <w:sz w:val="20"/>
                <w:szCs w:val="20"/>
                <w:color w:val="auto"/>
              </w:rPr>
            </w:pPr>
            <w:r>
              <w:rPr>
                <w:rFonts w:ascii="Arial" w:cs="Arial" w:eastAsia="Arial" w:hAnsi="Arial"/>
                <w:sz w:val="16"/>
                <w:szCs w:val="16"/>
                <w:color w:val="auto"/>
              </w:rPr>
              <w:t>GAAP diluted earning (loss) per share</w:t>
            </w:r>
          </w:p>
        </w:tc>
        <w:tc>
          <w:tcPr>
            <w:tcW w:w="2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180"/>
              <w:spacing w:after="0" w:line="227" w:lineRule="exact"/>
              <w:rPr>
                <w:sz w:val="20"/>
                <w:szCs w:val="20"/>
                <w:color w:val="auto"/>
              </w:rPr>
            </w:pPr>
            <w:r>
              <w:rPr>
                <w:rFonts w:ascii="Arial" w:cs="Arial" w:eastAsia="Arial" w:hAnsi="Arial"/>
                <w:sz w:val="14"/>
                <w:szCs w:val="14"/>
                <w:color w:val="auto"/>
              </w:rPr>
              <w:t>(0.10</w:t>
            </w:r>
            <w:r>
              <w:rPr>
                <w:rFonts w:ascii="Arial" w:cs="Arial" w:eastAsia="Arial" w:hAnsi="Arial"/>
                <w:sz w:val="26"/>
                <w:szCs w:val="26"/>
                <w:color w:val="auto"/>
                <w:vertAlign w:val="superscript"/>
              </w:rPr>
              <w:t>)</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0.11</w:t>
            </w:r>
          </w:p>
        </w:tc>
        <w:tc>
          <w:tcPr>
            <w:tcW w:w="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622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6220" w:type="dxa"/>
            <w:vAlign w:val="bottom"/>
          </w:tcPr>
          <w:p>
            <w:pPr>
              <w:spacing w:after="0"/>
              <w:rPr>
                <w:sz w:val="20"/>
                <w:szCs w:val="20"/>
                <w:color w:val="auto"/>
              </w:rPr>
            </w:pPr>
            <w:r>
              <w:rPr>
                <w:rFonts w:ascii="Arial" w:cs="Arial" w:eastAsia="Arial" w:hAnsi="Arial"/>
                <w:sz w:val="16"/>
                <w:szCs w:val="16"/>
                <w:color w:val="auto"/>
              </w:rPr>
              <w:t>Non-GAAP diluted earning per share</w:t>
            </w:r>
          </w:p>
        </w:tc>
        <w:tc>
          <w:tcPr>
            <w:tcW w:w="27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0.00</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0.16</w:t>
            </w:r>
          </w:p>
        </w:tc>
        <w:tc>
          <w:tcPr>
            <w:tcW w:w="0" w:type="dxa"/>
            <w:vAlign w:val="bottom"/>
          </w:tcPr>
          <w:p>
            <w:pPr>
              <w:spacing w:after="0"/>
              <w:rPr>
                <w:sz w:val="1"/>
                <w:szCs w:val="1"/>
                <w:color w:val="auto"/>
              </w:rPr>
            </w:pPr>
          </w:p>
        </w:tc>
      </w:tr>
      <w:tr>
        <w:trPr>
          <w:trHeight w:val="187"/>
        </w:trPr>
        <w:tc>
          <w:tcPr>
            <w:tcW w:w="6220" w:type="dxa"/>
            <w:vAlign w:val="bottom"/>
            <w:tcBorders>
              <w:top w:val="single" w:sz="8" w:color="CCEEFF"/>
            </w:tcBorders>
            <w:shd w:val="clear" w:color="auto" w:fill="CCEEFF"/>
          </w:tcPr>
          <w:p>
            <w:pPr>
              <w:spacing w:after="0"/>
              <w:rPr>
                <w:sz w:val="16"/>
                <w:szCs w:val="16"/>
                <w:color w:val="auto"/>
              </w:rPr>
            </w:pPr>
          </w:p>
        </w:tc>
        <w:tc>
          <w:tcPr>
            <w:tcW w:w="246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20" w:type="dxa"/>
            <w:vAlign w:val="bottom"/>
          </w:tcPr>
          <w:p>
            <w:pPr>
              <w:spacing w:after="0"/>
              <w:rPr>
                <w:sz w:val="20"/>
                <w:szCs w:val="20"/>
                <w:color w:val="auto"/>
              </w:rPr>
            </w:pPr>
            <w:r>
              <w:rPr>
                <w:rFonts w:ascii="Arial" w:cs="Arial" w:eastAsia="Arial" w:hAnsi="Arial"/>
                <w:sz w:val="16"/>
                <w:szCs w:val="16"/>
                <w:color w:val="auto"/>
              </w:rPr>
              <w:t>Weighted average number of shares</w:t>
            </w:r>
          </w:p>
        </w:tc>
        <w:tc>
          <w:tcPr>
            <w:tcW w:w="2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220" w:type="dxa"/>
            <w:vAlign w:val="bottom"/>
            <w:shd w:val="clear" w:color="auto" w:fill="CCEEFF"/>
          </w:tcPr>
          <w:p>
            <w:pPr>
              <w:spacing w:after="0"/>
              <w:rPr>
                <w:sz w:val="16"/>
                <w:szCs w:val="16"/>
                <w:color w:val="auto"/>
              </w:rPr>
            </w:pPr>
          </w:p>
        </w:tc>
        <w:tc>
          <w:tcPr>
            <w:tcW w:w="2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99" w:orient="portrait"/>
          <w:cols w:equalWidth="0" w:num="1">
            <w:col w:w="11264"/>
          </w:cols>
          <w:pgMar w:left="316" w:top="816" w:right="319" w:bottom="0" w:gutter="0" w:footer="0" w:header="0"/>
        </w:sectPr>
      </w:pPr>
    </w:p>
    <w:p>
      <w:pPr>
        <w:ind w:left="4"/>
        <w:spacing w:after="0"/>
        <w:rPr>
          <w:sz w:val="20"/>
          <w:szCs w:val="20"/>
          <w:color w:val="auto"/>
        </w:rPr>
      </w:pPr>
      <w:r>
        <w:rPr>
          <w:rFonts w:ascii="Arial" w:cs="Arial" w:eastAsia="Arial" w:hAnsi="Arial"/>
          <w:sz w:val="15"/>
          <w:szCs w:val="15"/>
          <w:color w:val="auto"/>
        </w:rPr>
        <w:t>Shares used in computing GAAP diluted net earning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49530</wp:posOffset>
            </wp:positionV>
            <wp:extent cx="7148195" cy="144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73" w:lineRule="exact"/>
        <w:rPr>
          <w:sz w:val="20"/>
          <w:szCs w:val="20"/>
          <w:color w:val="auto"/>
        </w:rPr>
      </w:pPr>
    </w:p>
    <w:p>
      <w:pPr>
        <w:ind w:left="4"/>
        <w:spacing w:after="0"/>
        <w:rPr>
          <w:sz w:val="20"/>
          <w:szCs w:val="20"/>
          <w:color w:val="auto"/>
        </w:rPr>
      </w:pPr>
      <w:r>
        <w:rPr>
          <w:rFonts w:ascii="Arial" w:cs="Arial" w:eastAsia="Arial" w:hAnsi="Arial"/>
          <w:sz w:val="14"/>
          <w:szCs w:val="14"/>
          <w:color w:val="auto"/>
        </w:rPr>
        <w:t>Shares used in computing Non-GAAP diluted net earning (loss)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64770</wp:posOffset>
            </wp:positionV>
            <wp:extent cx="7148195" cy="144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spacing w:after="0" w:line="297" w:lineRule="exact"/>
        <w:rPr>
          <w:sz w:val="20"/>
          <w:szCs w:val="20"/>
          <w:color w:val="auto"/>
        </w:rPr>
      </w:pPr>
    </w:p>
    <w:p>
      <w:pPr>
        <w:ind w:left="284" w:right="5960" w:hanging="284"/>
        <w:spacing w:after="0" w:line="294" w:lineRule="auto"/>
        <w:tabs>
          <w:tab w:leader="none" w:pos="223" w:val="left"/>
        </w:tabs>
        <w:numPr>
          <w:ilvl w:val="0"/>
          <w:numId w:val="3"/>
        </w:numPr>
        <w:rPr>
          <w:rFonts w:ascii="Arial" w:cs="Arial" w:eastAsia="Arial" w:hAnsi="Arial"/>
          <w:sz w:val="14"/>
          <w:szCs w:val="14"/>
          <w:color w:val="auto"/>
        </w:rPr>
      </w:pPr>
      <w:r>
        <w:rPr>
          <w:rFonts w:ascii="Arial" w:cs="Arial" w:eastAsia="Arial" w:hAnsi="Arial"/>
          <w:sz w:val="14"/>
          <w:szCs w:val="14"/>
          <w:color w:val="auto"/>
        </w:rPr>
        <w:t>Share-based compensation Cost of product revenues Cost of service revenues Research and development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-495935</wp:posOffset>
            </wp:positionV>
            <wp:extent cx="7148195" cy="1212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-253365</wp:posOffset>
            </wp:positionV>
            <wp:extent cx="7148195" cy="1212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8"/>
        </w:trPr>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49,658,028</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47,568,215</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418"/>
        </w:trPr>
        <w:tc>
          <w:tcPr>
            <w:tcW w:w="24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50,955,776</w:t>
            </w:r>
          </w:p>
        </w:tc>
        <w:tc>
          <w:tcPr>
            <w:tcW w:w="2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47,692,101</w:t>
            </w:r>
          </w:p>
        </w:tc>
      </w:tr>
      <w:tr>
        <w:trPr>
          <w:trHeight w:val="20"/>
        </w:trPr>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557"/>
        </w:trPr>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449</w:t>
            </w: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299</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385</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233</w:t>
            </w:r>
          </w:p>
        </w:tc>
      </w:tr>
      <w:tr>
        <w:trPr>
          <w:trHeight w:val="191"/>
        </w:trPr>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1,189</w:t>
            </w:r>
          </w:p>
        </w:tc>
        <w:tc>
          <w:tcPr>
            <w:tcW w:w="2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502</w:t>
            </w:r>
          </w:p>
        </w:tc>
      </w:tr>
      <w:tr>
        <w:trPr>
          <w:trHeight w:val="202"/>
        </w:trPr>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1,809</w:t>
            </w:r>
          </w:p>
        </w:tc>
        <w:tc>
          <w:tcPr>
            <w:tcW w:w="2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1,072</w:t>
            </w:r>
          </w:p>
        </w:tc>
      </w:tr>
    </w:tbl>
    <w:p>
      <w:pPr>
        <w:spacing w:after="0" w:line="20" w:lineRule="exact"/>
        <w:rPr>
          <w:sz w:val="20"/>
          <w:szCs w:val="20"/>
          <w:color w:val="auto"/>
        </w:rPr>
      </w:pPr>
    </w:p>
    <w:p>
      <w:pPr>
        <w:sectPr>
          <w:pgSz w:w="11900" w:h="16899" w:orient="portrait"/>
          <w:cols w:equalWidth="0" w:num="2">
            <w:col w:w="7964" w:space="720"/>
            <w:col w:w="2580"/>
          </w:cols>
          <w:pgMar w:left="316" w:top="816" w:right="319" w:bottom="0" w:gutter="0" w:footer="0" w:header="0"/>
          <w:type w:val="continuous"/>
        </w:sectPr>
      </w:pPr>
    </w:p>
    <w:tbl>
      <w:tblPr>
        <w:tblLayout w:type="fixed"/>
        <w:tblInd w:w="4" w:type="dxa"/>
        <w:tblCellMar>
          <w:top w:w="0" w:type="dxa"/>
          <w:left w:w="0" w:type="dxa"/>
          <w:bottom w:w="0" w:type="dxa"/>
          <w:right w:w="0" w:type="dxa"/>
        </w:tblCellMar>
      </w:tblPr>
      <w:tr>
        <w:trPr>
          <w:trHeight w:val="205"/>
        </w:trPr>
        <w:tc>
          <w:tcPr>
            <w:tcW w:w="5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3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1,466</w:t>
            </w:r>
          </w:p>
        </w:tc>
        <w:tc>
          <w:tcPr>
            <w:tcW w:w="40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966</w:t>
            </w:r>
          </w:p>
        </w:tc>
        <w:tc>
          <w:tcPr>
            <w:tcW w:w="100" w:type="dxa"/>
            <w:vAlign w:val="bottom"/>
            <w:shd w:val="clear" w:color="auto" w:fill="CCEEFF"/>
          </w:tcPr>
          <w:p>
            <w:pPr>
              <w:spacing w:after="0"/>
              <w:rPr>
                <w:sz w:val="17"/>
                <w:szCs w:val="17"/>
                <w:color w:val="auto"/>
              </w:rPr>
            </w:pPr>
          </w:p>
        </w:tc>
      </w:tr>
      <w:tr>
        <w:trPr>
          <w:trHeight w:val="179"/>
        </w:trPr>
        <w:tc>
          <w:tcPr>
            <w:tcW w:w="5400" w:type="dxa"/>
            <w:vAlign w:val="bottom"/>
            <w:tcBorders>
              <w:top w:val="single" w:sz="8" w:color="CCEEFF"/>
              <w:bottom w:val="single" w:sz="8" w:color="CCEEFF"/>
            </w:tcBorders>
          </w:tcPr>
          <w:p>
            <w:pPr>
              <w:spacing w:after="0"/>
              <w:rPr>
                <w:sz w:val="15"/>
                <w:szCs w:val="15"/>
                <w:color w:val="auto"/>
              </w:rPr>
            </w:pPr>
          </w:p>
        </w:tc>
        <w:tc>
          <w:tcPr>
            <w:tcW w:w="3280" w:type="dxa"/>
            <w:vAlign w:val="bottom"/>
            <w:tcBorders>
              <w:top w:val="single" w:sz="8" w:color="CCEEFF"/>
              <w:bottom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5,298</w:t>
            </w:r>
          </w:p>
        </w:tc>
        <w:tc>
          <w:tcPr>
            <w:tcW w:w="240" w:type="dxa"/>
            <w:vAlign w:val="bottom"/>
            <w:tcBorders>
              <w:top w:val="single" w:sz="8" w:color="CCEEFF"/>
              <w:bottom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3,072</w:t>
            </w:r>
          </w:p>
        </w:tc>
        <w:tc>
          <w:tcPr>
            <w:tcW w:w="20" w:type="dxa"/>
            <w:vAlign w:val="bottom"/>
            <w:tcBorders>
              <w:top w:val="single" w:sz="8" w:color="CCEEFF"/>
              <w:bottom w:val="single" w:sz="8" w:color="CCEEFF"/>
            </w:tcBorders>
          </w:tcPr>
          <w:p>
            <w:pPr>
              <w:spacing w:after="0"/>
              <w:rPr>
                <w:sz w:val="15"/>
                <w:szCs w:val="15"/>
                <w:color w:val="auto"/>
              </w:rPr>
            </w:pPr>
          </w:p>
        </w:tc>
        <w:tc>
          <w:tcPr>
            <w:tcW w:w="100" w:type="dxa"/>
            <w:vAlign w:val="bottom"/>
            <w:tcBorders>
              <w:top w:val="single" w:sz="8" w:color="CCEEFF"/>
              <w:bottom w:val="single" w:sz="8" w:color="CCEEFF"/>
            </w:tcBorders>
          </w:tcPr>
          <w:p>
            <w:pPr>
              <w:spacing w:after="0"/>
              <w:rPr>
                <w:sz w:val="15"/>
                <w:szCs w:val="15"/>
                <w:color w:val="auto"/>
              </w:rPr>
            </w:pPr>
          </w:p>
        </w:tc>
      </w:tr>
      <w:tr>
        <w:trPr>
          <w:trHeight w:val="191"/>
        </w:trPr>
        <w:tc>
          <w:tcPr>
            <w:tcW w:w="5400" w:type="dxa"/>
            <w:vAlign w:val="bottom"/>
            <w:shd w:val="clear" w:color="auto" w:fill="CCEEFF"/>
          </w:tcPr>
          <w:p>
            <w:pPr>
              <w:spacing w:after="0"/>
              <w:rPr>
                <w:sz w:val="20"/>
                <w:szCs w:val="20"/>
                <w:color w:val="auto"/>
              </w:rPr>
            </w:pPr>
            <w:r>
              <w:rPr>
                <w:rFonts w:ascii="Arial" w:cs="Arial" w:eastAsia="Arial" w:hAnsi="Arial"/>
                <w:sz w:val="16"/>
                <w:szCs w:val="16"/>
                <w:color w:val="auto"/>
              </w:rPr>
              <w:t>(2) Acquisition related expenses</w:t>
            </w:r>
          </w:p>
        </w:tc>
        <w:tc>
          <w:tcPr>
            <w:tcW w:w="32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07"/>
        </w:trPr>
        <w:tc>
          <w:tcPr>
            <w:tcW w:w="540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3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512</w:t>
            </w:r>
          </w:p>
        </w:tc>
        <w:tc>
          <w:tcPr>
            <w:tcW w:w="4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1"/>
        </w:trPr>
        <w:tc>
          <w:tcPr>
            <w:tcW w:w="5400" w:type="dxa"/>
            <w:vAlign w:val="bottom"/>
            <w:tcBorders>
              <w:top w:val="single" w:sz="8" w:color="CCEEFF"/>
              <w:bottom w:val="single" w:sz="8" w:color="CCEEFF"/>
            </w:tcBorders>
            <w:shd w:val="clear" w:color="auto" w:fill="CCEEFF"/>
          </w:tcPr>
          <w:p>
            <w:pPr>
              <w:spacing w:after="0"/>
              <w:rPr>
                <w:sz w:val="18"/>
                <w:szCs w:val="18"/>
                <w:color w:val="auto"/>
              </w:rPr>
            </w:pPr>
          </w:p>
        </w:tc>
        <w:tc>
          <w:tcPr>
            <w:tcW w:w="328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175"/>
        </w:trPr>
        <w:tc>
          <w:tcPr>
            <w:tcW w:w="5400" w:type="dxa"/>
            <w:vAlign w:val="bottom"/>
          </w:tcPr>
          <w:p>
            <w:pPr>
              <w:spacing w:after="0" w:line="175" w:lineRule="exact"/>
              <w:rPr>
                <w:sz w:val="20"/>
                <w:szCs w:val="20"/>
                <w:color w:val="auto"/>
              </w:rPr>
            </w:pPr>
            <w:r>
              <w:rPr>
                <w:rFonts w:ascii="Arial" w:cs="Arial" w:eastAsia="Arial" w:hAnsi="Arial"/>
                <w:sz w:val="16"/>
                <w:szCs w:val="16"/>
                <w:color w:val="auto"/>
              </w:rPr>
              <w:t>(3) Intangible assets amortization</w:t>
            </w:r>
          </w:p>
        </w:tc>
        <w:tc>
          <w:tcPr>
            <w:tcW w:w="3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1"/>
        </w:trPr>
        <w:tc>
          <w:tcPr>
            <w:tcW w:w="5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product revenues</w:t>
            </w:r>
          </w:p>
        </w:tc>
        <w:tc>
          <w:tcPr>
            <w:tcW w:w="3700" w:type="dxa"/>
            <w:vAlign w:val="bottom"/>
            <w:gridSpan w:val="2"/>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9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173</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91"/>
        </w:trPr>
        <w:tc>
          <w:tcPr>
            <w:tcW w:w="5400" w:type="dxa"/>
            <w:vAlign w:val="bottom"/>
          </w:tcPr>
          <w:p>
            <w:pPr>
              <w:ind w:left="280"/>
              <w:spacing w:after="0"/>
              <w:rPr>
                <w:sz w:val="20"/>
                <w:szCs w:val="20"/>
                <w:color w:val="auto"/>
              </w:rPr>
            </w:pPr>
            <w:r>
              <w:rPr>
                <w:rFonts w:ascii="Arial" w:cs="Arial" w:eastAsia="Arial" w:hAnsi="Arial"/>
                <w:sz w:val="16"/>
                <w:szCs w:val="16"/>
                <w:color w:val="auto"/>
              </w:rPr>
              <w:t>Cost of service revenues</w:t>
            </w:r>
          </w:p>
        </w:tc>
        <w:tc>
          <w:tcPr>
            <w:tcW w:w="3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6"/>
                <w:szCs w:val="16"/>
                <w:color w:val="auto"/>
              </w:rPr>
              <w:t>160</w:t>
            </w:r>
          </w:p>
        </w:tc>
        <w:tc>
          <w:tcPr>
            <w:tcW w:w="400" w:type="dxa"/>
            <w:vAlign w:val="bottom"/>
          </w:tcPr>
          <w:p>
            <w:pPr>
              <w:spacing w:after="0"/>
              <w:rPr>
                <w:sz w:val="16"/>
                <w:szCs w:val="16"/>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6"/>
                <w:szCs w:val="16"/>
                <w:color w:val="auto"/>
              </w:rPr>
              <w:t>160</w:t>
            </w:r>
          </w:p>
        </w:tc>
        <w:tc>
          <w:tcPr>
            <w:tcW w:w="100" w:type="dxa"/>
            <w:vAlign w:val="bottom"/>
          </w:tcPr>
          <w:p>
            <w:pPr>
              <w:spacing w:after="0"/>
              <w:rPr>
                <w:sz w:val="16"/>
                <w:szCs w:val="16"/>
                <w:color w:val="auto"/>
              </w:rPr>
            </w:pPr>
          </w:p>
        </w:tc>
      </w:tr>
      <w:tr>
        <w:trPr>
          <w:trHeight w:val="223"/>
        </w:trPr>
        <w:tc>
          <w:tcPr>
            <w:tcW w:w="540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Sales and marketing</w:t>
            </w:r>
          </w:p>
        </w:tc>
        <w:tc>
          <w:tcPr>
            <w:tcW w:w="32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2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119</w:t>
            </w:r>
          </w:p>
        </w:tc>
        <w:tc>
          <w:tcPr>
            <w:tcW w:w="100" w:type="dxa"/>
            <w:vAlign w:val="bottom"/>
            <w:shd w:val="clear" w:color="auto" w:fill="CCEEFF"/>
          </w:tcPr>
          <w:p>
            <w:pPr>
              <w:spacing w:after="0"/>
              <w:rPr>
                <w:sz w:val="19"/>
                <w:szCs w:val="19"/>
                <w:color w:val="auto"/>
              </w:rPr>
            </w:pPr>
          </w:p>
        </w:tc>
      </w:tr>
      <w:tr>
        <w:trPr>
          <w:trHeight w:val="179"/>
        </w:trPr>
        <w:tc>
          <w:tcPr>
            <w:tcW w:w="5400" w:type="dxa"/>
            <w:vAlign w:val="bottom"/>
            <w:tcBorders>
              <w:top w:val="single" w:sz="8" w:color="CCEEFF"/>
            </w:tcBorders>
          </w:tcPr>
          <w:p>
            <w:pPr>
              <w:spacing w:after="0"/>
              <w:rPr>
                <w:sz w:val="15"/>
                <w:szCs w:val="15"/>
                <w:color w:val="auto"/>
              </w:rPr>
            </w:pPr>
          </w:p>
        </w:tc>
        <w:tc>
          <w:tcPr>
            <w:tcW w:w="3280" w:type="dxa"/>
            <w:vAlign w:val="bottom"/>
            <w:tcBorders>
              <w:top w:val="single" w:sz="8" w:color="CCEEFF"/>
            </w:tcBorders>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419</w:t>
            </w:r>
          </w:p>
        </w:tc>
        <w:tc>
          <w:tcPr>
            <w:tcW w:w="240" w:type="dxa"/>
            <w:vAlign w:val="bottom"/>
            <w:tcBorders>
              <w:top w:val="single" w:sz="8" w:color="CCEEFF"/>
            </w:tcBorders>
          </w:tcPr>
          <w:p>
            <w:pPr>
              <w:spacing w:after="0"/>
              <w:rPr>
                <w:sz w:val="15"/>
                <w:szCs w:val="15"/>
                <w:color w:val="auto"/>
              </w:rPr>
            </w:pPr>
          </w:p>
        </w:tc>
        <w:tc>
          <w:tcPr>
            <w:tcW w:w="400" w:type="dxa"/>
            <w:vAlign w:val="bottom"/>
            <w:tcBorders>
              <w:top w:val="single" w:sz="8" w:color="auto"/>
              <w:bottom w:val="single" w:sz="8" w:color="auto"/>
            </w:tcBorders>
          </w:tcPr>
          <w:p>
            <w:pPr>
              <w:spacing w:after="0"/>
              <w:rPr>
                <w:sz w:val="15"/>
                <w:szCs w:val="15"/>
                <w:color w:val="auto"/>
              </w:rPr>
            </w:pPr>
          </w:p>
        </w:tc>
        <w:tc>
          <w:tcPr>
            <w:tcW w:w="70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304</w:t>
            </w:r>
          </w:p>
        </w:tc>
        <w:tc>
          <w:tcPr>
            <w:tcW w:w="20" w:type="dxa"/>
            <w:vAlign w:val="bottom"/>
            <w:tcBorders>
              <w:top w:val="single" w:sz="8" w:color="CCEEFF"/>
              <w:bottom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bl>
    <w:p>
      <w:pPr>
        <w:spacing w:after="0" w:line="387" w:lineRule="exact"/>
        <w:rPr>
          <w:sz w:val="20"/>
          <w:szCs w:val="20"/>
          <w:color w:val="auto"/>
        </w:rPr>
      </w:pPr>
    </w:p>
    <w:p>
      <w:pPr>
        <w:jc w:val="center"/>
        <w:ind w:right="16"/>
        <w:spacing w:after="0"/>
        <w:rPr>
          <w:sz w:val="20"/>
          <w:szCs w:val="20"/>
          <w:color w:val="auto"/>
        </w:rPr>
      </w:pPr>
      <w:r>
        <w:rPr>
          <w:rFonts w:ascii="Arial" w:cs="Arial" w:eastAsia="Arial" w:hAnsi="Arial"/>
          <w:sz w:val="19"/>
          <w:szCs w:val="19"/>
          <w:color w:val="auto"/>
        </w:rPr>
        <w:t>7</w:t>
      </w:r>
    </w:p>
    <w:p>
      <w:pPr>
        <w:sectPr>
          <w:pgSz w:w="11900" w:h="16899" w:orient="portrait"/>
          <w:cols w:equalWidth="0" w:num="1">
            <w:col w:w="11264"/>
          </w:cols>
          <w:pgMar w:left="316" w:top="816" w:right="319" w:bottom="0" w:gutter="0" w:footer="0" w:header="0"/>
          <w:type w:val="continuous"/>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88900</wp:posOffset>
            </wp:positionV>
            <wp:extent cx="7148195" cy="152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ind w:left="328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left="330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left="3300"/>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9" w:lineRule="exact"/>
        <w:rPr>
          <w:sz w:val="20"/>
          <w:szCs w:val="20"/>
          <w:color w:val="auto"/>
        </w:rPr>
      </w:pPr>
    </w:p>
    <w:p>
      <w:pPr>
        <w:jc w:val="center"/>
        <w:ind w:left="3300"/>
        <w:spacing w:after="0"/>
        <w:rPr>
          <w:sz w:val="20"/>
          <w:szCs w:val="20"/>
          <w:color w:val="auto"/>
        </w:rPr>
      </w:pPr>
      <w:r>
        <w:rPr>
          <w:rFonts w:ascii="Arial" w:cs="Arial" w:eastAsia="Arial" w:hAnsi="Arial"/>
          <w:sz w:val="16"/>
          <w:szCs w:val="16"/>
          <w:b w:val="1"/>
          <w:bCs w:val="1"/>
          <w:color w:val="auto"/>
        </w:rPr>
        <w:t>(U.S.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flows from operating activities: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8195" cy="1212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Adjustments to reconcile net income (loss) to 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Depreciation and amortization</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Fair value of warrants deducted from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Share-based compensation</w:t>
      </w:r>
    </w:p>
    <w:p>
      <w:pPr>
        <w:spacing w:after="0" w:line="7" w:lineRule="exact"/>
        <w:rPr>
          <w:sz w:val="20"/>
          <w:szCs w:val="20"/>
          <w:color w:val="auto"/>
        </w:rPr>
      </w:pPr>
    </w:p>
    <w:p>
      <w:pPr>
        <w:ind w:left="140" w:right="2680"/>
        <w:spacing w:after="0" w:line="258" w:lineRule="auto"/>
        <w:rPr>
          <w:sz w:val="20"/>
          <w:szCs w:val="20"/>
          <w:color w:val="auto"/>
        </w:rPr>
      </w:pPr>
      <w:r>
        <w:rPr>
          <w:rFonts w:ascii="Arial" w:cs="Arial" w:eastAsia="Arial" w:hAnsi="Arial"/>
          <w:sz w:val="16"/>
          <w:szCs w:val="16"/>
          <w:color w:val="auto"/>
        </w:rPr>
        <w:t>Amortization of premium and accretion of discount on marketable securities, net Realized gain on sale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-129540</wp:posOffset>
            </wp:positionV>
            <wp:extent cx="7148195" cy="1212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Change in operating assets and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8195" cy="1212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Trade receivables,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Other accounts receivables and prepaid expenses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Inventory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Operating leases right-of-use assets and liabilities, net</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Deferred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Deposits and other long term assets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Trade payables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Employees and payroll accruals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Deferred revenues and advances from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Other payables and accrued expenses</w:t>
      </w:r>
    </w:p>
    <w:p>
      <w:pPr>
        <w:spacing w:after="0" w:line="7" w:lineRule="exact"/>
        <w:rPr>
          <w:sz w:val="20"/>
          <w:szCs w:val="20"/>
          <w:color w:val="auto"/>
        </w:rPr>
      </w:pPr>
    </w:p>
    <w:p>
      <w:pPr>
        <w:ind w:left="140"/>
        <w:spacing w:after="0"/>
        <w:rPr>
          <w:sz w:val="20"/>
          <w:szCs w:val="20"/>
          <w:color w:val="auto"/>
        </w:rPr>
      </w:pPr>
      <w:r>
        <w:rPr>
          <w:rFonts w:ascii="Arial" w:cs="Arial" w:eastAsia="Arial" w:hAnsi="Arial"/>
          <w:sz w:val="16"/>
          <w:szCs w:val="16"/>
          <w:color w:val="auto"/>
        </w:rPr>
        <w:t>Accrued severance pay,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44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148195" cy="144145"/>
                    </a:xfrm>
                    <a:prstGeom prst="rect">
                      <a:avLst/>
                    </a:prstGeom>
                    <a:noFill/>
                  </pic:spPr>
                </pic:pic>
              </a:graphicData>
            </a:graphic>
          </wp:anchor>
        </w:drawing>
      </w:r>
    </w:p>
    <w:p>
      <w:pPr>
        <w:ind w:left="140"/>
        <w:spacing w:after="0"/>
        <w:rPr>
          <w:sz w:val="20"/>
          <w:szCs w:val="20"/>
          <w:color w:val="auto"/>
        </w:rPr>
      </w:pPr>
      <w:r>
        <w:rPr>
          <w:rFonts w:ascii="Arial" w:cs="Arial" w:eastAsia="Arial" w:hAnsi="Arial"/>
          <w:sz w:val="16"/>
          <w:szCs w:val="16"/>
          <w:color w:val="auto"/>
        </w:rPr>
        <w:t>Other long - term liabilities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20320</wp:posOffset>
            </wp:positionV>
            <wp:extent cx="7148195" cy="1365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212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Purchase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212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Investment in bank deposits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Proceeds from sale of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Proceeds from maturity of marketable securities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Investment in marketable securities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8195" cy="13652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8195" cy="1212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Exercise of employee stock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8195" cy="1212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Payments related to shares withheld for taxes</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Net cash used in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8195" cy="1365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8195" cy="1212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Cash and cash equivalents at the beginning of the period</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 at the end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8195" cy="159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148195" cy="159385"/>
                    </a:xfrm>
                    <a:prstGeom prst="rect">
                      <a:avLst/>
                    </a:prstGeom>
                    <a:noFill/>
                  </pic:spPr>
                </pic:pic>
              </a:graphicData>
            </a:graphic>
          </wp:anchor>
        </w:drawing>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color w:val="auto"/>
        </w:rPr>
        <w:t>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8195" cy="1212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Purchase of property and equipment on credit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-107950</wp:posOffset>
            </wp:positionV>
            <wp:extent cx="7148195" cy="1212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Inventory transferred to be used as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Property, plant and equipment transferred to be used as inventory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Receipt on account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4445</wp:posOffset>
            </wp:positionV>
            <wp:extent cx="7148195" cy="1212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Lease liabilities arising from obtaining right-of-use assets</w:t>
      </w:r>
    </w:p>
    <w:p>
      <w:pPr>
        <w:spacing w:after="0" w:line="370" w:lineRule="exact"/>
        <w:rPr>
          <w:sz w:val="20"/>
          <w:szCs w:val="20"/>
          <w:color w:val="auto"/>
        </w:rPr>
      </w:pPr>
    </w:p>
    <w:p>
      <w:pPr>
        <w:ind w:left="558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Three Months Ended</w:t>
      </w:r>
    </w:p>
    <w:p>
      <w:pPr>
        <w:spacing w:after="0" w:line="43"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March 31,</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2022</w:t>
            </w:r>
          </w:p>
        </w:tc>
        <w:tc>
          <w:tcPr>
            <w:tcW w:w="4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2021</w:t>
            </w:r>
          </w:p>
        </w:tc>
        <w:tc>
          <w:tcPr>
            <w:tcW w:w="60" w:type="dxa"/>
            <w:vAlign w:val="bottom"/>
          </w:tcPr>
          <w:p>
            <w:pPr>
              <w:spacing w:after="0"/>
              <w:rPr>
                <w:sz w:val="18"/>
                <w:szCs w:val="18"/>
                <w:color w:val="auto"/>
              </w:rPr>
            </w:pPr>
          </w:p>
        </w:tc>
      </w:tr>
      <w:tr>
        <w:trPr>
          <w:trHeight w:val="195"/>
        </w:trPr>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(Unaudited)</w:t>
            </w:r>
          </w:p>
        </w:tc>
        <w:tc>
          <w:tcPr>
            <w:tcW w:w="7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574"/>
        </w:trPr>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(5,197)</w:t>
            </w:r>
          </w:p>
        </w:tc>
        <w:tc>
          <w:tcPr>
            <w:tcW w:w="4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5,099</w:t>
            </w:r>
          </w:p>
        </w:tc>
      </w:tr>
      <w:tr>
        <w:trPr>
          <w:trHeight w:val="370"/>
        </w:trPr>
        <w:tc>
          <w:tcPr>
            <w:tcW w:w="240" w:type="dxa"/>
            <w:vAlign w:val="bottom"/>
          </w:tcPr>
          <w:p>
            <w:pPr>
              <w:spacing w:after="0"/>
              <w:rPr>
                <w:sz w:val="24"/>
                <w:szCs w:val="24"/>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2,580</w:t>
            </w:r>
          </w:p>
        </w:tc>
        <w:tc>
          <w:tcPr>
            <w:tcW w:w="440" w:type="dxa"/>
            <w:vAlign w:val="bottom"/>
          </w:tcPr>
          <w:p>
            <w:pPr>
              <w:spacing w:after="0"/>
              <w:rPr>
                <w:sz w:val="24"/>
                <w:szCs w:val="2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1,492</w:t>
            </w:r>
          </w:p>
        </w:tc>
      </w:tr>
      <w:tr>
        <w:trPr>
          <w:trHeight w:val="191"/>
        </w:trPr>
        <w:tc>
          <w:tcPr>
            <w:tcW w:w="24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8,005</w:t>
            </w:r>
          </w:p>
        </w:tc>
        <w:tc>
          <w:tcPr>
            <w:tcW w:w="4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3,139</w:t>
            </w:r>
          </w:p>
        </w:tc>
      </w:tr>
      <w:tr>
        <w:trPr>
          <w:trHeight w:val="191"/>
        </w:trPr>
        <w:tc>
          <w:tcPr>
            <w:tcW w:w="24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5,298</w:t>
            </w:r>
          </w:p>
        </w:tc>
        <w:tc>
          <w:tcPr>
            <w:tcW w:w="440" w:type="dxa"/>
            <w:vAlign w:val="bottom"/>
          </w:tcPr>
          <w:p>
            <w:pPr>
              <w:spacing w:after="0"/>
              <w:rPr>
                <w:sz w:val="16"/>
                <w:szCs w:val="16"/>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6"/>
                <w:szCs w:val="16"/>
                <w:color w:val="auto"/>
              </w:rPr>
              <w:t>3,072</w:t>
            </w:r>
          </w:p>
        </w:tc>
      </w:tr>
      <w:tr>
        <w:trPr>
          <w:trHeight w:val="191"/>
        </w:trPr>
        <w:tc>
          <w:tcPr>
            <w:tcW w:w="240" w:type="dxa"/>
            <w:vAlign w:val="bottom"/>
          </w:tcPr>
          <w:p>
            <w:pPr>
              <w:spacing w:after="0"/>
              <w:rPr>
                <w:sz w:val="16"/>
                <w:szCs w:val="16"/>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528</w:t>
            </w:r>
          </w:p>
        </w:tc>
        <w:tc>
          <w:tcPr>
            <w:tcW w:w="4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(817)</w:t>
            </w:r>
          </w:p>
        </w:tc>
      </w:tr>
      <w:tr>
        <w:trPr>
          <w:trHeight w:val="204"/>
        </w:trPr>
        <w:tc>
          <w:tcPr>
            <w:tcW w:w="240" w:type="dxa"/>
            <w:vAlign w:val="bottom"/>
          </w:tcPr>
          <w:p>
            <w:pPr>
              <w:spacing w:after="0"/>
              <w:rPr>
                <w:sz w:val="17"/>
                <w:szCs w:val="17"/>
                <w:color w:val="auto"/>
              </w:rPr>
            </w:pPr>
          </w:p>
        </w:tc>
        <w:tc>
          <w:tcPr>
            <w:tcW w:w="1020" w:type="dxa"/>
            <w:vAlign w:val="bottom"/>
          </w:tcPr>
          <w:p>
            <w:pPr>
              <w:jc w:val="right"/>
              <w:ind w:right="60"/>
              <w:spacing w:after="0"/>
              <w:rPr>
                <w:sz w:val="20"/>
                <w:szCs w:val="20"/>
                <w:color w:val="auto"/>
              </w:rPr>
            </w:pPr>
            <w:r>
              <w:rPr>
                <w:rFonts w:ascii="Arial" w:cs="Arial" w:eastAsia="Arial" w:hAnsi="Arial"/>
                <w:sz w:val="16"/>
                <w:szCs w:val="16"/>
                <w:color w:val="auto"/>
              </w:rPr>
              <w:t>3</w:t>
            </w:r>
          </w:p>
        </w:tc>
        <w:tc>
          <w:tcPr>
            <w:tcW w:w="4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60" w:type="dxa"/>
            <w:vAlign w:val="bottom"/>
          </w:tcPr>
          <w:p>
            <w:pPr>
              <w:spacing w:after="0"/>
              <w:rPr>
                <w:sz w:val="17"/>
                <w:szCs w:val="17"/>
                <w:color w:val="auto"/>
              </w:rPr>
            </w:pPr>
          </w:p>
        </w:tc>
      </w:tr>
    </w:tbl>
    <w:p>
      <w:pPr>
        <w:spacing w:after="0" w:line="370" w:lineRule="exact"/>
        <w:rPr>
          <w:sz w:val="20"/>
          <w:szCs w:val="20"/>
          <w:color w:val="auto"/>
        </w:rPr>
      </w:pPr>
    </w:p>
    <w:p>
      <w:pPr>
        <w:jc w:val="both"/>
        <w:ind w:left="640"/>
        <w:spacing w:after="0"/>
        <w:tabs>
          <w:tab w:leader="none" w:pos="2040" w:val="left"/>
        </w:tabs>
        <w:rPr>
          <w:sz w:val="20"/>
          <w:szCs w:val="20"/>
          <w:color w:val="auto"/>
        </w:rPr>
      </w:pPr>
      <w:r>
        <w:rPr>
          <w:rFonts w:ascii="Arial" w:cs="Arial" w:eastAsia="Arial" w:hAnsi="Arial"/>
          <w:sz w:val="16"/>
          <w:szCs w:val="16"/>
          <w:color w:val="auto"/>
        </w:rPr>
        <w:t>(31,193)</w:t>
      </w:r>
      <w:r>
        <w:rPr>
          <w:sz w:val="20"/>
          <w:szCs w:val="20"/>
          <w:color w:val="auto"/>
        </w:rPr>
        <w:tab/>
      </w:r>
      <w:r>
        <w:rPr>
          <w:rFonts w:ascii="Arial" w:cs="Arial" w:eastAsia="Arial" w:hAnsi="Arial"/>
          <w:sz w:val="16"/>
          <w:szCs w:val="16"/>
          <w:color w:val="auto"/>
        </w:rPr>
        <w:t>(1,488)</w:t>
      </w:r>
    </w:p>
    <w:p>
      <w:pPr>
        <w:spacing w:after="0" w:line="20" w:lineRule="exact"/>
        <w:rPr>
          <w:sz w:val="20"/>
          <w:szCs w:val="20"/>
          <w:color w:val="auto"/>
        </w:rPr>
      </w:pPr>
    </w:p>
    <w:p>
      <w:pPr>
        <w:ind w:left="720"/>
        <w:spacing w:after="0"/>
        <w:tabs>
          <w:tab w:leader="none" w:pos="2080" w:val="left"/>
        </w:tabs>
        <w:rPr>
          <w:sz w:val="20"/>
          <w:szCs w:val="20"/>
          <w:color w:val="auto"/>
        </w:rPr>
      </w:pPr>
      <w:r>
        <w:rPr>
          <w:rFonts w:ascii="Arial" w:cs="Arial" w:eastAsia="Arial" w:hAnsi="Arial"/>
          <w:sz w:val="16"/>
          <w:szCs w:val="16"/>
          <w:color w:val="auto"/>
        </w:rPr>
        <w:t>(2,464)</w:t>
      </w:r>
      <w:r>
        <w:rPr>
          <w:sz w:val="20"/>
          <w:szCs w:val="20"/>
          <w:color w:val="auto"/>
        </w:rPr>
        <w:tab/>
      </w:r>
      <w:r>
        <w:rPr>
          <w:rFonts w:ascii="Arial" w:cs="Arial" w:eastAsia="Arial" w:hAnsi="Arial"/>
          <w:sz w:val="16"/>
          <w:szCs w:val="16"/>
          <w:color w:val="auto"/>
        </w:rPr>
        <w:t>1,550</w:t>
      </w:r>
    </w:p>
    <w:p>
      <w:pPr>
        <w:spacing w:after="0" w:line="7" w:lineRule="exact"/>
        <w:rPr>
          <w:sz w:val="20"/>
          <w:szCs w:val="20"/>
          <w:color w:val="auto"/>
        </w:rPr>
      </w:pPr>
    </w:p>
    <w:p>
      <w:pPr>
        <w:jc w:val="both"/>
        <w:ind w:left="720"/>
        <w:spacing w:after="0"/>
        <w:tabs>
          <w:tab w:leader="none" w:pos="2160" w:val="left"/>
        </w:tabs>
        <w:rPr>
          <w:sz w:val="20"/>
          <w:szCs w:val="20"/>
          <w:color w:val="auto"/>
        </w:rPr>
      </w:pPr>
      <w:r>
        <w:rPr>
          <w:rFonts w:ascii="Arial" w:cs="Arial" w:eastAsia="Arial" w:hAnsi="Arial"/>
          <w:sz w:val="16"/>
          <w:szCs w:val="16"/>
          <w:color w:val="auto"/>
        </w:rPr>
        <w:t>(9,036)</w:t>
      </w:r>
      <w:r>
        <w:rPr>
          <w:sz w:val="20"/>
          <w:szCs w:val="20"/>
          <w:color w:val="auto"/>
        </w:rPr>
        <w:tab/>
      </w:r>
      <w:r>
        <w:rPr>
          <w:rFonts w:ascii="Arial" w:cs="Arial" w:eastAsia="Arial" w:hAnsi="Arial"/>
          <w:sz w:val="16"/>
          <w:szCs w:val="16"/>
          <w:color w:val="auto"/>
        </w:rPr>
        <w:t>(672)</w:t>
      </w:r>
    </w:p>
    <w:p>
      <w:pPr>
        <w:spacing w:after="0" w:line="7" w:lineRule="exact"/>
        <w:rPr>
          <w:sz w:val="20"/>
          <w:szCs w:val="20"/>
          <w:color w:val="auto"/>
        </w:rPr>
      </w:pPr>
    </w:p>
    <w:p>
      <w:pPr>
        <w:ind w:left="2180" w:hanging="1345"/>
        <w:spacing w:after="0"/>
        <w:tabs>
          <w:tab w:leader="none" w:pos="2180" w:val="left"/>
        </w:tabs>
        <w:numPr>
          <w:ilvl w:val="0"/>
          <w:numId w:val="4"/>
        </w:numPr>
        <w:rPr>
          <w:rFonts w:ascii="Arial" w:cs="Arial" w:eastAsia="Arial" w:hAnsi="Arial"/>
          <w:sz w:val="14"/>
          <w:szCs w:val="14"/>
          <w:color w:val="auto"/>
        </w:rPr>
      </w:pPr>
      <w:r>
        <w:rPr>
          <w:rFonts w:ascii="Arial" w:cs="Arial" w:eastAsia="Arial" w:hAnsi="Arial"/>
          <w:sz w:val="14"/>
          <w:szCs w:val="14"/>
          <w:color w:val="auto"/>
        </w:rPr>
        <w:t>(856)</w:t>
      </w:r>
    </w:p>
    <w:p>
      <w:pPr>
        <w:spacing w:after="0" w:line="30" w:lineRule="exact"/>
        <w:rPr>
          <w:sz w:val="20"/>
          <w:szCs w:val="20"/>
          <w:color w:val="auto"/>
        </w:rPr>
      </w:pPr>
    </w:p>
    <w:p>
      <w:pPr>
        <w:ind w:left="2180" w:hanging="1345"/>
        <w:spacing w:after="0"/>
        <w:tabs>
          <w:tab w:leader="none" w:pos="2180" w:val="left"/>
        </w:tabs>
        <w:numPr>
          <w:ilvl w:val="0"/>
          <w:numId w:val="5"/>
        </w:numPr>
        <w:rPr>
          <w:rFonts w:ascii="Arial" w:cs="Arial" w:eastAsia="Arial" w:hAnsi="Arial"/>
          <w:sz w:val="14"/>
          <w:szCs w:val="14"/>
          <w:color w:val="auto"/>
        </w:rPr>
      </w:pPr>
      <w:r>
        <w:rPr>
          <w:rFonts w:ascii="Arial" w:cs="Arial" w:eastAsia="Arial" w:hAnsi="Arial"/>
          <w:sz w:val="14"/>
          <w:szCs w:val="14"/>
          <w:color w:val="auto"/>
        </w:rPr>
        <w:t>(320)</w:t>
      </w:r>
    </w:p>
    <w:p>
      <w:pPr>
        <w:spacing w:after="0" w:line="30" w:lineRule="exact"/>
        <w:rPr>
          <w:sz w:val="20"/>
          <w:szCs w:val="20"/>
          <w:color w:val="auto"/>
        </w:rPr>
      </w:pPr>
    </w:p>
    <w:p>
      <w:pPr>
        <w:ind w:left="2260" w:hanging="1213"/>
        <w:spacing w:after="0"/>
        <w:tabs>
          <w:tab w:leader="none" w:pos="2260" w:val="left"/>
        </w:tabs>
        <w:numPr>
          <w:ilvl w:val="0"/>
          <w:numId w:val="6"/>
        </w:numPr>
        <w:rPr>
          <w:rFonts w:ascii="Arial" w:cs="Arial" w:eastAsia="Arial" w:hAnsi="Arial"/>
          <w:sz w:val="14"/>
          <w:szCs w:val="14"/>
          <w:color w:val="auto"/>
        </w:rPr>
      </w:pPr>
      <w:r>
        <w:rPr>
          <w:rFonts w:ascii="Arial" w:cs="Arial" w:eastAsia="Arial" w:hAnsi="Arial"/>
          <w:sz w:val="14"/>
          <w:szCs w:val="14"/>
          <w:color w:val="auto"/>
        </w:rPr>
        <w:t>(10)</w:t>
      </w:r>
    </w:p>
    <w:p>
      <w:pPr>
        <w:spacing w:after="0" w:line="30"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6"/>
          <w:szCs w:val="16"/>
          <w:color w:val="auto"/>
        </w:rPr>
        <w:t>(7,444)</w:t>
      </w:r>
      <w:r>
        <w:rPr>
          <w:rFonts w:ascii="Arial" w:cs="Arial" w:eastAsia="Arial" w:hAnsi="Arial"/>
          <w:sz w:val="14"/>
          <w:szCs w:val="14"/>
          <w:color w:val="auto"/>
        </w:rPr>
        <w:t>(6,056)</w:t>
      </w:r>
    </w:p>
    <w:p>
      <w:pPr>
        <w:spacing w:after="0" w:line="7" w:lineRule="exact"/>
        <w:rPr>
          <w:rFonts w:ascii="Arial" w:cs="Arial" w:eastAsia="Arial" w:hAnsi="Arial"/>
          <w:sz w:val="14"/>
          <w:szCs w:val="14"/>
          <w:color w:val="auto"/>
        </w:rPr>
      </w:pPr>
    </w:p>
    <w:p>
      <w:pPr>
        <w:ind w:left="720"/>
        <w:spacing w:after="0"/>
        <w:rPr>
          <w:rFonts w:ascii="Arial" w:cs="Arial" w:eastAsia="Arial" w:hAnsi="Arial"/>
          <w:sz w:val="14"/>
          <w:szCs w:val="14"/>
          <w:color w:val="auto"/>
        </w:rPr>
      </w:pPr>
      <w:r>
        <w:rPr>
          <w:rFonts w:ascii="Arial" w:cs="Arial" w:eastAsia="Arial" w:hAnsi="Arial"/>
          <w:sz w:val="16"/>
          <w:szCs w:val="16"/>
          <w:color w:val="auto"/>
        </w:rPr>
        <w:t>(6,470)</w:t>
      </w:r>
      <w:r>
        <w:rPr>
          <w:rFonts w:ascii="Arial" w:cs="Arial" w:eastAsia="Arial" w:hAnsi="Arial"/>
          <w:sz w:val="14"/>
          <w:szCs w:val="14"/>
          <w:color w:val="auto"/>
        </w:rPr>
        <w:t>2,235</w:t>
      </w:r>
    </w:p>
    <w:p>
      <w:pPr>
        <w:spacing w:after="0" w:line="2" w:lineRule="exact"/>
        <w:rPr>
          <w:sz w:val="20"/>
          <w:szCs w:val="20"/>
          <w:color w:val="auto"/>
        </w:rPr>
      </w:pPr>
    </w:p>
    <w:tbl>
      <w:tblPr>
        <w:tblLayout w:type="fixed"/>
        <w:tblInd w:w="720" w:type="dxa"/>
        <w:tblCellMar>
          <w:top w:w="0" w:type="dxa"/>
          <w:left w:w="0" w:type="dxa"/>
          <w:bottom w:w="0" w:type="dxa"/>
          <w:right w:w="0" w:type="dxa"/>
        </w:tblCellMar>
      </w:tblPr>
      <w:tr>
        <w:trPr>
          <w:trHeight w:val="184"/>
        </w:trPr>
        <w:tc>
          <w:tcPr>
            <w:tcW w:w="900" w:type="dxa"/>
            <w:vAlign w:val="bottom"/>
          </w:tcPr>
          <w:p>
            <w:pPr>
              <w:jc w:val="right"/>
              <w:ind w:right="360"/>
              <w:spacing w:after="0"/>
              <w:rPr>
                <w:sz w:val="20"/>
                <w:szCs w:val="20"/>
                <w:color w:val="auto"/>
              </w:rPr>
            </w:pPr>
            <w:r>
              <w:rPr>
                <w:rFonts w:ascii="Arial" w:cs="Arial" w:eastAsia="Arial" w:hAnsi="Arial"/>
                <w:sz w:val="16"/>
                <w:szCs w:val="16"/>
                <w:color w:val="auto"/>
                <w:w w:val="86"/>
              </w:rPr>
              <w:t>(1,471)</w:t>
            </w:r>
          </w:p>
        </w:tc>
        <w:tc>
          <w:tcPr>
            <w:tcW w:w="900" w:type="dxa"/>
            <w:vAlign w:val="bottom"/>
          </w:tcPr>
          <w:p>
            <w:pPr>
              <w:jc w:val="right"/>
              <w:spacing w:after="0"/>
              <w:rPr>
                <w:sz w:val="20"/>
                <w:szCs w:val="20"/>
                <w:color w:val="auto"/>
              </w:rPr>
            </w:pPr>
            <w:r>
              <w:rPr>
                <w:rFonts w:ascii="Arial" w:cs="Arial" w:eastAsia="Arial" w:hAnsi="Arial"/>
                <w:sz w:val="16"/>
                <w:szCs w:val="16"/>
                <w:color w:val="auto"/>
              </w:rPr>
              <w:t>(3,372)</w:t>
            </w:r>
          </w:p>
        </w:tc>
      </w:tr>
      <w:tr>
        <w:trPr>
          <w:trHeight w:val="204"/>
        </w:trPr>
        <w:tc>
          <w:tcPr>
            <w:tcW w:w="900" w:type="dxa"/>
            <w:vAlign w:val="bottom"/>
          </w:tcPr>
          <w:p>
            <w:pPr>
              <w:jc w:val="right"/>
              <w:ind w:right="420"/>
              <w:spacing w:after="0"/>
              <w:rPr>
                <w:sz w:val="20"/>
                <w:szCs w:val="20"/>
                <w:color w:val="auto"/>
              </w:rPr>
            </w:pPr>
            <w:r>
              <w:rPr>
                <w:rFonts w:ascii="Arial" w:cs="Arial" w:eastAsia="Arial" w:hAnsi="Arial"/>
                <w:sz w:val="16"/>
                <w:szCs w:val="16"/>
                <w:color w:val="auto"/>
              </w:rPr>
              <w:t>359</w:t>
            </w:r>
          </w:p>
        </w:tc>
        <w:tc>
          <w:tcPr>
            <w:tcW w:w="900" w:type="dxa"/>
            <w:vAlign w:val="bottom"/>
          </w:tcPr>
          <w:p>
            <w:pPr>
              <w:jc w:val="right"/>
              <w:spacing w:after="0"/>
              <w:rPr>
                <w:sz w:val="20"/>
                <w:szCs w:val="20"/>
                <w:color w:val="auto"/>
              </w:rPr>
            </w:pPr>
            <w:r>
              <w:rPr>
                <w:rFonts w:ascii="Arial" w:cs="Arial" w:eastAsia="Arial" w:hAnsi="Arial"/>
                <w:sz w:val="16"/>
                <w:szCs w:val="16"/>
                <w:color w:val="auto"/>
              </w:rPr>
              <w:t>1,854</w:t>
            </w:r>
          </w:p>
        </w:tc>
      </w:tr>
    </w:tbl>
    <w:p>
      <w:pPr>
        <w:ind w:left="2260" w:hanging="1425"/>
        <w:spacing w:after="0"/>
        <w:tabs>
          <w:tab w:leader="none" w:pos="2260" w:val="left"/>
        </w:tabs>
        <w:numPr>
          <w:ilvl w:val="0"/>
          <w:numId w:val="7"/>
        </w:numPr>
        <w:rPr>
          <w:rFonts w:ascii="Arial" w:cs="Arial" w:eastAsia="Arial" w:hAnsi="Arial"/>
          <w:sz w:val="14"/>
          <w:szCs w:val="14"/>
          <w:color w:val="auto"/>
        </w:rPr>
      </w:pPr>
      <w:r>
        <w:rPr>
          <w:rFonts w:ascii="Arial" w:cs="Arial" w:eastAsia="Arial" w:hAnsi="Arial"/>
          <w:sz w:val="14"/>
          <w:szCs w:val="14"/>
          <w:color w:val="auto"/>
        </w:rPr>
        <w:t>(30)</w:t>
      </w:r>
    </w:p>
    <w:p>
      <w:pPr>
        <w:spacing w:after="0" w:line="30"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6"/>
          <w:szCs w:val="16"/>
          <w:color w:val="auto"/>
        </w:rPr>
        <w:t>316</w:t>
      </w:r>
      <w:r>
        <w:rPr>
          <w:rFonts w:ascii="Arial" w:cs="Arial" w:eastAsia="Arial" w:hAnsi="Arial"/>
          <w:sz w:val="14"/>
          <w:szCs w:val="14"/>
          <w:color w:val="auto"/>
        </w:rPr>
        <w:t>299</w:t>
      </w:r>
    </w:p>
    <w:p>
      <w:pPr>
        <w:spacing w:after="0" w:line="19" w:lineRule="exact"/>
        <w:rPr>
          <w:sz w:val="20"/>
          <w:szCs w:val="20"/>
          <w:color w:val="auto"/>
        </w:rPr>
      </w:pPr>
    </w:p>
    <w:p>
      <w:pPr>
        <w:ind w:left="640"/>
        <w:spacing w:after="0"/>
        <w:tabs>
          <w:tab w:leader="none" w:pos="2100" w:val="left"/>
        </w:tabs>
        <w:rPr>
          <w:sz w:val="20"/>
          <w:szCs w:val="20"/>
          <w:color w:val="auto"/>
        </w:rPr>
      </w:pPr>
      <w:r>
        <w:rPr>
          <w:rFonts w:ascii="Arial" w:cs="Arial" w:eastAsia="Arial" w:hAnsi="Arial"/>
          <w:sz w:val="16"/>
          <w:szCs w:val="16"/>
          <w:color w:val="auto"/>
        </w:rPr>
        <w:t>(47,082)</w:t>
      </w:r>
      <w:r>
        <w:rPr>
          <w:sz w:val="20"/>
          <w:szCs w:val="20"/>
          <w:color w:val="auto"/>
        </w:rPr>
        <w:tab/>
      </w:r>
      <w:r>
        <w:rPr>
          <w:rFonts w:ascii="Arial" w:cs="Arial" w:eastAsia="Arial" w:hAnsi="Arial"/>
          <w:sz w:val="13"/>
          <w:szCs w:val="13"/>
          <w:color w:val="auto"/>
        </w:rPr>
        <w:t>5,119</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(7,462)</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(2,567)</w:t>
            </w:r>
          </w:p>
        </w:tc>
      </w:tr>
      <w:tr>
        <w:trPr>
          <w:trHeight w:val="191"/>
        </w:trPr>
        <w:tc>
          <w:tcPr>
            <w:tcW w:w="3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(410,985)</w:t>
            </w:r>
          </w:p>
        </w:tc>
        <w:tc>
          <w:tcPr>
            <w:tcW w:w="34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(18,855)</w:t>
            </w:r>
          </w:p>
        </w:tc>
      </w:tr>
      <w:tr>
        <w:trPr>
          <w:trHeight w:val="191"/>
        </w:trPr>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445</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r>
      <w:tr>
        <w:trPr>
          <w:trHeight w:val="191"/>
        </w:trPr>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11,922</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(80,894)</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(15,290)</w:t>
            </w:r>
          </w:p>
        </w:tc>
      </w:tr>
      <w:tr>
        <w:trPr>
          <w:trHeight w:val="195"/>
        </w:trPr>
        <w:tc>
          <w:tcPr>
            <w:tcW w:w="3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(486,974</w:t>
            </w:r>
          </w:p>
        </w:tc>
        <w:tc>
          <w:tcPr>
            <w:tcW w:w="240" w:type="dxa"/>
            <w:vAlign w:val="bottom"/>
          </w:tcPr>
          <w:p>
            <w:pPr>
              <w:jc w:val="right"/>
              <w:ind w:right="100"/>
              <w:spacing w:after="0" w:line="180" w:lineRule="exact"/>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(36,712</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752"/>
        </w:trPr>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299</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675</w:t>
            </w:r>
          </w:p>
        </w:tc>
        <w:tc>
          <w:tcPr>
            <w:tcW w:w="40" w:type="dxa"/>
            <w:vAlign w:val="bottom"/>
          </w:tcPr>
          <w:p>
            <w:pPr>
              <w:spacing w:after="0"/>
              <w:rPr>
                <w:sz w:val="24"/>
                <w:szCs w:val="24"/>
                <w:color w:val="auto"/>
              </w:rPr>
            </w:pPr>
          </w:p>
        </w:tc>
      </w:tr>
      <w:tr>
        <w:trPr>
          <w:trHeight w:val="220"/>
        </w:trPr>
        <w:tc>
          <w:tcPr>
            <w:tcW w:w="3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(510)</w:t>
            </w:r>
          </w:p>
        </w:tc>
        <w:tc>
          <w:tcPr>
            <w:tcW w:w="3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(688)</w:t>
            </w:r>
          </w:p>
        </w:tc>
      </w:tr>
      <w:tr>
        <w:trPr>
          <w:trHeight w:val="195"/>
        </w:trPr>
        <w:tc>
          <w:tcPr>
            <w:tcW w:w="320" w:type="dxa"/>
            <w:vAlign w:val="bottom"/>
            <w:tcBorders>
              <w:top w:val="single" w:sz="8" w:color="auto"/>
              <w:bottom w:val="single" w:sz="8" w:color="auto"/>
            </w:tcBorders>
          </w:tcPr>
          <w:p>
            <w:pPr>
              <w:spacing w:after="0"/>
              <w:rPr>
                <w:sz w:val="16"/>
                <w:szCs w:val="16"/>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240" w:type="dxa"/>
            <w:vAlign w:val="bottom"/>
          </w:tcPr>
          <w:p>
            <w:pPr>
              <w:jc w:val="right"/>
              <w:ind w:right="100"/>
              <w:spacing w:after="0" w:line="180" w:lineRule="exact"/>
              <w:rPr>
                <w:sz w:val="20"/>
                <w:szCs w:val="20"/>
                <w:color w:val="auto"/>
              </w:rPr>
            </w:pPr>
            <w:r>
              <w:rPr>
                <w:rFonts w:ascii="Arial" w:cs="Arial" w:eastAsia="Arial" w:hAnsi="Arial"/>
                <w:sz w:val="16"/>
                <w:szCs w:val="16"/>
                <w:color w:val="auto"/>
                <w:w w:val="74"/>
              </w:rPr>
              <w:t>)</w:t>
            </w:r>
          </w:p>
        </w:tc>
        <w:tc>
          <w:tcPr>
            <w:tcW w:w="34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(13</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r>
      <w:tr>
        <w:trPr>
          <w:trHeight w:val="382"/>
        </w:trPr>
        <w:tc>
          <w:tcPr>
            <w:tcW w:w="320" w:type="dxa"/>
            <w:vAlign w:val="bottom"/>
          </w:tcPr>
          <w:p>
            <w:pPr>
              <w:jc w:val="right"/>
              <w:ind w:right="166"/>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6"/>
                <w:szCs w:val="16"/>
                <w:color w:val="auto"/>
              </w:rPr>
              <w:t>(534,267)</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(31,606)</w:t>
            </w:r>
          </w:p>
        </w:tc>
      </w:tr>
      <w:tr>
        <w:trPr>
          <w:trHeight w:val="204"/>
        </w:trPr>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611,551</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125,777</w:t>
            </w:r>
          </w:p>
        </w:tc>
        <w:tc>
          <w:tcPr>
            <w:tcW w:w="40" w:type="dxa"/>
            <w:vAlign w:val="bottom"/>
          </w:tcPr>
          <w:p>
            <w:pPr>
              <w:spacing w:after="0"/>
              <w:rPr>
                <w:sz w:val="17"/>
                <w:szCs w:val="17"/>
                <w:color w:val="auto"/>
              </w:rPr>
            </w:pPr>
          </w:p>
        </w:tc>
      </w:tr>
      <w:tr>
        <w:trPr>
          <w:trHeight w:val="24"/>
        </w:trPr>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9"/>
        </w:trPr>
        <w:tc>
          <w:tcPr>
            <w:tcW w:w="32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77,284</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94,171</w:t>
            </w:r>
          </w:p>
        </w:tc>
        <w:tc>
          <w:tcPr>
            <w:tcW w:w="40" w:type="dxa"/>
            <w:vAlign w:val="bottom"/>
          </w:tcPr>
          <w:p>
            <w:pPr>
              <w:spacing w:after="0"/>
              <w:rPr>
                <w:sz w:val="19"/>
                <w:szCs w:val="19"/>
                <w:color w:val="auto"/>
              </w:rPr>
            </w:pPr>
          </w:p>
        </w:tc>
      </w:tr>
      <w:tr>
        <w:trPr>
          <w:trHeight w:val="20"/>
        </w:trPr>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748"/>
        </w:trPr>
        <w:tc>
          <w:tcPr>
            <w:tcW w:w="320" w:type="dxa"/>
            <w:vAlign w:val="bottom"/>
          </w:tcPr>
          <w:p>
            <w:pPr>
              <w:spacing w:after="0"/>
              <w:rPr>
                <w:sz w:val="24"/>
                <w:szCs w:val="2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1,292</w:t>
            </w:r>
          </w:p>
        </w:tc>
        <w:tc>
          <w:tcPr>
            <w:tcW w:w="34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1,477</w:t>
            </w:r>
          </w:p>
        </w:tc>
        <w:tc>
          <w:tcPr>
            <w:tcW w:w="40" w:type="dxa"/>
            <w:vAlign w:val="bottom"/>
          </w:tcPr>
          <w:p>
            <w:pPr>
              <w:spacing w:after="0"/>
              <w:rPr>
                <w:sz w:val="24"/>
                <w:szCs w:val="24"/>
                <w:color w:val="auto"/>
              </w:rPr>
            </w:pPr>
          </w:p>
        </w:tc>
      </w:tr>
      <w:tr>
        <w:trPr>
          <w:trHeight w:val="191"/>
        </w:trPr>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697</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412</w:t>
            </w:r>
          </w:p>
        </w:tc>
        <w:tc>
          <w:tcPr>
            <w:tcW w:w="40" w:type="dxa"/>
            <w:vAlign w:val="bottom"/>
          </w:tcPr>
          <w:p>
            <w:pPr>
              <w:spacing w:after="0"/>
              <w:rPr>
                <w:sz w:val="16"/>
                <w:szCs w:val="16"/>
                <w:color w:val="auto"/>
              </w:rPr>
            </w:pPr>
          </w:p>
        </w:tc>
      </w:tr>
      <w:tr>
        <w:trPr>
          <w:trHeight w:val="191"/>
        </w:trPr>
        <w:tc>
          <w:tcPr>
            <w:tcW w:w="3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4</w:t>
            </w: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w:t>
            </w:r>
          </w:p>
        </w:tc>
        <w:tc>
          <w:tcPr>
            <w:tcW w:w="40" w:type="dxa"/>
            <w:vAlign w:val="bottom"/>
          </w:tcPr>
          <w:p>
            <w:pPr>
              <w:spacing w:after="0"/>
              <w:rPr>
                <w:sz w:val="16"/>
                <w:szCs w:val="16"/>
                <w:color w:val="auto"/>
              </w:rPr>
            </w:pPr>
          </w:p>
        </w:tc>
      </w:tr>
      <w:tr>
        <w:trPr>
          <w:trHeight w:val="191"/>
        </w:trPr>
        <w:tc>
          <w:tcPr>
            <w:tcW w:w="3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63</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6"/>
                <w:szCs w:val="16"/>
                <w:color w:val="auto"/>
              </w:rPr>
            </w:pPr>
          </w:p>
        </w:tc>
      </w:tr>
      <w:tr>
        <w:trPr>
          <w:trHeight w:val="204"/>
        </w:trPr>
        <w:tc>
          <w:tcPr>
            <w:tcW w:w="320" w:type="dxa"/>
            <w:vAlign w:val="bottom"/>
          </w:tcPr>
          <w:p>
            <w:pPr>
              <w:spacing w:after="0"/>
              <w:rPr>
                <w:sz w:val="17"/>
                <w:szCs w:val="17"/>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5,746</w:t>
            </w:r>
          </w:p>
        </w:tc>
        <w:tc>
          <w:tcPr>
            <w:tcW w:w="3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263</w:t>
            </w:r>
          </w:p>
        </w:tc>
        <w:tc>
          <w:tcPr>
            <w:tcW w:w="40" w:type="dxa"/>
            <w:vAlign w:val="bottom"/>
          </w:tcPr>
          <w:p>
            <w:pPr>
              <w:spacing w:after="0"/>
              <w:rPr>
                <w:sz w:val="17"/>
                <w:szCs w:val="17"/>
                <w:color w:val="auto"/>
              </w:rPr>
            </w:pPr>
          </w:p>
        </w:tc>
      </w:tr>
    </w:tbl>
    <w:p>
      <w:pPr>
        <w:sectPr>
          <w:pgSz w:w="11900" w:h="16838" w:orient="portrait"/>
          <w:cols w:equalWidth="0" w:num="2">
            <w:col w:w="7960" w:space="720"/>
            <w:col w:w="2520"/>
          </w:cols>
          <w:pgMar w:left="320" w:top="816" w:right="379" w:bottom="1440" w:gutter="0" w:footer="0" w:header="0"/>
        </w:sectPr>
      </w:pPr>
    </w:p>
    <w:bookmarkStart w:id="13" w:name="page14"/>
    <w:bookmarkEnd w:id="13"/>
    <w:p>
      <w:pPr>
        <w:ind w:left="9140"/>
        <w:spacing w:after="0"/>
        <w:rPr>
          <w:sz w:val="20"/>
          <w:szCs w:val="20"/>
          <w:color w:val="auto"/>
        </w:rPr>
      </w:pPr>
      <w:r>
        <w:rPr>
          <w:rFonts w:ascii="Arial" w:cs="Arial" w:eastAsia="Arial" w:hAnsi="Arial"/>
          <w:sz w:val="17"/>
          <w:szCs w:val="17"/>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164465</wp:posOffset>
            </wp:positionV>
            <wp:extent cx="7203440" cy="4332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0" w:num="1">
            <w:col w:w="10140"/>
          </w:cols>
          <w:pgMar w:left="1440" w:top="116"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402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7203440" cy="43402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630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7203440"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630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7203440"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630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7203440" cy="43630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6">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7">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8">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9">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0">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1">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4725035</wp:posOffset>
            </wp:positionV>
            <wp:extent cx="7148195" cy="152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43326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3">
                      <a:extLst>
                        <a:ext uri="{28A0092B-C50C-407E-A947-70E740481C1C}"/>
                      </a:extLst>
                    </a:blip>
                    <a:srcRect/>
                    <a:stretch>
                      <a:fillRect/>
                    </a:stretch>
                  </pic:blipFill>
                  <pic:spPr bwMode="auto">
                    <a:xfrm>
                      <a:off x="0" y="0"/>
                      <a:ext cx="7203440" cy="43326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decimal"/>
      <w:start w:val="1"/>
    </w:lvl>
  </w:abstractNum>
  <w:abstractNum w:abstractNumId="3">
    <w:nsid w:val="3D1B58BA"/>
    <w:multiLevelType w:val="hybridMultilevel"/>
    <w:lvl w:ilvl="0">
      <w:lvlJc w:val="left"/>
      <w:lvlText w:val="(%1)"/>
      <w:numFmt w:val="decimal"/>
      <w:start w:val="408"/>
    </w:lvl>
  </w:abstractNum>
  <w:abstractNum w:abstractNumId="4">
    <w:nsid w:val="507ED7AB"/>
    <w:multiLevelType w:val="hybridMultilevel"/>
    <w:lvl w:ilvl="0">
      <w:lvlJc w:val="left"/>
      <w:lvlText w:val="(%1)"/>
      <w:numFmt w:val="decimal"/>
      <w:start w:val="305"/>
    </w:lvl>
  </w:abstractNum>
  <w:abstractNum w:abstractNumId="5">
    <w:nsid w:val="2EB141F2"/>
    <w:multiLevelType w:val="hybridMultilevel"/>
    <w:lvl w:ilvl="0">
      <w:lvlJc w:val="left"/>
      <w:lvlText w:val="6"/>
      <w:numFmt w:val="bullet"/>
      <w:start w:val="1"/>
    </w:lvl>
  </w:abstractNum>
  <w:abstractNum w:abstractNumId="6">
    <w:nsid w:val="41B71EFB"/>
    <w:multiLevelType w:val="hybridMultilevel"/>
    <w:lvl w:ilvl="0">
      <w:lvlJc w:val="left"/>
      <w:lvlText w:val="(%1)"/>
      <w:numFmt w:val="decimal"/>
      <w:start w:val="18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96" Type="http://schemas.openxmlformats.org/officeDocument/2006/relationships/image" Target="media/image87.png"/><Relationship Id="rId97" Type="http://schemas.openxmlformats.org/officeDocument/2006/relationships/image" Target="media/image88.png"/><Relationship Id="rId98" Type="http://schemas.openxmlformats.org/officeDocument/2006/relationships/image" Target="media/image89.png"/><Relationship Id="rId99" Type="http://schemas.openxmlformats.org/officeDocument/2006/relationships/image" Target="media/image90.png"/><Relationship Id="rId100" Type="http://schemas.openxmlformats.org/officeDocument/2006/relationships/image" Target="media/image91.png"/><Relationship Id="rId101" Type="http://schemas.openxmlformats.org/officeDocument/2006/relationships/image" Target="media/image92.png"/><Relationship Id="rId102" Type="http://schemas.openxmlformats.org/officeDocument/2006/relationships/image" Target="media/image93.png"/><Relationship Id="rId103" Type="http://schemas.openxmlformats.org/officeDocument/2006/relationships/image" Target="media/image94.png"/><Relationship Id="rId13" Type="http://schemas.openxmlformats.org/officeDocument/2006/relationships/hyperlink" Target="http://www.sec.gov/Archives/edgar/data/1625791/000121390021017777/ea138332-s8_kornitdigital.htm" TargetMode="External"/><Relationship Id="rId14" Type="http://schemas.openxmlformats.org/officeDocument/2006/relationships/hyperlink" Target="http://www.sec.gov/Archives/edgar/data/1625791/000121390022016164/ea157447-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2022-05-11T15:14:43Z</dcterms:created>
  <dcterms:modified xsi:type="dcterms:W3CDTF">2022-05-11T15:14:43Z</dcterms:modified>
</cp:coreProperties>
</file>