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13G/A</w:t>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INFORMATION TO BE INCLUDED IN STATEMENTS FILED PURSUANT TO RULES 13d-1(b), (c) AND (d)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AND AMENDMENTS THERETO FILED PURSUANT TO RULE 13d-2(b)</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1"/>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82" w:lineRule="exact"/>
        <w:rPr>
          <w:rFonts w:ascii="MS PGothic" w:cs="MS PGothic" w:eastAsia="MS PGothic" w:hAnsi="MS PGothic"/>
          <w:sz w:val="22"/>
          <w:szCs w:val="22"/>
          <w:color w:val="auto"/>
        </w:rPr>
      </w:pPr>
    </w:p>
    <w:p>
      <w:pPr>
        <w:ind w:left="500" w:right="20" w:hanging="486"/>
        <w:spacing w:after="0" w:line="282" w:lineRule="auto"/>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22"/>
          <w:szCs w:val="22"/>
          <w:color w:val="auto"/>
        </w:rPr>
      </w:pPr>
    </w:p>
    <w:p>
      <w:pPr>
        <w:jc w:val="both"/>
        <w:ind w:left="500"/>
        <w:spacing w:after="0" w:line="266" w:lineRule="auto"/>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645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p>
      <w:pPr>
        <w:spacing w:after="0" w:line="63" w:lineRule="exact"/>
        <w:rPr>
          <w:sz w:val="20"/>
          <w:szCs w:val="20"/>
          <w:color w:val="auto"/>
        </w:rPr>
      </w:pPr>
    </w:p>
    <w:p>
      <w:pPr>
        <w:ind w:left="1440" w:right="3940" w:hanging="818"/>
        <w:spacing w:after="0" w:line="188" w:lineRule="auto"/>
        <w:tabs>
          <w:tab w:leader="none" w:pos="1431" w:val="left"/>
        </w:tabs>
        <w:numPr>
          <w:ilvl w:val="0"/>
          <w:numId w:val="4"/>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b w:val="1"/>
          <w:bCs w:val="1"/>
          <w:color w:val="auto"/>
        </w:rPr>
        <w:t xml:space="preserve">I.R.S. IDENTIFICATION NOS. OF ABOVE PERSONS (ENTITIES ONLY) </w:t>
      </w:r>
      <w:r>
        <w:rPr>
          <w:rFonts w:ascii="Times New Roman" w:cs="Times New Roman" w:eastAsia="Times New Roman" w:hAnsi="Times New Roman"/>
          <w:sz w:val="18"/>
          <w:szCs w:val="18"/>
          <w:color w:val="auto"/>
        </w:rPr>
        <w:t>Clal Insurance Enterprises Holdings Ltd.</w:t>
      </w:r>
    </w:p>
    <w:p>
      <w:pPr>
        <w:spacing w:after="0" w:line="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p>
      <w:pPr>
        <w:ind w:left="1420" w:hanging="798"/>
        <w:spacing w:after="0" w:line="322" w:lineRule="exact"/>
        <w:tabs>
          <w:tab w:leader="none" w:pos="142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p>
      <w:pPr>
        <w:spacing w:after="0" w:line="35" w:lineRule="exact"/>
        <w:rPr>
          <w:rFonts w:ascii="Times New Roman" w:cs="Times New Roman" w:eastAsia="Times New Roman" w:hAnsi="Times New Roman"/>
          <w:sz w:val="32"/>
          <w:szCs w:val="32"/>
          <w:b w:val="1"/>
          <w:bCs w:val="1"/>
          <w:color w:val="auto"/>
        </w:rPr>
      </w:pPr>
    </w:p>
    <w:p>
      <w:pPr>
        <w:ind w:left="1420"/>
        <w:spacing w:after="0" w:line="207" w:lineRule="exact"/>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p>
      <w:pPr>
        <w:spacing w:after="0" w:line="51" w:lineRule="exact"/>
        <w:rPr>
          <w:rFonts w:ascii="Times New Roman" w:cs="Times New Roman" w:eastAsia="Times New Roman" w:hAnsi="Times New Roman"/>
          <w:sz w:val="32"/>
          <w:szCs w:val="32"/>
          <w:b w:val="1"/>
          <w:bCs w:val="1"/>
          <w:color w:val="auto"/>
        </w:rPr>
      </w:pPr>
    </w:p>
    <w:p>
      <w:pPr>
        <w:ind w:left="142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b w:val="1"/>
          <w:bCs w:val="1"/>
          <w:color w:val="auto"/>
        </w:rPr>
        <w:t>SEC USE ONLY</w:t>
      </w:r>
    </w:p>
    <w:tbl>
      <w:tblPr>
        <w:tblLayout w:type="fixed"/>
        <w:tblInd w:w="0" w:type="dxa"/>
        <w:tblCellMar>
          <w:top w:w="0" w:type="dxa"/>
          <w:left w:w="0" w:type="dxa"/>
          <w:bottom w:w="0" w:type="dxa"/>
          <w:right w:w="0" w:type="dxa"/>
        </w:tblCellMar>
      </w:tblPr>
      <w:tr>
        <w:trPr>
          <w:trHeight w:val="59"/>
        </w:trPr>
        <w:tc>
          <w:tcPr>
            <w:tcW w:w="2040" w:type="dxa"/>
            <w:vAlign w:val="bottom"/>
            <w:vMerge w:val="restart"/>
          </w:tcPr>
          <w:p>
            <w:pPr>
              <w:jc w:val="right"/>
              <w:ind w:right="1154"/>
              <w:spacing w:after="0" w:line="329" w:lineRule="exact"/>
              <w:rPr>
                <w:sz w:val="20"/>
                <w:szCs w:val="20"/>
                <w:color w:val="auto"/>
              </w:rPr>
            </w:pPr>
            <w:r>
              <w:rPr>
                <w:rFonts w:ascii="Times New Roman" w:cs="Times New Roman" w:eastAsia="Times New Roman" w:hAnsi="Times New Roman"/>
                <w:sz w:val="32"/>
                <w:szCs w:val="32"/>
                <w:b w:val="1"/>
                <w:bCs w:val="1"/>
                <w:color w:val="auto"/>
              </w:rPr>
              <w:t>3</w:t>
            </w:r>
          </w:p>
        </w:tc>
        <w:tc>
          <w:tcPr>
            <w:tcW w:w="660" w:type="dxa"/>
            <w:vAlign w:val="bottom"/>
          </w:tcPr>
          <w:p>
            <w:pPr>
              <w:spacing w:after="0"/>
              <w:rPr>
                <w:sz w:val="5"/>
                <w:szCs w:val="5"/>
                <w:color w:val="auto"/>
              </w:rPr>
            </w:pPr>
          </w:p>
        </w:tc>
        <w:tc>
          <w:tcPr>
            <w:tcW w:w="8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8320" w:type="dxa"/>
            <w:vAlign w:val="bottom"/>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1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3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240" w:type="dxa"/>
            <w:vAlign w:val="bottom"/>
            <w:gridSpan w:val="6"/>
          </w:tcPr>
          <w:p>
            <w:pPr>
              <w:ind w:left="1420"/>
              <w:spacing w:after="0" w:line="182" w:lineRule="exact"/>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33"/>
        </w:trPr>
        <w:tc>
          <w:tcPr>
            <w:tcW w:w="2040" w:type="dxa"/>
            <w:vAlign w:val="bottom"/>
          </w:tcPr>
          <w:p>
            <w:pPr>
              <w:jc w:val="right"/>
              <w:ind w:right="1154"/>
              <w:spacing w:after="0" w:line="332" w:lineRule="exact"/>
              <w:rPr>
                <w:sz w:val="20"/>
                <w:szCs w:val="20"/>
                <w:color w:val="auto"/>
              </w:rPr>
            </w:pPr>
            <w:r>
              <w:rPr>
                <w:rFonts w:ascii="Times New Roman" w:cs="Times New Roman" w:eastAsia="Times New Roman" w:hAnsi="Times New Roman"/>
                <w:sz w:val="32"/>
                <w:szCs w:val="32"/>
                <w:b w:val="1"/>
                <w:bCs w:val="1"/>
                <w:color w:val="auto"/>
              </w:rPr>
              <w:t>4</w:t>
            </w:r>
          </w:p>
        </w:tc>
        <w:tc>
          <w:tcPr>
            <w:tcW w:w="6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Israel</w:t>
            </w:r>
          </w:p>
        </w:tc>
        <w:tc>
          <w:tcPr>
            <w:tcW w:w="66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54"/>
        </w:trPr>
        <w:tc>
          <w:tcPr>
            <w:tcW w:w="20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40" w:type="dxa"/>
            <w:vAlign w:val="bottom"/>
            <w:tcBorders>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21"/>
                <w:szCs w:val="21"/>
                <w:color w:val="auto"/>
              </w:rPr>
            </w:pPr>
          </w:p>
        </w:tc>
        <w:tc>
          <w:tcPr>
            <w:tcW w:w="8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85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2,357,941 Ordinary Shares *</w:t>
            </w:r>
          </w:p>
        </w:tc>
        <w:tc>
          <w:tcPr>
            <w:tcW w:w="0" w:type="dxa"/>
            <w:vAlign w:val="bottom"/>
          </w:tcPr>
          <w:p>
            <w:pPr>
              <w:spacing w:after="0"/>
              <w:rPr>
                <w:sz w:val="1"/>
                <w:szCs w:val="1"/>
                <w:color w:val="auto"/>
              </w:rPr>
            </w:pPr>
          </w:p>
        </w:tc>
      </w:tr>
      <w:tr>
        <w:trPr>
          <w:trHeight w:val="108"/>
        </w:trPr>
        <w:tc>
          <w:tcPr>
            <w:tcW w:w="2040" w:type="dxa"/>
            <w:vAlign w:val="bottom"/>
            <w:tcBorders>
              <w:right w:val="single" w:sz="8" w:color="auto"/>
            </w:tcBorders>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9"/>
                <w:szCs w:val="9"/>
                <w:color w:val="auto"/>
              </w:rPr>
            </w:pPr>
          </w:p>
        </w:tc>
        <w:tc>
          <w:tcPr>
            <w:tcW w:w="8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8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5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660" w:type="dxa"/>
            <w:vAlign w:val="bottom"/>
            <w:tcBorders>
              <w:right w:val="single" w:sz="8" w:color="auto"/>
            </w:tcBorders>
            <w:vMerge w:val="continue"/>
          </w:tcPr>
          <w:p>
            <w:pPr>
              <w:spacing w:after="0"/>
              <w:rPr>
                <w:sz w:val="24"/>
                <w:szCs w:val="24"/>
                <w:color w:val="auto"/>
              </w:rPr>
            </w:pPr>
          </w:p>
        </w:tc>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40" w:type="dxa"/>
            <w:vAlign w:val="bottom"/>
            <w:tcBorders>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354"/>
        </w:trPr>
        <w:tc>
          <w:tcPr>
            <w:tcW w:w="20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85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2,357,941 Ordinary Shares *</w:t>
            </w:r>
          </w:p>
        </w:tc>
        <w:tc>
          <w:tcPr>
            <w:tcW w:w="0" w:type="dxa"/>
            <w:vAlign w:val="bottom"/>
          </w:tcPr>
          <w:p>
            <w:pPr>
              <w:spacing w:after="0"/>
              <w:rPr>
                <w:sz w:val="1"/>
                <w:szCs w:val="1"/>
                <w:color w:val="auto"/>
              </w:rPr>
            </w:pPr>
          </w:p>
        </w:tc>
      </w:tr>
      <w:tr>
        <w:trPr>
          <w:trHeight w:val="159"/>
        </w:trPr>
        <w:tc>
          <w:tcPr>
            <w:tcW w:w="20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5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8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p>
      <w:pPr>
        <w:ind w:left="620"/>
        <w:spacing w:after="0" w:line="215" w:lineRule="auto"/>
        <w:rPr>
          <w:sz w:val="20"/>
          <w:szCs w:val="20"/>
          <w:color w:val="auto"/>
        </w:rPr>
      </w:pPr>
      <w:r>
        <w:rPr>
          <w:rFonts w:ascii="Times New Roman" w:cs="Times New Roman" w:eastAsia="Times New Roman" w:hAnsi="Times New Roman"/>
          <w:sz w:val="32"/>
          <w:szCs w:val="32"/>
          <w:b w:val="1"/>
          <w:bCs w:val="1"/>
          <w:color w:val="auto"/>
        </w:rPr>
        <w:t>9</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2,357,941 Ordinary Shares *</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p>
      <w:pPr>
        <w:ind w:left="540"/>
        <w:spacing w:after="0" w:line="211" w:lineRule="auto"/>
        <w:rPr>
          <w:sz w:val="20"/>
          <w:szCs w:val="20"/>
          <w:color w:val="auto"/>
        </w:rPr>
      </w:pPr>
      <w:r>
        <w:rPr>
          <w:rFonts w:ascii="Times New Roman" w:cs="Times New Roman" w:eastAsia="Times New Roman" w:hAnsi="Times New Roman"/>
          <w:sz w:val="32"/>
          <w:szCs w:val="32"/>
          <w:b w:val="1"/>
          <w:bCs w:val="1"/>
          <w:color w:val="auto"/>
        </w:rPr>
        <w:t>10</w:t>
      </w:r>
    </w:p>
    <w:p>
      <w:pPr>
        <w:spacing w:after="0" w:line="1" w:lineRule="exact"/>
        <w:rPr>
          <w:sz w:val="20"/>
          <w:szCs w:val="20"/>
          <w:color w:val="auto"/>
        </w:rPr>
      </w:pPr>
    </w:p>
    <w:p>
      <w:pPr>
        <w:ind w:left="1420"/>
        <w:spacing w:after="0" w:line="181" w:lineRule="exact"/>
        <w:rPr>
          <w:sz w:val="20"/>
          <w:szCs w:val="20"/>
          <w:color w:val="auto"/>
        </w:rPr>
      </w:pPr>
      <w:r>
        <w:rPr>
          <w:rFonts w:ascii="MS PGothic" w:cs="MS PGothic" w:eastAsia="MS PGothic" w:hAnsi="MS PGothic"/>
          <w:sz w:val="18"/>
          <w:szCs w:val="18"/>
          <w:color w:val="auto"/>
        </w:rPr>
        <w:t>☐</w:t>
      </w:r>
    </w:p>
    <w:p>
      <w:pPr>
        <w:spacing w:after="0" w:line="1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p>
      <w:pPr>
        <w:ind w:left="560"/>
        <w:spacing w:after="0" w:line="215" w:lineRule="auto"/>
        <w:rPr>
          <w:sz w:val="20"/>
          <w:szCs w:val="20"/>
          <w:color w:val="auto"/>
        </w:rPr>
      </w:pPr>
      <w:r>
        <w:rPr>
          <w:rFonts w:ascii="Times New Roman" w:cs="Times New Roman" w:eastAsia="Times New Roman" w:hAnsi="Times New Roman"/>
          <w:sz w:val="32"/>
          <w:szCs w:val="32"/>
          <w:b w:val="1"/>
          <w:bCs w:val="1"/>
          <w:color w:val="auto"/>
        </w:rPr>
        <w:t>11</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5.7%**</w:t>
      </w:r>
    </w:p>
    <w:p>
      <w:pPr>
        <w:spacing w:after="0" w:line="7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p>
      <w:pPr>
        <w:ind w:left="540"/>
        <w:spacing w:after="0" w:line="215" w:lineRule="auto"/>
        <w:rPr>
          <w:sz w:val="20"/>
          <w:szCs w:val="20"/>
          <w:color w:val="auto"/>
        </w:rPr>
      </w:pPr>
      <w:r>
        <w:rPr>
          <w:rFonts w:ascii="Times New Roman" w:cs="Times New Roman" w:eastAsia="Times New Roman" w:hAnsi="Times New Roman"/>
          <w:sz w:val="32"/>
          <w:szCs w:val="32"/>
          <w:b w:val="1"/>
          <w:bCs w:val="1"/>
          <w:color w:val="auto"/>
        </w:rPr>
        <w:t>12</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See Item 4.</w:t>
      </w:r>
    </w:p>
    <w:p>
      <w:pPr>
        <w:spacing w:after="0" w:line="29" w:lineRule="exact"/>
        <w:rPr>
          <w:sz w:val="20"/>
          <w:szCs w:val="20"/>
          <w:color w:val="auto"/>
        </w:rPr>
      </w:pPr>
    </w:p>
    <w:p>
      <w:pPr>
        <w:ind w:firstLine="8"/>
        <w:spacing w:after="0" w:line="272" w:lineRule="auto"/>
        <w:tabs>
          <w:tab w:leader="none" w:pos="29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41,199,718 Ordinary Shares outstanding as of September 16, 2020 (as reported by the Issuer its report on Form 424B5 filed with the Securities and Exchange Commission on September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87" w:lineRule="exact"/>
        <w:rPr>
          <w:sz w:val="20"/>
          <w:szCs w:val="20"/>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KORNIT DIGITAL LTD. (the “Issuer”).</w:t>
      </w:r>
    </w:p>
    <w:p>
      <w:pPr>
        <w:spacing w:after="0" w:line="279"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12 Ha’Amal Street, Rosh-Ha’Ayin 4809246, Israel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91" w:lineRule="exact"/>
        <w:rPr>
          <w:sz w:val="20"/>
          <w:szCs w:val="20"/>
          <w:color w:val="auto"/>
        </w:rPr>
      </w:pPr>
    </w:p>
    <w:p>
      <w:pPr>
        <w:ind w:left="780" w:hanging="772"/>
        <w:spacing w:after="0"/>
        <w:tabs>
          <w:tab w:leader="none" w:pos="7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8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22"/>
          <w:szCs w:val="22"/>
          <w:color w:val="auto"/>
        </w:rPr>
        <w:t>Clal Insurance Enterprises Holdings Ltd. (“Clal” or the “Reporting Person”). Clal, an Israeli public corporation, may be deemed to beneficially own the Ordinary Shares reported in this Statement. See Item 4.</w:t>
      </w:r>
    </w:p>
    <w:p>
      <w:pPr>
        <w:spacing w:after="0" w:line="20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Offices or, if none, Residence: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Clal Insurance Enterprises Holdings Ltd. – 36 Raul Walenberg St., Tel Aviv 66180, Israel</w:t>
      </w:r>
    </w:p>
    <w:p>
      <w:pPr>
        <w:spacing w:after="0" w:line="283"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of Organization:</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Israel.</w:t>
      </w:r>
    </w:p>
    <w:p>
      <w:pPr>
        <w:spacing w:after="0" w:line="283"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Ordinary Shares, NIS 0.01 par value (the “Ordinary Shares”).</w:t>
      </w:r>
    </w:p>
    <w:p>
      <w:pPr>
        <w:spacing w:after="0" w:line="283"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M6372Q113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2"/>
          <w:szCs w:val="22"/>
          <w:color w:val="auto"/>
        </w:rPr>
        <w:t>Of the 2,357,941 Ordinary Shares reported in this Statement as beneficially owned by Clal, (i) 19,966 Ordinary Shares are beneficially held for its own account; and (ii) 2,337,975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Clal, that it is the beneficial owner of more than 19,966 Ordinary Shares covered by this Statement</w:t>
      </w:r>
    </w:p>
    <w:p>
      <w:pPr>
        <w:spacing w:after="0" w:line="2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Except as set forth above, see items 5-11 of the cover page hereto for beneficial ownership, percentage of class and dispositive power of the Reporting Person, which are incorporated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ind w:left="660" w:right="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660" w:right="2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392" w:right="3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Certifications</w:t>
      </w:r>
    </w:p>
    <w:p>
      <w:pPr>
        <w:spacing w:after="0" w:line="291" w:lineRule="exact"/>
        <w:rPr>
          <w:sz w:val="20"/>
          <w:szCs w:val="20"/>
          <w:color w:val="auto"/>
        </w:rPr>
      </w:pPr>
    </w:p>
    <w:p>
      <w:pPr>
        <w:ind w:left="660"/>
        <w:spacing w:after="0" w:line="26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2021</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CLAL INSURANCE ENTERPRISES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HOLDINGS LTD.</w:t>
      </w:r>
    </w:p>
    <w:p>
      <w:pPr>
        <w:spacing w:after="0" w:line="207" w:lineRule="exact"/>
        <w:rPr>
          <w:sz w:val="20"/>
          <w:szCs w:val="20"/>
          <w:color w:val="auto"/>
        </w:rPr>
      </w:pPr>
    </w:p>
    <w:p>
      <w:pPr>
        <w:ind w:left="5640"/>
        <w:spacing w:after="0"/>
        <w:tabs>
          <w:tab w:leader="none" w:pos="7520" w:val="left"/>
        </w:tabs>
        <w:rPr>
          <w:sz w:val="20"/>
          <w:szCs w:val="20"/>
          <w:color w:val="auto"/>
        </w:rPr>
      </w:pPr>
      <w:r>
        <w:rPr>
          <w:rFonts w:ascii="Times New Roman" w:cs="Times New Roman" w:eastAsia="Times New Roman" w:hAnsi="Times New Roman"/>
          <w:sz w:val="18"/>
          <w:szCs w:val="18"/>
          <w:color w:val="auto"/>
        </w:rPr>
        <w:t>BY: /s/ Eran Czerninski</w:t>
      </w:r>
      <w:r>
        <w:rPr>
          <w:sz w:val="20"/>
          <w:szCs w:val="20"/>
          <w:color w:val="auto"/>
        </w:rPr>
        <w:tab/>
      </w:r>
      <w:r>
        <w:rPr>
          <w:rFonts w:ascii="Times New Roman" w:cs="Times New Roman" w:eastAsia="Times New Roman" w:hAnsi="Times New Roman"/>
          <w:sz w:val="17"/>
          <w:szCs w:val="17"/>
          <w:color w:val="auto"/>
        </w:rPr>
        <w:t>/s/ Yossi Dory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Eran Czerninski and Yossi Dory, authorized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signatories of</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CLAL INSURANCE ENTERPRISES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lowerLetter"/>
      <w:start w:val="4"/>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2021-02-16T08:24:58Z</dcterms:created>
  <dcterms:modified xsi:type="dcterms:W3CDTF">2021-02-16T08:24:58Z</dcterms:modified>
</cp:coreProperties>
</file>