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62953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6295390"/>
                    </a:xfrm>
                    <a:prstGeom prst="rect">
                      <a:avLst/>
                    </a:prstGeom>
                    <a:noFill/>
                  </pic:spPr>
                </pic:pic>
              </a:graphicData>
            </a:graphic>
          </wp:anchor>
        </w:drawing>
      </w:r>
    </w:p>
    <w:p>
      <w:pPr>
        <w:sectPr>
          <w:pgSz w:w="11900" w:h="16870" w:orient="portrait"/>
          <w:cols w:equalWidth="0" w:num="1">
            <w:col w:w="10940"/>
          </w:cols>
          <w:pgMar w:left="480" w:top="230" w:right="479" w:bottom="0"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Gazit Daniel</w:t>
        </w:r>
      </w:hyperlink>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ind w:firstLine="2"/>
        <w:spacing w:after="0" w:line="256"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0000FF"/>
        </w:rPr>
        <w:t>03/18/2026</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Kornit Digital Ltd.</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KRNT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70" w:orient="portrait"/>
          <w:cols w:equalWidth="0" w:num="3">
            <w:col w:w="2960" w:space="400"/>
            <w:col w:w="1360" w:space="280"/>
            <w:col w:w="5940"/>
          </w:cols>
          <w:pgMar w:left="480" w:top="230" w:right="479" w:bottom="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457"/>
        <w:spacing w:after="0" w:line="275" w:lineRule="auto"/>
        <w:rPr>
          <w:sz w:val="20"/>
          <w:szCs w:val="20"/>
          <w:color w:val="auto"/>
        </w:rPr>
      </w:pPr>
      <w:r>
        <w:rPr>
          <w:rFonts w:ascii="Times New Roman" w:cs="Times New Roman" w:eastAsia="Times New Roman" w:hAnsi="Times New Roman"/>
          <w:sz w:val="20"/>
          <w:szCs w:val="20"/>
          <w:color w:val="0000FF"/>
        </w:rPr>
        <w:t>C/O KORNIT DIGITAL LTD., 12 HA'AMAL ST.</w:t>
      </w:r>
    </w:p>
    <w:p>
      <w:pPr>
        <w:spacing w:after="0" w:line="32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40" w:type="dxa"/>
            <w:vAlign w:val="bottom"/>
          </w:tcPr>
          <w:p>
            <w:pPr>
              <w:spacing w:after="0"/>
              <w:rPr>
                <w:sz w:val="20"/>
                <w:szCs w:val="20"/>
                <w:color w:val="auto"/>
              </w:rPr>
            </w:pPr>
            <w:r>
              <w:rPr>
                <w:rFonts w:ascii="Arial" w:cs="Arial" w:eastAsia="Arial" w:hAnsi="Arial"/>
                <w:sz w:val="15"/>
                <w:szCs w:val="15"/>
                <w:color w:val="auto"/>
              </w:rPr>
              <w:t>(Street)</w:t>
            </w:r>
          </w:p>
        </w:tc>
        <w:tc>
          <w:tcPr>
            <w:tcW w:w="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9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ROSH-</w:t>
            </w:r>
          </w:p>
        </w:tc>
        <w:tc>
          <w:tcPr>
            <w:tcW w:w="74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0000FF"/>
              </w:rPr>
              <w:t>L3</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4809246</w:t>
            </w:r>
          </w:p>
        </w:tc>
        <w:tc>
          <w:tcPr>
            <w:tcW w:w="0" w:type="dxa"/>
            <w:vAlign w:val="bottom"/>
          </w:tcPr>
          <w:p>
            <w:pPr>
              <w:spacing w:after="0"/>
              <w:rPr>
                <w:sz w:val="1"/>
                <w:szCs w:val="1"/>
                <w:color w:val="auto"/>
              </w:rPr>
            </w:pPr>
          </w:p>
        </w:tc>
      </w:tr>
      <w:tr>
        <w:trPr>
          <w:trHeight w:val="134"/>
        </w:trPr>
        <w:tc>
          <w:tcPr>
            <w:tcW w:w="9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HA'AYIN</w:t>
            </w:r>
          </w:p>
        </w:tc>
        <w:tc>
          <w:tcPr>
            <w:tcW w:w="74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94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383"/>
        <w:spacing w:after="0"/>
        <w:rPr>
          <w:sz w:val="20"/>
          <w:szCs w:val="20"/>
          <w:color w:val="auto"/>
        </w:rPr>
      </w:pPr>
      <w:r>
        <w:rPr>
          <w:rFonts w:ascii="Times New Roman" w:cs="Times New Roman" w:eastAsia="Times New Roman" w:hAnsi="Times New Roman"/>
          <w:sz w:val="20"/>
          <w:szCs w:val="20"/>
          <w:color w:val="0000FF"/>
        </w:rPr>
        <w:t>CHIEF PRODUCT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70" w:orient="portrait"/>
          <w:cols w:equalWidth="0" w:num="3">
            <w:col w:w="4277" w:space="720"/>
            <w:col w:w="3003" w:space="269"/>
            <w:col w:w="2671"/>
          </w:cols>
          <w:pgMar w:left="480" w:top="230" w:right="479" w:bottom="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35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Ordinary shares</w:t>
            </w:r>
          </w:p>
        </w:tc>
        <w:tc>
          <w:tcPr>
            <w:tcW w:w="3240" w:type="dxa"/>
            <w:vAlign w:val="bottom"/>
          </w:tcPr>
          <w:p>
            <w:pPr>
              <w:jc w:val="center"/>
              <w:ind w:left="1302"/>
              <w:spacing w:after="0"/>
              <w:rPr>
                <w:sz w:val="20"/>
                <w:szCs w:val="20"/>
                <w:color w:val="auto"/>
              </w:rPr>
            </w:pPr>
            <w:r>
              <w:rPr>
                <w:rFonts w:ascii="Times New Roman" w:cs="Times New Roman" w:eastAsia="Times New Roman" w:hAnsi="Times New Roman"/>
                <w:sz w:val="20"/>
                <w:szCs w:val="20"/>
                <w:color w:val="0000FF"/>
                <w:w w:val="97"/>
              </w:rPr>
              <w:t>6,978</w:t>
            </w:r>
          </w:p>
        </w:tc>
        <w:tc>
          <w:tcPr>
            <w:tcW w:w="4140" w:type="dxa"/>
            <w:vAlign w:val="bottom"/>
          </w:tcPr>
          <w:p>
            <w:pPr>
              <w:ind w:left="640"/>
              <w:spacing w:after="0"/>
              <w:rPr>
                <w:sz w:val="20"/>
                <w:szCs w:val="20"/>
                <w:color w:val="auto"/>
              </w:rPr>
            </w:pPr>
            <w:r>
              <w:rPr>
                <w:rFonts w:ascii="Times New Roman" w:cs="Times New Roman" w:eastAsia="Times New Roman" w:hAnsi="Times New Roman"/>
                <w:sz w:val="20"/>
                <w:szCs w:val="20"/>
                <w:color w:val="0000FF"/>
              </w:rPr>
              <w:t>D</w:t>
            </w:r>
          </w:p>
        </w:tc>
        <w:tc>
          <w:tcPr>
            <w:tcW w:w="20" w:type="dxa"/>
            <w:vAlign w:val="bottom"/>
          </w:tcPr>
          <w:p>
            <w:pPr>
              <w:spacing w:after="0"/>
              <w:rPr>
                <w:sz w:val="22"/>
                <w:szCs w:val="22"/>
                <w:color w:val="auto"/>
              </w:rPr>
            </w:pPr>
          </w:p>
        </w:tc>
      </w:tr>
      <w:tr>
        <w:trPr>
          <w:trHeight w:val="72"/>
        </w:trPr>
        <w:tc>
          <w:tcPr>
            <w:tcW w:w="20" w:type="dxa"/>
            <w:vAlign w:val="bottom"/>
          </w:tcPr>
          <w:p>
            <w:pPr>
              <w:spacing w:after="0"/>
              <w:rPr>
                <w:sz w:val="6"/>
                <w:szCs w:val="6"/>
                <w:color w:val="auto"/>
              </w:rPr>
            </w:pPr>
          </w:p>
        </w:tc>
        <w:tc>
          <w:tcPr>
            <w:tcW w:w="3520" w:type="dxa"/>
            <w:vAlign w:val="bottom"/>
            <w:tcBorders>
              <w:bottom w:val="single" w:sz="8" w:color="2C2C2C"/>
            </w:tcBorders>
          </w:tcPr>
          <w:p>
            <w:pPr>
              <w:spacing w:after="0"/>
              <w:rPr>
                <w:sz w:val="6"/>
                <w:szCs w:val="6"/>
                <w:color w:val="auto"/>
              </w:rPr>
            </w:pPr>
          </w:p>
        </w:tc>
        <w:tc>
          <w:tcPr>
            <w:tcW w:w="3240" w:type="dxa"/>
            <w:vAlign w:val="bottom"/>
            <w:tcBorders>
              <w:bottom w:val="single" w:sz="8" w:color="2C2C2C"/>
            </w:tcBorders>
          </w:tcPr>
          <w:p>
            <w:pPr>
              <w:spacing w:after="0"/>
              <w:rPr>
                <w:sz w:val="6"/>
                <w:szCs w:val="6"/>
                <w:color w:val="auto"/>
              </w:rPr>
            </w:pPr>
          </w:p>
        </w:tc>
        <w:tc>
          <w:tcPr>
            <w:tcW w:w="41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370"/>
        </w:trPr>
        <w:tc>
          <w:tcPr>
            <w:tcW w:w="20" w:type="dxa"/>
            <w:vAlign w:val="bottom"/>
          </w:tcPr>
          <w:p>
            <w:pPr>
              <w:spacing w:after="0"/>
              <w:rPr>
                <w:sz w:val="24"/>
                <w:szCs w:val="24"/>
                <w:color w:val="auto"/>
              </w:rPr>
            </w:pPr>
          </w:p>
        </w:tc>
        <w:tc>
          <w:tcPr>
            <w:tcW w:w="35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Ordinary shares</w:t>
            </w:r>
            <w:r>
              <w:rPr>
                <w:rFonts w:ascii="Times New Roman" w:cs="Times New Roman" w:eastAsia="Times New Roman" w:hAnsi="Times New Roman"/>
                <w:sz w:val="25"/>
                <w:szCs w:val="25"/>
                <w:color w:val="008000"/>
                <w:vertAlign w:val="superscript"/>
              </w:rPr>
              <w:t>(1)</w:t>
            </w:r>
          </w:p>
        </w:tc>
        <w:tc>
          <w:tcPr>
            <w:tcW w:w="3240" w:type="dxa"/>
            <w:vAlign w:val="bottom"/>
            <w:tcBorders>
              <w:bottom w:val="single" w:sz="8" w:color="2C2C2C"/>
            </w:tcBorders>
          </w:tcPr>
          <w:p>
            <w:pPr>
              <w:jc w:val="center"/>
              <w:ind w:left="1302"/>
              <w:spacing w:after="0"/>
              <w:rPr>
                <w:sz w:val="20"/>
                <w:szCs w:val="20"/>
                <w:color w:val="auto"/>
              </w:rPr>
            </w:pPr>
            <w:r>
              <w:rPr>
                <w:rFonts w:ascii="Times New Roman" w:cs="Times New Roman" w:eastAsia="Times New Roman" w:hAnsi="Times New Roman"/>
                <w:sz w:val="20"/>
                <w:szCs w:val="20"/>
                <w:color w:val="0000FF"/>
                <w:w w:val="97"/>
              </w:rPr>
              <w:t>1,500</w:t>
            </w:r>
          </w:p>
        </w:tc>
        <w:tc>
          <w:tcPr>
            <w:tcW w:w="4140" w:type="dxa"/>
            <w:vAlign w:val="bottom"/>
            <w:tcBorders>
              <w:bottom w:val="single" w:sz="8" w:color="2C2C2C"/>
            </w:tcBorders>
          </w:tcPr>
          <w:p>
            <w:pPr>
              <w:ind w:left="640"/>
              <w:spacing w:after="0"/>
              <w:rPr>
                <w:sz w:val="20"/>
                <w:szCs w:val="20"/>
                <w:color w:val="auto"/>
              </w:rPr>
            </w:pPr>
            <w:r>
              <w:rPr>
                <w:rFonts w:ascii="Times New Roman" w:cs="Times New Roman" w:eastAsia="Times New Roman" w:hAnsi="Times New Roman"/>
                <w:sz w:val="20"/>
                <w:szCs w:val="20"/>
                <w:color w:val="0000FF"/>
              </w:rPr>
              <w:t>D</w:t>
            </w:r>
          </w:p>
        </w:tc>
        <w:tc>
          <w:tcPr>
            <w:tcW w:w="20" w:type="dxa"/>
            <w:vAlign w:val="bottom"/>
          </w:tcPr>
          <w:p>
            <w:pPr>
              <w:spacing w:after="0"/>
              <w:rPr>
                <w:sz w:val="24"/>
                <w:szCs w:val="24"/>
                <w:color w:val="auto"/>
              </w:rPr>
            </w:pPr>
          </w:p>
        </w:tc>
      </w:tr>
      <w:tr>
        <w:trPr>
          <w:trHeight w:val="370"/>
        </w:trPr>
        <w:tc>
          <w:tcPr>
            <w:tcW w:w="20" w:type="dxa"/>
            <w:vAlign w:val="bottom"/>
          </w:tcPr>
          <w:p>
            <w:pPr>
              <w:spacing w:after="0"/>
              <w:rPr>
                <w:sz w:val="24"/>
                <w:szCs w:val="24"/>
                <w:color w:val="auto"/>
              </w:rPr>
            </w:pPr>
          </w:p>
        </w:tc>
        <w:tc>
          <w:tcPr>
            <w:tcW w:w="35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Ordinary shares</w:t>
            </w:r>
            <w:r>
              <w:rPr>
                <w:rFonts w:ascii="Times New Roman" w:cs="Times New Roman" w:eastAsia="Times New Roman" w:hAnsi="Times New Roman"/>
                <w:sz w:val="25"/>
                <w:szCs w:val="25"/>
                <w:color w:val="008000"/>
                <w:vertAlign w:val="superscript"/>
              </w:rPr>
              <w:t>(2)</w:t>
            </w:r>
          </w:p>
        </w:tc>
        <w:tc>
          <w:tcPr>
            <w:tcW w:w="3240" w:type="dxa"/>
            <w:vAlign w:val="bottom"/>
            <w:tcBorders>
              <w:bottom w:val="single" w:sz="8" w:color="2C2C2C"/>
            </w:tcBorders>
          </w:tcPr>
          <w:p>
            <w:pPr>
              <w:jc w:val="center"/>
              <w:ind w:left="1302"/>
              <w:spacing w:after="0"/>
              <w:rPr>
                <w:sz w:val="20"/>
                <w:szCs w:val="20"/>
                <w:color w:val="auto"/>
              </w:rPr>
            </w:pPr>
            <w:r>
              <w:rPr>
                <w:rFonts w:ascii="Times New Roman" w:cs="Times New Roman" w:eastAsia="Times New Roman" w:hAnsi="Times New Roman"/>
                <w:sz w:val="20"/>
                <w:szCs w:val="20"/>
                <w:color w:val="0000FF"/>
                <w:w w:val="97"/>
              </w:rPr>
              <w:t>4,385</w:t>
            </w:r>
          </w:p>
        </w:tc>
        <w:tc>
          <w:tcPr>
            <w:tcW w:w="4140" w:type="dxa"/>
            <w:vAlign w:val="bottom"/>
            <w:tcBorders>
              <w:bottom w:val="single" w:sz="8" w:color="2C2C2C"/>
            </w:tcBorders>
          </w:tcPr>
          <w:p>
            <w:pPr>
              <w:ind w:left="640"/>
              <w:spacing w:after="0"/>
              <w:rPr>
                <w:sz w:val="20"/>
                <w:szCs w:val="20"/>
                <w:color w:val="auto"/>
              </w:rPr>
            </w:pPr>
            <w:r>
              <w:rPr>
                <w:rFonts w:ascii="Times New Roman" w:cs="Times New Roman" w:eastAsia="Times New Roman" w:hAnsi="Times New Roman"/>
                <w:sz w:val="20"/>
                <w:szCs w:val="20"/>
                <w:color w:val="0000FF"/>
              </w:rPr>
              <w:t>D</w:t>
            </w:r>
          </w:p>
        </w:tc>
        <w:tc>
          <w:tcPr>
            <w:tcW w:w="20" w:type="dxa"/>
            <w:vAlign w:val="bottom"/>
          </w:tcPr>
          <w:p>
            <w:pPr>
              <w:spacing w:after="0"/>
              <w:rPr>
                <w:sz w:val="24"/>
                <w:szCs w:val="24"/>
                <w:color w:val="auto"/>
              </w:rPr>
            </w:pPr>
          </w:p>
        </w:tc>
      </w:tr>
      <w:tr>
        <w:trPr>
          <w:trHeight w:val="370"/>
        </w:trPr>
        <w:tc>
          <w:tcPr>
            <w:tcW w:w="20" w:type="dxa"/>
            <w:vAlign w:val="bottom"/>
          </w:tcPr>
          <w:p>
            <w:pPr>
              <w:spacing w:after="0"/>
              <w:rPr>
                <w:sz w:val="24"/>
                <w:szCs w:val="24"/>
                <w:color w:val="auto"/>
              </w:rPr>
            </w:pPr>
          </w:p>
        </w:tc>
        <w:tc>
          <w:tcPr>
            <w:tcW w:w="35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Ordinary shares</w:t>
            </w:r>
            <w:r>
              <w:rPr>
                <w:rFonts w:ascii="Times New Roman" w:cs="Times New Roman" w:eastAsia="Times New Roman" w:hAnsi="Times New Roman"/>
                <w:sz w:val="25"/>
                <w:szCs w:val="25"/>
                <w:color w:val="008000"/>
                <w:vertAlign w:val="superscript"/>
              </w:rPr>
              <w:t>(3)</w:t>
            </w:r>
          </w:p>
        </w:tc>
        <w:tc>
          <w:tcPr>
            <w:tcW w:w="3240" w:type="dxa"/>
            <w:vAlign w:val="bottom"/>
            <w:tcBorders>
              <w:bottom w:val="single" w:sz="8" w:color="2C2C2C"/>
            </w:tcBorders>
          </w:tcPr>
          <w:p>
            <w:pPr>
              <w:jc w:val="center"/>
              <w:ind w:left="1302"/>
              <w:spacing w:after="0"/>
              <w:rPr>
                <w:sz w:val="20"/>
                <w:szCs w:val="20"/>
                <w:color w:val="auto"/>
              </w:rPr>
            </w:pPr>
            <w:r>
              <w:rPr>
                <w:rFonts w:ascii="Times New Roman" w:cs="Times New Roman" w:eastAsia="Times New Roman" w:hAnsi="Times New Roman"/>
                <w:sz w:val="20"/>
                <w:szCs w:val="20"/>
                <w:color w:val="0000FF"/>
                <w:w w:val="94"/>
              </w:rPr>
              <w:t>10,188</w:t>
            </w:r>
          </w:p>
        </w:tc>
        <w:tc>
          <w:tcPr>
            <w:tcW w:w="4140" w:type="dxa"/>
            <w:vAlign w:val="bottom"/>
            <w:tcBorders>
              <w:bottom w:val="single" w:sz="8" w:color="2C2C2C"/>
            </w:tcBorders>
          </w:tcPr>
          <w:p>
            <w:pPr>
              <w:ind w:left="640"/>
              <w:spacing w:after="0"/>
              <w:rPr>
                <w:sz w:val="20"/>
                <w:szCs w:val="20"/>
                <w:color w:val="auto"/>
              </w:rPr>
            </w:pPr>
            <w:r>
              <w:rPr>
                <w:rFonts w:ascii="Times New Roman" w:cs="Times New Roman" w:eastAsia="Times New Roman" w:hAnsi="Times New Roman"/>
                <w:sz w:val="20"/>
                <w:szCs w:val="20"/>
                <w:color w:val="0000FF"/>
              </w:rPr>
              <w:t>D</w:t>
            </w:r>
          </w:p>
        </w:tc>
        <w:tc>
          <w:tcPr>
            <w:tcW w:w="20" w:type="dxa"/>
            <w:vAlign w:val="bottom"/>
          </w:tcPr>
          <w:p>
            <w:pPr>
              <w:spacing w:after="0"/>
              <w:rPr>
                <w:sz w:val="24"/>
                <w:szCs w:val="24"/>
                <w:color w:val="auto"/>
              </w:rPr>
            </w:pPr>
          </w:p>
        </w:tc>
      </w:tr>
      <w:tr>
        <w:trPr>
          <w:trHeight w:val="370"/>
        </w:trPr>
        <w:tc>
          <w:tcPr>
            <w:tcW w:w="20" w:type="dxa"/>
            <w:vAlign w:val="bottom"/>
          </w:tcPr>
          <w:p>
            <w:pPr>
              <w:spacing w:after="0"/>
              <w:rPr>
                <w:sz w:val="24"/>
                <w:szCs w:val="24"/>
                <w:color w:val="auto"/>
              </w:rPr>
            </w:pPr>
          </w:p>
        </w:tc>
        <w:tc>
          <w:tcPr>
            <w:tcW w:w="35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Ordinary shares</w:t>
            </w:r>
            <w:r>
              <w:rPr>
                <w:rFonts w:ascii="Times New Roman" w:cs="Times New Roman" w:eastAsia="Times New Roman" w:hAnsi="Times New Roman"/>
                <w:sz w:val="25"/>
                <w:szCs w:val="25"/>
                <w:color w:val="008000"/>
                <w:vertAlign w:val="superscript"/>
              </w:rPr>
              <w:t>(4)</w:t>
            </w:r>
          </w:p>
        </w:tc>
        <w:tc>
          <w:tcPr>
            <w:tcW w:w="3240" w:type="dxa"/>
            <w:vAlign w:val="bottom"/>
            <w:tcBorders>
              <w:bottom w:val="single" w:sz="8" w:color="2C2C2C"/>
            </w:tcBorders>
          </w:tcPr>
          <w:p>
            <w:pPr>
              <w:jc w:val="center"/>
              <w:ind w:left="1302"/>
              <w:spacing w:after="0"/>
              <w:rPr>
                <w:sz w:val="20"/>
                <w:szCs w:val="20"/>
                <w:color w:val="auto"/>
              </w:rPr>
            </w:pPr>
            <w:r>
              <w:rPr>
                <w:rFonts w:ascii="Times New Roman" w:cs="Times New Roman" w:eastAsia="Times New Roman" w:hAnsi="Times New Roman"/>
                <w:sz w:val="20"/>
                <w:szCs w:val="20"/>
                <w:color w:val="0000FF"/>
                <w:w w:val="94"/>
              </w:rPr>
              <w:t>13,345</w:t>
            </w:r>
          </w:p>
        </w:tc>
        <w:tc>
          <w:tcPr>
            <w:tcW w:w="4140" w:type="dxa"/>
            <w:vAlign w:val="bottom"/>
            <w:tcBorders>
              <w:bottom w:val="single" w:sz="8" w:color="2C2C2C"/>
            </w:tcBorders>
          </w:tcPr>
          <w:p>
            <w:pPr>
              <w:ind w:left="640"/>
              <w:spacing w:after="0"/>
              <w:rPr>
                <w:sz w:val="20"/>
                <w:szCs w:val="20"/>
                <w:color w:val="auto"/>
              </w:rPr>
            </w:pPr>
            <w:r>
              <w:rPr>
                <w:rFonts w:ascii="Times New Roman" w:cs="Times New Roman" w:eastAsia="Times New Roman" w:hAnsi="Times New Roman"/>
                <w:sz w:val="20"/>
                <w:szCs w:val="20"/>
                <w:color w:val="0000FF"/>
              </w:rPr>
              <w:t>D</w:t>
            </w:r>
          </w:p>
        </w:tc>
        <w:tc>
          <w:tcPr>
            <w:tcW w:w="20" w:type="dxa"/>
            <w:vAlign w:val="bottom"/>
          </w:tcPr>
          <w:p>
            <w:pPr>
              <w:spacing w:after="0"/>
              <w:rPr>
                <w:sz w:val="24"/>
                <w:szCs w:val="24"/>
                <w:color w:val="auto"/>
              </w:rPr>
            </w:pPr>
          </w:p>
        </w:tc>
      </w:tr>
      <w:tr>
        <w:trPr>
          <w:trHeight w:val="395"/>
        </w:trPr>
        <w:tc>
          <w:tcPr>
            <w:tcW w:w="20" w:type="dxa"/>
            <w:vAlign w:val="bottom"/>
            <w:tcBorders>
              <w:bottom w:val="single" w:sz="8" w:color="2C2C2C"/>
            </w:tcBorders>
          </w:tcPr>
          <w:p>
            <w:pPr>
              <w:spacing w:after="0"/>
              <w:rPr>
                <w:sz w:val="24"/>
                <w:szCs w:val="24"/>
                <w:color w:val="auto"/>
              </w:rPr>
            </w:pPr>
          </w:p>
        </w:tc>
        <w:tc>
          <w:tcPr>
            <w:tcW w:w="35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Ordinary shares</w:t>
            </w:r>
            <w:r>
              <w:rPr>
                <w:rFonts w:ascii="Times New Roman" w:cs="Times New Roman" w:eastAsia="Times New Roman" w:hAnsi="Times New Roman"/>
                <w:sz w:val="25"/>
                <w:szCs w:val="25"/>
                <w:color w:val="008000"/>
                <w:vertAlign w:val="superscript"/>
              </w:rPr>
              <w:t>(5)</w:t>
            </w:r>
          </w:p>
        </w:tc>
        <w:tc>
          <w:tcPr>
            <w:tcW w:w="3240" w:type="dxa"/>
            <w:vAlign w:val="bottom"/>
            <w:tcBorders>
              <w:bottom w:val="single" w:sz="8" w:color="2C2C2C"/>
            </w:tcBorders>
          </w:tcPr>
          <w:p>
            <w:pPr>
              <w:jc w:val="center"/>
              <w:ind w:left="1302"/>
              <w:spacing w:after="0"/>
              <w:rPr>
                <w:sz w:val="20"/>
                <w:szCs w:val="20"/>
                <w:color w:val="auto"/>
              </w:rPr>
            </w:pPr>
            <w:r>
              <w:rPr>
                <w:rFonts w:ascii="Times New Roman" w:cs="Times New Roman" w:eastAsia="Times New Roman" w:hAnsi="Times New Roman"/>
                <w:sz w:val="20"/>
                <w:szCs w:val="20"/>
                <w:color w:val="0000FF"/>
                <w:w w:val="97"/>
              </w:rPr>
              <w:t>9,342</w:t>
            </w:r>
          </w:p>
        </w:tc>
        <w:tc>
          <w:tcPr>
            <w:tcW w:w="4140" w:type="dxa"/>
            <w:vAlign w:val="bottom"/>
            <w:tcBorders>
              <w:bottom w:val="single" w:sz="8" w:color="2C2C2C"/>
            </w:tcBorders>
          </w:tcPr>
          <w:p>
            <w:pPr>
              <w:ind w:left="640"/>
              <w:spacing w:after="0"/>
              <w:rPr>
                <w:sz w:val="20"/>
                <w:szCs w:val="20"/>
                <w:color w:val="auto"/>
              </w:rPr>
            </w:pPr>
            <w:r>
              <w:rPr>
                <w:rFonts w:ascii="Times New Roman" w:cs="Times New Roman" w:eastAsia="Times New Roman" w:hAnsi="Times New Roman"/>
                <w:sz w:val="20"/>
                <w:szCs w:val="20"/>
                <w:color w:val="0000FF"/>
              </w:rPr>
              <w:t>D</w:t>
            </w:r>
          </w:p>
        </w:tc>
        <w:tc>
          <w:tcPr>
            <w:tcW w:w="20" w:type="dxa"/>
            <w:vAlign w:val="bottom"/>
            <w:tcBorders>
              <w:bottom w:val="single" w:sz="8" w:color="2C2C2C"/>
            </w:tcBorders>
          </w:tcPr>
          <w:p>
            <w:pPr>
              <w:spacing w:after="0"/>
              <w:rPr>
                <w:sz w:val="24"/>
                <w:szCs w:val="2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520" w:type="dxa"/>
            <w:vAlign w:val="bottom"/>
            <w:tcBorders>
              <w:top w:val="single" w:sz="8" w:color="808080"/>
            </w:tcBorders>
            <w:shd w:val="clear" w:color="auto" w:fill="2C2C2C"/>
          </w:tcPr>
          <w:p>
            <w:pPr>
              <w:spacing w:after="0" w:line="20" w:lineRule="exact"/>
              <w:rPr>
                <w:sz w:val="1"/>
                <w:szCs w:val="1"/>
                <w:color w:val="auto"/>
              </w:rPr>
            </w:pPr>
          </w:p>
        </w:tc>
        <w:tc>
          <w:tcPr>
            <w:tcW w:w="3240" w:type="dxa"/>
            <w:vAlign w:val="bottom"/>
            <w:tcBorders>
              <w:top w:val="single" w:sz="8" w:color="808080"/>
            </w:tcBorders>
            <w:shd w:val="clear" w:color="auto" w:fill="2C2C2C"/>
          </w:tcPr>
          <w:p>
            <w:pPr>
              <w:spacing w:after="0" w:line="20" w:lineRule="exact"/>
              <w:rPr>
                <w:sz w:val="1"/>
                <w:szCs w:val="1"/>
                <w:color w:val="auto"/>
              </w:rPr>
            </w:pPr>
          </w:p>
        </w:tc>
        <w:tc>
          <w:tcPr>
            <w:tcW w:w="414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08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8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8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8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980" w:type="dxa"/>
            <w:vAlign w:val="bottom"/>
          </w:tcPr>
          <w:p>
            <w:pPr>
              <w:ind w:left="6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8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4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0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Options (right to buy ordinary</w:t>
            </w:r>
          </w:p>
        </w:tc>
        <w:tc>
          <w:tcPr>
            <w:tcW w:w="98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(6)</w:t>
            </w:r>
          </w:p>
        </w:tc>
        <w:tc>
          <w:tcPr>
            <w:tcW w:w="880" w:type="dxa"/>
            <w:vAlign w:val="bottom"/>
            <w:vMerge w:val="restart"/>
          </w:tcPr>
          <w:p>
            <w:pPr>
              <w:jc w:val="right"/>
              <w:ind w:right="25"/>
              <w:spacing w:after="0"/>
              <w:rPr>
                <w:sz w:val="20"/>
                <w:szCs w:val="20"/>
                <w:color w:val="auto"/>
              </w:rPr>
            </w:pPr>
            <w:r>
              <w:rPr>
                <w:rFonts w:ascii="Times New Roman" w:cs="Times New Roman" w:eastAsia="Times New Roman" w:hAnsi="Times New Roman"/>
                <w:sz w:val="15"/>
                <w:szCs w:val="15"/>
                <w:color w:val="0000FF"/>
              </w:rPr>
              <w:t>01/31/2032</w:t>
            </w:r>
          </w:p>
        </w:tc>
        <w:tc>
          <w:tcPr>
            <w:tcW w:w="1740" w:type="dxa"/>
            <w:vAlign w:val="bottom"/>
            <w:vMerge w:val="restart"/>
          </w:tcPr>
          <w:p>
            <w:pPr>
              <w:ind w:left="320"/>
              <w:spacing w:after="0"/>
              <w:rPr>
                <w:sz w:val="20"/>
                <w:szCs w:val="20"/>
                <w:color w:val="auto"/>
              </w:rPr>
            </w:pPr>
            <w:r>
              <w:rPr>
                <w:rFonts w:ascii="Times New Roman" w:cs="Times New Roman" w:eastAsia="Times New Roman" w:hAnsi="Times New Roman"/>
                <w:sz w:val="20"/>
                <w:szCs w:val="20"/>
                <w:color w:val="0000FF"/>
              </w:rPr>
              <w:t>Ordinary shares</w:t>
            </w:r>
          </w:p>
        </w:tc>
        <w:tc>
          <w:tcPr>
            <w:tcW w:w="84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0000FF"/>
              </w:rPr>
              <w:t>7,000</w:t>
            </w:r>
          </w:p>
        </w:tc>
        <w:tc>
          <w:tcPr>
            <w:tcW w:w="980" w:type="dxa"/>
            <w:vAlign w:val="bottom"/>
            <w:vMerge w:val="restart"/>
          </w:tcPr>
          <w:p>
            <w:pPr>
              <w:ind w:left="220"/>
              <w:spacing w:after="0"/>
              <w:rPr>
                <w:sz w:val="20"/>
                <w:szCs w:val="20"/>
                <w:color w:val="auto"/>
              </w:rPr>
            </w:pPr>
            <w:r>
              <w:rPr>
                <w:rFonts w:ascii="Times New Roman" w:cs="Times New Roman" w:eastAsia="Times New Roman" w:hAnsi="Times New Roman"/>
                <w:sz w:val="20"/>
                <w:szCs w:val="20"/>
                <w:color w:val="0000FF"/>
              </w:rPr>
              <w:t>105.06</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shares)</w:t>
            </w: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8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120" w:firstLine="5"/>
        <w:spacing w:after="0" w:line="23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ordinary shares reported in this row consist of shares underlying restricted share units ("RSUs") that were granted to the Reporting Person on March 20, 2022 and that vest and settle for underlying ordinary shares in accordance with the following schedule: 25% of the RSUs vested and settled for underlying ordinary shares upon the one-year anniversary of the grant date, and an additional 6.25% of the RSUs vest and settle on a quarterly basis over the following three years such that all RSUs reported in this row will be fully vested and settled on the four-year anniversary of that grant date (March 20, 2026).</w:t>
      </w:r>
    </w:p>
    <w:p>
      <w:pPr>
        <w:spacing w:after="0" w:line="33" w:lineRule="exact"/>
        <w:rPr>
          <w:rFonts w:ascii="Times New Roman" w:cs="Times New Roman" w:eastAsia="Times New Roman" w:hAnsi="Times New Roman"/>
          <w:sz w:val="15"/>
          <w:szCs w:val="15"/>
          <w:color w:val="008000"/>
        </w:rPr>
      </w:pPr>
    </w:p>
    <w:p>
      <w:pPr>
        <w:ind w:left="40" w:right="240" w:firstLine="5"/>
        <w:spacing w:after="0" w:line="23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ordinary shares reported in this row consist of shares underlying RSUs that were granted to the Reporting Person on September 19, 2022 and that vest and settle for underlying ordinary shares in accordance with the following schedule: 25% of the RSUs vested and settled for underlying ordinary shares upon the one-year anniversary of the grant date, and an additional 6.25% of the RSUs vest and settle on a quarterly basis over the following three years such that all RSUs reported in this row will be fully vested and settled on the four-year anniversary of that grant date (September 19, 2026).</w:t>
      </w:r>
    </w:p>
    <w:p>
      <w:pPr>
        <w:spacing w:after="0" w:line="33" w:lineRule="exact"/>
        <w:rPr>
          <w:rFonts w:ascii="Times New Roman" w:cs="Times New Roman" w:eastAsia="Times New Roman" w:hAnsi="Times New Roman"/>
          <w:sz w:val="15"/>
          <w:szCs w:val="15"/>
          <w:color w:val="008000"/>
        </w:rPr>
      </w:pPr>
    </w:p>
    <w:p>
      <w:pPr>
        <w:ind w:left="40" w:right="140" w:firstLine="5"/>
        <w:spacing w:after="0" w:line="23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ordinary shares reported in this row consist of shares underlying RSUs that were granted to the Reporting Person on March 9, 2023 and that vest and settle for underlying ordinary shares in accordance with the following schedule: 25% of the RSUs vested and settled for underlying ordinary shares upon the one-year anniversary of the grant date, and an additional 6.25% of the RSUs vest and settle on a quarterly basis over the following three years such that all RSUs reported in this row will be fully vested and settled on the four-year anniversary of that grant date (March 9, 2027).</w:t>
      </w:r>
    </w:p>
    <w:p>
      <w:pPr>
        <w:spacing w:after="0" w:line="33" w:lineRule="exact"/>
        <w:rPr>
          <w:rFonts w:ascii="Times New Roman" w:cs="Times New Roman" w:eastAsia="Times New Roman" w:hAnsi="Times New Roman"/>
          <w:sz w:val="15"/>
          <w:szCs w:val="15"/>
          <w:color w:val="008000"/>
        </w:rPr>
      </w:pPr>
    </w:p>
    <w:p>
      <w:pPr>
        <w:ind w:left="40" w:right="140" w:firstLine="5"/>
        <w:spacing w:after="0" w:line="23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ordinary shares reported in this row consist of shares underlying RSUs that were granted to the Reporting Person on March 19, 2024 and that vest and settle for underlying ordinary shares in accordance with the following schedule: 25% of the RSUs vested and settled for underlying ordinary shares upon the one-year anniversary of the grant date, and an additional 6.25% of the RSUs vest and settle on a quarterly basis over the following three years such that all RSUs reported in this row will be fully vested and settled on the four-year anniversary of that grant date (March 19, 2028).</w:t>
      </w:r>
    </w:p>
    <w:p>
      <w:pPr>
        <w:spacing w:after="0" w:line="33" w:lineRule="exact"/>
        <w:rPr>
          <w:rFonts w:ascii="Times New Roman" w:cs="Times New Roman" w:eastAsia="Times New Roman" w:hAnsi="Times New Roman"/>
          <w:sz w:val="15"/>
          <w:szCs w:val="15"/>
          <w:color w:val="008000"/>
        </w:rPr>
      </w:pPr>
    </w:p>
    <w:p>
      <w:pPr>
        <w:ind w:left="40" w:right="60" w:firstLine="5"/>
        <w:spacing w:after="0" w:line="23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ordinary shares reported in this row consist of shares underlying RSUs that were granted to the Reporting Person on March 13, 2025 and that vest and settle for underlying ordinary shares in accordance with the following schedule: 25% of the RSUs will vest and settle for underlying ordinary shares upon the one-year anniversary of the grant date, and an additional 6.25% of the RSUs will vest and settle on a quarterly basis over the following three years such that all RSUs reported in this row will be fully vested and settled on the four-year anniversary of that grant date (March 13, 2029).</w:t>
      </w:r>
    </w:p>
    <w:p>
      <w:pPr>
        <w:spacing w:after="0" w:line="33"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options to purchase ordinary shares reported in this row were granted by the Issuer to the Reporting Person on January 31, 2022 and vest and become exercisable for</w:t>
      </w:r>
    </w:p>
    <w:p>
      <w:pPr>
        <w:sectPr>
          <w:pgSz w:w="11900" w:h="16870" w:orient="portrait"/>
          <w:cols w:equalWidth="0" w:num="1">
            <w:col w:w="10940"/>
          </w:cols>
          <w:pgMar w:left="480" w:top="230" w:right="479" w:bottom="0" w:gutter="0" w:footer="0" w:header="0"/>
          <w:type w:val="continuous"/>
        </w:sectPr>
      </w:pPr>
    </w:p>
    <w:bookmarkStart w:id="1" w:name="page2"/>
    <w:bookmarkEnd w:id="1"/>
    <w:p>
      <w:pPr>
        <w:ind w:right="200"/>
        <w:spacing w:after="0" w:line="244" w:lineRule="auto"/>
        <w:rPr>
          <w:sz w:val="20"/>
          <w:szCs w:val="20"/>
          <w:color w:val="auto"/>
        </w:rPr>
      </w:pPr>
      <w:r>
        <w:rPr>
          <w:rFonts w:ascii="Times New Roman" w:cs="Times New Roman" w:eastAsia="Times New Roman" w:hAnsi="Times New Roman"/>
          <w:sz w:val="15"/>
          <w:szCs w:val="15"/>
          <w:color w:val="008000"/>
        </w:rPr>
        <w:t>underlying ordinary shares in accordance with the following schedule: 25% of the options vested upon the one-year anniversary of the grant date, and an additional 6.25% of the options vest on a quarterly basis over the following three years such that all options reported in this row will be fully vested and exercisable on the four-year anniversary of the grant date (January 31, 2026).</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8000"/>
        </w:rPr>
        <w:t>Exhibit 24.1 - Power of Attorney</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Assaf Zipori, attorney-</w:t>
            </w:r>
          </w:p>
        </w:tc>
        <w:tc>
          <w:tcPr>
            <w:tcW w:w="18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03/18/2026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right="2160" w:firstLine="5"/>
        <w:spacing w:after="0" w:line="335"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25" w:right="55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20"/>
          <w:szCs w:val="20"/>
          <w:b w:val="1"/>
          <w:bCs w:val="1"/>
          <w:color w:val="auto"/>
        </w:rPr>
        <w:t>Exhibit 24.1</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ind w:right="20" w:firstLine="720"/>
        <w:spacing w:after="0" w:line="266"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Assaf Zipori, Chief Financial Officer of Kornit Digital Ltd.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with full power of substitution, signing individually, the undersigned’s true and lawful attorney-in fact and agent to:</w:t>
      </w:r>
    </w:p>
    <w:p>
      <w:pPr>
        <w:spacing w:after="0" w:line="196" w:lineRule="exact"/>
        <w:rPr>
          <w:sz w:val="20"/>
          <w:szCs w:val="20"/>
          <w:color w:val="auto"/>
        </w:rPr>
      </w:pPr>
    </w:p>
    <w:p>
      <w:pPr>
        <w:ind w:right="460" w:firstLine="720"/>
        <w:spacing w:after="0" w:line="258" w:lineRule="auto"/>
        <w:tabs>
          <w:tab w:leader="none" w:pos="9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in the undersigned’s name and on the undersigned’s behalf, and submit to the Securities and Exchange Commission (the “</w:t>
      </w:r>
      <w:r>
        <w:rPr>
          <w:rFonts w:ascii="Times New Roman" w:cs="Times New Roman" w:eastAsia="Times New Roman" w:hAnsi="Times New Roman"/>
          <w:sz w:val="20"/>
          <w:szCs w:val="20"/>
          <w:b w:val="1"/>
          <w:bCs w:val="1"/>
          <w:color w:val="auto"/>
        </w:rPr>
        <w:t>SEC</w:t>
      </w:r>
      <w:r>
        <w:rPr>
          <w:rFonts w:ascii="Times New Roman" w:cs="Times New Roman" w:eastAsia="Times New Roman" w:hAnsi="Times New Roman"/>
          <w:sz w:val="20"/>
          <w:szCs w:val="20"/>
          <w:color w:val="auto"/>
        </w:rPr>
        <w:t>”) Forms 3, 4 and 5 (including amendments thereto and joint filing agreements in connection therewith) in accordance with Section 16(a) of the Securities Exchange Act of 1934, as amended and the rules and regulations thereunder (the “</w:t>
      </w:r>
      <w:r>
        <w:rPr>
          <w:rFonts w:ascii="Times New Roman" w:cs="Times New Roman" w:eastAsia="Times New Roman" w:hAnsi="Times New Roman"/>
          <w:sz w:val="20"/>
          <w:szCs w:val="20"/>
          <w:b w:val="1"/>
          <w:bCs w:val="1"/>
          <w:color w:val="auto"/>
        </w:rPr>
        <w:t>Exchange Act</w:t>
      </w:r>
      <w:r>
        <w:rPr>
          <w:rFonts w:ascii="Times New Roman" w:cs="Times New Roman" w:eastAsia="Times New Roman" w:hAnsi="Times New Roman"/>
          <w:sz w:val="20"/>
          <w:szCs w:val="20"/>
          <w:color w:val="auto"/>
        </w:rPr>
        <w:t>”) in the undersigned’s capacity as an officer, director or beneficial owner of more than 10% of a registered class of securities of the Company;</w:t>
      </w:r>
    </w:p>
    <w:p>
      <w:pPr>
        <w:spacing w:after="0" w:line="205" w:lineRule="exact"/>
        <w:rPr>
          <w:sz w:val="20"/>
          <w:szCs w:val="20"/>
          <w:color w:val="auto"/>
        </w:rPr>
      </w:pPr>
    </w:p>
    <w:p>
      <w:pPr>
        <w:ind w:right="120" w:firstLine="720"/>
        <w:spacing w:after="0" w:line="266" w:lineRule="auto"/>
        <w:tabs>
          <w:tab w:leader="none" w:pos="9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that may be necessary or desirable to execute such Forms 3, 4, or 5, (including any amendments thereto) and timely file such forms with the SEC, and any stock exchange, self-regulatory association or similar authority; and</w:t>
      </w:r>
    </w:p>
    <w:p>
      <w:pPr>
        <w:spacing w:after="0" w:line="195" w:lineRule="exact"/>
        <w:rPr>
          <w:rFonts w:ascii="Times New Roman" w:cs="Times New Roman" w:eastAsia="Times New Roman" w:hAnsi="Times New Roman"/>
          <w:sz w:val="20"/>
          <w:szCs w:val="20"/>
          <w:color w:val="auto"/>
        </w:rPr>
      </w:pPr>
    </w:p>
    <w:p>
      <w:pPr>
        <w:ind w:right="40" w:firstLine="720"/>
        <w:spacing w:after="0" w:line="261" w:lineRule="auto"/>
        <w:tabs>
          <w:tab w:leader="none" w:pos="917"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nature whatsoever in connection with the foregoing that,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ind w:right="100" w:firstLine="720"/>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attorney-in-fact, and his substitutes, in serving in such capacity at the request of the undersigned, is not assuming (nor is the Company assuming) any of the undersigned’s responsibilities to comply with Section 16 of the Exchange Act.</w:t>
      </w:r>
    </w:p>
    <w:p>
      <w:pPr>
        <w:spacing w:after="0" w:line="210" w:lineRule="exact"/>
        <w:rPr>
          <w:sz w:val="20"/>
          <w:szCs w:val="20"/>
          <w:color w:val="auto"/>
        </w:rPr>
      </w:pPr>
    </w:p>
    <w:p>
      <w:pPr>
        <w:ind w:right="120" w:firstLine="720"/>
        <w:spacing w:after="0" w:line="261"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attorney-in-fact or (c) as to any attorney-in-fact individually, until such attorney-in-fact is no longer employed by the Company.</w:t>
      </w:r>
    </w:p>
    <w:p>
      <w:pPr>
        <w:spacing w:after="0" w:line="20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18th day of March,</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2026.</w:t>
      </w:r>
    </w:p>
    <w:p>
      <w:pPr>
        <w:spacing w:after="0" w:line="230" w:lineRule="exact"/>
        <w:rPr>
          <w:sz w:val="20"/>
          <w:szCs w:val="20"/>
          <w:color w:val="auto"/>
        </w:rPr>
      </w:pPr>
    </w:p>
    <w:p>
      <w:pPr>
        <w:ind w:left="6520"/>
        <w:spacing w:after="0"/>
        <w:tabs>
          <w:tab w:leader="none" w:pos="71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Daniel Gazit</w:t>
      </w:r>
    </w:p>
    <w:p>
      <w:pPr>
        <w:spacing w:after="0" w:line="30"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0"/>
          <w:szCs w:val="20"/>
          <w:color w:val="auto"/>
        </w:rPr>
        <w:t>Name: Daniel Gazit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4516755</wp:posOffset>
            </wp:positionH>
            <wp:positionV relativeFrom="paragraph">
              <wp:posOffset>-145415</wp:posOffset>
            </wp:positionV>
            <wp:extent cx="2430145"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430145" cy="19050"/>
                    </a:xfrm>
                    <a:prstGeom prst="rect">
                      <a:avLst/>
                    </a:prstGeom>
                    <a:noFill/>
                  </pic:spPr>
                </pic:pic>
              </a:graphicData>
            </a:graphic>
          </wp:anchor>
        </w:drawing>
      </w:r>
    </w:p>
    <w:sectPr>
      <w:pgSz w:w="11900" w:h="16838" w:orient="portrait"/>
      <w:cols w:equalWidth="0" w:num="1">
        <w:col w:w="10940"/>
      </w:cols>
      <w:pgMar w:left="480" w:top="11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2"/>
    </w:lvl>
  </w:abstractNum>
  <w:abstractNum w:abstractNumId="1">
    <w:nsid w:val="238E1F29"/>
    <w:multiLevelType w:val="hybridMultilevel"/>
    <w:lvl w:ilvl="0">
      <w:lvlJc w:val="left"/>
      <w:lvlText w:val="%1."/>
      <w:numFmt w:val="decimal"/>
      <w:start w:val="4"/>
    </w:lvl>
  </w:abstractNum>
  <w:abstractNum w:abstractNumId="2">
    <w:nsid w:val="46E87CCD"/>
    <w:multiLevelType w:val="hybridMultilevel"/>
    <w:lvl w:ilvl="0">
      <w:lvlJc w:val="left"/>
      <w:lvlText w:val="%1."/>
      <w:numFmt w:val="decimal"/>
      <w:start w:val="5"/>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970618" TargetMode="External"/><Relationship Id="rId11" Type="http://schemas.openxmlformats.org/officeDocument/2006/relationships/hyperlink" Target="http://www.sec.gov/cgi-bin/browse-edgar?action=getcompany&amp;CIK=00016257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2026-03-18T11:05:10Z</dcterms:created>
  <dcterms:modified xsi:type="dcterms:W3CDTF">2026-03-18T11:05:10Z</dcterms:modified>
</cp:coreProperties>
</file>