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i w:val="false"/>
          <w:caps w:val="false"/>
          <w:smallCaps w:val="false"/>
          <w:sz w:val="20"/>
        </w:rPr>
      </w:pPr>
      <w:bookmarkStart w:id="0" w:name="ea138332-s8_kornitdigital.htm"/>
      <w:bookmarkStart w:id="1" w:name="ksea138332s8_kornitdigital"/>
      <w:bookmarkEnd w:id="0"/>
      <w:bookmarkEnd w:id="1"/>
      <w:r>
        <w:rPr>
          <w:rFonts w:ascii="Times New Roman;Times;Serif" w:hAnsi="Times New Roman;Times;Serif"/>
          <w:b/>
          <w:i w:val="false"/>
          <w:caps w:val="false"/>
          <w:smallCaps w:val="false"/>
          <w:sz w:val="20"/>
        </w:rPr>
        <w:t>As filed with the Securities and Exchange Commission on March 25, 2021</w:t>
      </w:r>
    </w:p>
    <w:p>
      <w:pPr>
        <w:pStyle w:val="TextBody"/>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rPr>
          <w:bdr w:val="single" w:sz="16" w:space="1" w:color="000000"/>
        </w:rPr>
      </w:pPr>
      <w:r>
        <w:rPr>
          <w:bdr w:val="single" w:sz="16"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 THE</w:t>
        <w:br/>
        <w:t>SECURITIES ACT OF 1933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Kornit Digital Ltd.</w:t>
      </w:r>
      <w:r>
        <w:rPr>
          <w:rFonts w:ascii="Times New Roman;Times;Serif" w:hAnsi="Times New Roman;Times;Serif"/>
          <w:b w:val="false"/>
          <w:i w:val="false"/>
          <w:caps w:val="false"/>
          <w:smallCaps w:val="false"/>
          <w:sz w:val="20"/>
        </w:rPr>
        <w:br/>
        <w:t>(Exact name of registrant as specified in charter)</w:t>
      </w:r>
    </w:p>
    <w:p>
      <w:pPr>
        <w:pStyle w:val="TextBody"/>
        <w:jc w:val="center"/>
        <w:rPr>
          <w:caps w:val="false"/>
          <w:smallCaps w:val="false"/>
        </w:rPr>
      </w:pPr>
      <w:r>
        <w:rPr>
          <w:caps w:val="false"/>
          <w:smallCaps w:val="false"/>
        </w:rPr>
        <w:t> </w:t>
      </w:r>
    </w:p>
    <w:tbl>
      <w:tblPr>
        <w:tblW w:w="4810" w:type="dxa"/>
        <w:jc w:val="left"/>
        <w:tblInd w:w="0" w:type="dxa"/>
        <w:tblCellMar>
          <w:top w:w="0" w:type="dxa"/>
          <w:left w:w="0" w:type="dxa"/>
          <w:bottom w:w="28" w:type="dxa"/>
          <w:right w:w="0" w:type="dxa"/>
        </w:tblCellMar>
      </w:tblPr>
      <w:tblGrid>
        <w:gridCol w:w="3215"/>
        <w:gridCol w:w="60"/>
        <w:gridCol w:w="1535"/>
      </w:tblGrid>
      <w:tr>
        <w:trPr/>
        <w:tc>
          <w:tcPr>
            <w:tcW w:w="3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Israel</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321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1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215" w:type="dxa"/>
            <w:tcBorders>
              <w:bottom w:val="single" w:sz="12"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 Amal Street, Afek Park,</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Israel</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jc w:val="center"/>
              <w:rPr>
                <w:caps w:val="false"/>
                <w:smallCaps w:val="false"/>
              </w:rPr>
            </w:pPr>
            <w:r>
              <w:rPr>
                <w:caps w:val="false"/>
                <w:smallCaps w:val="false"/>
              </w:rPr>
              <w:t> </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4809246</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2015 Incentive Compensation Plan</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North America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 South Dean Street</w:t>
        <w:br/>
        <w:t>Englewood, NJ 07631, USA</w:t>
        <w:br/>
        <w:t>(201) 608-5750</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communications to:</w:t>
      </w:r>
    </w:p>
    <w:p>
      <w:pPr>
        <w:pStyle w:val="TextBody"/>
        <w:jc w:val="center"/>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2645"/>
        <w:gridCol w:w="60"/>
        <w:gridCol w:w="2375"/>
      </w:tblGrid>
      <w:tr>
        <w:trPr/>
        <w:tc>
          <w:tcPr>
            <w:tcW w:w="2645" w:type="dxa"/>
            <w:tcBorders/>
            <w:shd w:fill="auto" w:val="cle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Alon Rozner</w:t>
              <w:br/>
              <w:t>Chief Financial Officer</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 Amal Street, Afek Park,</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4809246, Israel</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+972-3-908-5800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+972-3-908-0280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375" w:type="dxa"/>
            <w:tcBorders/>
            <w:shd w:fill="auto" w:val="cle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Aviv Avidan-Shalit, Adv.</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M. Nathan, Adv.</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Meitar | Law Offices</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Abba Hillel Silver Rd.</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Gan 5250608, Israel</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+972-3-610-3100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+972-3-610-3111</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379"/>
        <w:gridCol w:w="60"/>
        <w:gridCol w:w="75"/>
        <w:gridCol w:w="1245"/>
        <w:gridCol w:w="289"/>
        <w:gridCol w:w="60"/>
        <w:gridCol w:w="229"/>
        <w:gridCol w:w="1120"/>
        <w:gridCol w:w="60"/>
        <w:gridCol w:w="60"/>
        <w:gridCol w:w="140"/>
        <w:gridCol w:w="1220"/>
        <w:gridCol w:w="60"/>
        <w:gridCol w:w="60"/>
        <w:gridCol w:w="182"/>
        <w:gridCol w:w="888"/>
        <w:gridCol w:w="78"/>
      </w:tblGrid>
      <w:tr>
        <w:trPr/>
        <w:tc>
          <w:tcPr>
            <w:tcW w:w="4379" w:type="dxa"/>
            <w:tcBorders>
              <w:bottom w:val="single" w:sz="12" w:space="0" w:color="000000"/>
            </w:tcBorders>
            <w:shd w:fill="auto" w:val="clear"/>
            <w:vAlign w:val="center"/>
          </w:tcPr>
          <w:p>
            <w:pPr>
              <w:pStyle w:val="TableContents"/>
              <w:spacing w:before="0" w:after="283"/>
              <w:rPr/>
            </w:pPr>
            <w:r>
              <w:rPr/>
              <w:t>Title of securities to be registered</w:t>
            </w:r>
          </w:p>
        </w:tc>
        <w:tc>
          <w:tcPr>
            <w:tcW w:w="60" w:type="dxa"/>
            <w:tcBorders/>
            <w:shd w:fill="auto" w:val="clear"/>
            <w:tcMar>
              <w:bottom w:w="0" w:type="dxa"/>
            </w:tcMar>
            <w:vAlign w:val="center"/>
          </w:tcPr>
          <w:p>
            <w:pPr>
              <w:pStyle w:val="TableContents"/>
              <w:spacing w:before="0" w:after="283"/>
              <w:rPr/>
            </w:pPr>
            <w:r>
              <w:rPr/>
              <w:t> </w:t>
            </w:r>
          </w:p>
        </w:tc>
        <w:tc>
          <w:tcPr>
            <w:tcW w:w="1320" w:type="dxa"/>
            <w:gridSpan w:val="2"/>
            <w:tcBorders>
              <w:bottom w:val="single" w:sz="12" w:space="0" w:color="000000"/>
            </w:tcBorders>
            <w:shd w:fill="auto" w:val="clear"/>
            <w:vAlign w:val="center"/>
          </w:tcPr>
          <w:p>
            <w:pPr>
              <w:pStyle w:val="TableContents"/>
              <w:spacing w:before="0" w:after="283"/>
              <w:jc w:val="center"/>
              <w:rPr/>
            </w:pPr>
            <w:r>
              <w:rPr/>
              <w:t>Amount to be</w:t>
              <w:br/>
              <w:t>registered</w:t>
              <w:br/>
              <w:t>(1)(2)</w:t>
            </w:r>
          </w:p>
        </w:tc>
        <w:tc>
          <w:tcPr>
            <w:tcW w:w="28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49" w:type="dxa"/>
            <w:gridSpan w:val="2"/>
            <w:tcBorders>
              <w:bottom w:val="single" w:sz="12" w:space="0" w:color="000000"/>
            </w:tcBorders>
            <w:shd w:fill="auto" w:val="clear"/>
            <w:vAlign w:val="center"/>
          </w:tcPr>
          <w:p>
            <w:pPr>
              <w:pStyle w:val="TableContents"/>
              <w:spacing w:before="0" w:after="283"/>
              <w:jc w:val="center"/>
              <w:rPr/>
            </w:pPr>
            <w:r>
              <w:rPr/>
              <w:t>Proposed</w:t>
              <w:br/>
              <w:t>maximum</w:t>
              <w:br/>
              <w:t xml:space="preserve">offering price </w:t>
              <w:br/>
              <w:t>per share</w:t>
              <w:br/>
              <w:t>(4)</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0" w:type="dxa"/>
            <w:gridSpan w:val="2"/>
            <w:tcBorders>
              <w:bottom w:val="single" w:sz="12" w:space="0" w:color="000000"/>
            </w:tcBorders>
            <w:shd w:fill="auto" w:val="clear"/>
            <w:vAlign w:val="center"/>
          </w:tcPr>
          <w:p>
            <w:pPr>
              <w:pStyle w:val="TableContents"/>
              <w:spacing w:before="0" w:after="283"/>
              <w:jc w:val="center"/>
              <w:rPr/>
            </w:pPr>
            <w:r>
              <w:rPr/>
              <w:t>Proposed</w:t>
              <w:br/>
              <w:t>maximum</w:t>
              <w:br/>
              <w:t>aggregate</w:t>
              <w:br/>
              <w:t>offering price</w:t>
              <w:br/>
              <w:t>(4)</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70" w:type="dxa"/>
            <w:gridSpan w:val="2"/>
            <w:tcBorders>
              <w:bottom w:val="single" w:sz="12" w:space="0" w:color="000000"/>
            </w:tcBorders>
            <w:shd w:fill="auto" w:val="clear"/>
            <w:vAlign w:val="center"/>
          </w:tcPr>
          <w:p>
            <w:pPr>
              <w:pStyle w:val="TableContents"/>
              <w:spacing w:before="0" w:after="283"/>
              <w:jc w:val="center"/>
              <w:rPr/>
            </w:pPr>
            <w:r>
              <w:rPr/>
              <w:t>Amount of</w:t>
              <w:br/>
              <w:t>registration</w:t>
              <w:br/>
              <w:t>fee</w:t>
            </w:r>
          </w:p>
        </w:tc>
        <w:tc>
          <w:tcPr>
            <w:tcW w:w="78" w:type="dxa"/>
            <w:tcBorders/>
            <w:shd w:fill="auto" w:val="clear"/>
            <w:tcMar>
              <w:bottom w:w="0" w:type="dxa"/>
            </w:tcMar>
            <w:vAlign w:val="center"/>
          </w:tcPr>
          <w:p>
            <w:pPr>
              <w:pStyle w:val="TableContents"/>
              <w:spacing w:before="0" w:after="283"/>
              <w:rPr/>
            </w:pPr>
            <w:r>
              <w:rPr/>
              <w:t> </w:t>
            </w:r>
          </w:p>
        </w:tc>
      </w:tr>
      <w:tr>
        <w:trPr/>
        <w:tc>
          <w:tcPr>
            <w:tcW w:w="4379" w:type="dxa"/>
            <w:tcBorders/>
            <w:shd w:fill="CCEEFF" w:val="clear"/>
            <w:tcMar>
              <w:bottom w:w="0" w:type="dxa"/>
            </w:tcMar>
            <w:vAlign w:val="center"/>
          </w:tcPr>
          <w:p>
            <w:pPr>
              <w:pStyle w:val="TableContents"/>
              <w:spacing w:before="0" w:after="283"/>
              <w:rPr/>
            </w:pPr>
            <w:r>
              <w:rPr/>
              <w:t>Ordinary Shares, par value NIS 0.01 per share</w:t>
            </w:r>
          </w:p>
        </w:tc>
        <w:tc>
          <w:tcPr>
            <w:tcW w:w="60" w:type="dxa"/>
            <w:tcBorders/>
            <w:shd w:fill="CCEEFF" w:val="clear"/>
            <w:tcMar>
              <w:bottom w:w="0" w:type="dxa"/>
            </w:tcMar>
            <w:vAlign w:val="center"/>
          </w:tcPr>
          <w:p>
            <w:pPr>
              <w:pStyle w:val="TableContents"/>
              <w:spacing w:before="0" w:after="283"/>
              <w:rPr/>
            </w:pPr>
            <w:r>
              <w:rPr/>
              <w:t> </w:t>
            </w:r>
          </w:p>
        </w:tc>
        <w:tc>
          <w:tcPr>
            <w:tcW w:w="75" w:type="dxa"/>
            <w:tcBorders>
              <w:bottom w:val="single" w:sz="12" w:space="0" w:color="000000"/>
            </w:tcBorders>
            <w:shd w:fill="CCEEFF" w:val="clear"/>
            <w:vAlign w:val="center"/>
          </w:tcPr>
          <w:p>
            <w:pPr>
              <w:pStyle w:val="TableContents"/>
              <w:spacing w:before="0" w:after="283"/>
              <w:jc w:val="left"/>
              <w:rPr/>
            </w:pPr>
            <w:r>
              <w:rPr/>
              <w:t> </w:t>
            </w:r>
          </w:p>
        </w:tc>
        <w:tc>
          <w:tcPr>
            <w:tcW w:w="1245" w:type="dxa"/>
            <w:tcBorders>
              <w:bottom w:val="single" w:sz="12" w:space="0" w:color="000000"/>
            </w:tcBorders>
            <w:shd w:fill="CCEEFF" w:val="clear"/>
            <w:vAlign w:val="center"/>
          </w:tcPr>
          <w:p>
            <w:pPr>
              <w:pStyle w:val="TableContents"/>
              <w:spacing w:before="0" w:after="283"/>
              <w:jc w:val="right"/>
              <w:rPr/>
            </w:pPr>
            <w:r>
              <w:rPr/>
              <w:t>1,379,613</w:t>
            </w:r>
          </w:p>
        </w:tc>
        <w:tc>
          <w:tcPr>
            <w:tcW w:w="289" w:type="dxa"/>
            <w:tcBorders/>
            <w:shd w:fill="CCEEFF" w:val="clear"/>
            <w:tcMar>
              <w:bottom w:w="0" w:type="dxa"/>
            </w:tcMar>
            <w:vAlign w:val="center"/>
          </w:tcPr>
          <w:p>
            <w:pPr>
              <w:pStyle w:val="TableContents"/>
              <w:spacing w:before="0" w:after="283"/>
              <w:jc w:val="left"/>
              <w:rPr/>
            </w:pPr>
            <w:r>
              <w:rPr/>
              <w:t>(3)</w:t>
            </w:r>
          </w:p>
        </w:tc>
        <w:tc>
          <w:tcPr>
            <w:tcW w:w="60" w:type="dxa"/>
            <w:tcBorders/>
            <w:shd w:fill="CCEEFF" w:val="clear"/>
            <w:tcMar>
              <w:bottom w:w="0" w:type="dxa"/>
            </w:tcMar>
            <w:vAlign w:val="center"/>
          </w:tcPr>
          <w:p>
            <w:pPr>
              <w:pStyle w:val="TableContents"/>
              <w:spacing w:before="0" w:after="283"/>
              <w:rPr/>
            </w:pPr>
            <w:r>
              <w:rPr/>
              <w:t> </w:t>
            </w:r>
          </w:p>
        </w:tc>
        <w:tc>
          <w:tcPr>
            <w:tcW w:w="229" w:type="dxa"/>
            <w:tcBorders>
              <w:bottom w:val="single" w:sz="12" w:space="0" w:color="000000"/>
            </w:tcBorders>
            <w:shd w:fill="CCEEFF" w:val="clear"/>
            <w:vAlign w:val="center"/>
          </w:tcPr>
          <w:p>
            <w:pPr>
              <w:pStyle w:val="TableContents"/>
              <w:spacing w:before="0" w:after="283"/>
              <w:jc w:val="left"/>
              <w:rPr/>
            </w:pPr>
            <w:r>
              <w:rPr/>
              <w:t>$</w:t>
            </w:r>
          </w:p>
        </w:tc>
        <w:tc>
          <w:tcPr>
            <w:tcW w:w="1120" w:type="dxa"/>
            <w:tcBorders>
              <w:bottom w:val="single" w:sz="12" w:space="0" w:color="000000"/>
            </w:tcBorders>
            <w:shd w:fill="CCEEFF" w:val="clear"/>
            <w:vAlign w:val="center"/>
          </w:tcPr>
          <w:p>
            <w:pPr>
              <w:pStyle w:val="TableContents"/>
              <w:spacing w:before="0" w:after="283"/>
              <w:jc w:val="right"/>
              <w:rPr/>
            </w:pPr>
            <w:r>
              <w:rPr/>
              <w:t>101.57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w:t>
            </w:r>
          </w:p>
        </w:tc>
        <w:tc>
          <w:tcPr>
            <w:tcW w:w="1220" w:type="dxa"/>
            <w:tcBorders>
              <w:bottom w:val="single" w:sz="12" w:space="0" w:color="000000"/>
            </w:tcBorders>
            <w:shd w:fill="CCEEFF" w:val="clear"/>
            <w:vAlign w:val="center"/>
          </w:tcPr>
          <w:p>
            <w:pPr>
              <w:pStyle w:val="TableContents"/>
              <w:spacing w:before="0" w:after="283"/>
              <w:jc w:val="right"/>
              <w:rPr/>
            </w:pPr>
            <w:r>
              <w:rPr/>
              <w:t>140,127,292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2" w:type="dxa"/>
            <w:tcBorders>
              <w:bottom w:val="single" w:sz="12" w:space="0" w:color="000000"/>
            </w:tcBorders>
            <w:shd w:fill="CCEEFF" w:val="clear"/>
            <w:vAlign w:val="center"/>
          </w:tcPr>
          <w:p>
            <w:pPr>
              <w:pStyle w:val="TableContents"/>
              <w:spacing w:before="0" w:after="283"/>
              <w:jc w:val="left"/>
              <w:rPr/>
            </w:pPr>
            <w:r>
              <w:rPr/>
              <w:t>$</w:t>
            </w:r>
          </w:p>
        </w:tc>
        <w:tc>
          <w:tcPr>
            <w:tcW w:w="888" w:type="dxa"/>
            <w:tcBorders>
              <w:bottom w:val="single" w:sz="12" w:space="0" w:color="000000"/>
            </w:tcBorders>
            <w:shd w:fill="CCEEFF" w:val="clear"/>
            <w:vAlign w:val="center"/>
          </w:tcPr>
          <w:p>
            <w:pPr>
              <w:pStyle w:val="TableContents"/>
              <w:spacing w:before="0" w:after="283"/>
              <w:jc w:val="right"/>
              <w:rPr/>
            </w:pPr>
            <w:r>
              <w:rPr/>
              <w:t>15,288</w:t>
            </w:r>
          </w:p>
        </w:tc>
        <w:tc>
          <w:tcPr>
            <w:tcW w:w="78" w:type="dxa"/>
            <w:tcBorders/>
            <w:shd w:fill="CCEEFF" w:val="clear"/>
            <w:tcMar>
              <w:bottom w:w="0" w:type="dxa"/>
            </w:tcM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this Registration Statement also covers such indeterminate number of additional shares that may become issuable under the terms of the Registrant’s 2015 Incentive Compensation Plan (the “</w:t>
            </w:r>
            <w:r>
              <w:rPr>
                <w:rFonts w:ascii="Times New Roman;Times;Serif" w:hAnsi="Times New Roman;Times;Serif"/>
                <w:b/>
                <w:i w:val="false"/>
                <w:caps w:val="false"/>
                <w:smallCaps w:val="false"/>
                <w:sz w:val="20"/>
              </w:rPr>
              <w:t>2015 Plan</w:t>
            </w:r>
            <w:r>
              <w:rPr>
                <w:rFonts w:ascii="Times New Roman;Times;Serif" w:hAnsi="Times New Roman;Times;Serif"/>
                <w:b w:val="false"/>
                <w:i w:val="false"/>
                <w:caps w:val="false"/>
                <w:smallCaps w:val="false"/>
                <w:sz w:val="20"/>
              </w:rPr>
              <w:t>”) by reason of any share split, share dividend, recapitalization or other similar transaction effected without the Registrant’s receipt of consideration which results in an increase in the number of the outstanding shares of the Registrant’s ordinary shares.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429 under the Securities Act, the prospectus delivered to participants under this registration statement also relates to an aggregate of 3,698,706 shares previously registered in a registration statement on Form S-8, SEC file number 333-203970, issuable under the Kornit Digital Ltd. 2004 Share Option Plan, the Kornit Digital Ltd. 2012 Share Incentive Plan, the Kornit Digital Ltd. 2015 Employee Share Purchase Plan and the 2015 Plan, as well as an additional 906,345, 929,689, 1,023,726, 1,051,956 and 1,220,439 shares previously registered in registration statements on Form S-8, SEC file numbers 333-214015, 333-217039, 333-223794, 333-230567 and 333-237346 respectively, issuable under the 2015 Plan.</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automatic increase to the number of shares available for issuance under the 2015 Plan, effective January 1, 2021.</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in accordance with Rule 457(h)(1) and 457(c) promulgated under the Securities Act, based on the average of the high and low prices ($103.66 and $99.47) of the Registrant’s Ordinary Shares on the NASDAQ Global Select Market on March 19, 2021.</w:t>
            </w:r>
          </w:p>
        </w:tc>
      </w:tr>
    </w:tbl>
    <w:p>
      <w:pPr>
        <w:pStyle w:val="TextBody"/>
        <w:ind w:left="360" w:right="0" w:hanging="360"/>
        <w:jc w:val="both"/>
        <w:rPr>
          <w:caps w:val="false"/>
          <w:smallCaps w:val="false"/>
        </w:rPr>
      </w:pPr>
      <w:r>
        <w:rPr>
          <w:caps w:val="false"/>
          <w:smallCaps w:val="false"/>
        </w:rPr>
        <w:t> </w:t>
      </w:r>
    </w:p>
    <w:p>
      <w:pPr>
        <w:pStyle w:val="TextBody"/>
        <w:ind w:left="360" w:right="0" w:hanging="360"/>
        <w:rPr>
          <w:bdr w:val="single" w:sz="8" w:space="1" w:color="000000"/>
        </w:rPr>
      </w:pPr>
      <w:r>
        <w:rPr>
          <w:bdr w:val="single" w:sz="8" w:space="1" w:color="000000"/>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ind w:left="360" w:right="0" w:hanging="360"/>
        <w:jc w:val="both"/>
        <w:rPr>
          <w:caps w:val="false"/>
          <w:smallCaps w:val="false"/>
        </w:rPr>
      </w:pPr>
      <w:r>
        <w:rPr>
          <w:caps w:val="false"/>
          <w:smallCaps w:val="false"/>
        </w:rPr>
        <w:t> </w:t>
      </w:r>
    </w:p>
    <w:p>
      <w:pPr>
        <w:pStyle w:val="TextBody"/>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ind w:left="0" w:right="0" w:firstLine="720"/>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filing this Registration Statement (this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register an additional 1,379,613 ordinary shares, par value NIS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Kornit Digital Ltd. (the “</w:t>
      </w: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issuable pursuant to the Registrant’s 2015 Incentive Compensation Plan.</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Instruction E of Form S-8, the contents of the Registrant’s registration statements on Form S-8 (File No.’s 333-203970, 333-214015, 333-217039, 333-223794, 333-230567 and 333-237346)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May 7, 2015, October 6, 2016, March 30, 2017, March 20, 2018, March 28, 2019 and March 23, 2020, respectively, are incorporated herein by reference, and the information required by Part II is omitted, except as supplemented by the information set forth below.</w:t>
      </w:r>
    </w:p>
    <w:p>
      <w:pPr>
        <w:pStyle w:val="TextBody"/>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rPr>
          <w:caps w:val="false"/>
          <w:smallCaps w:val="false"/>
        </w:rPr>
      </w:pPr>
      <w:r>
        <w:rPr>
          <w:caps w:val="false"/>
          <w:smallCaps w:val="false"/>
        </w:rPr>
        <w:t> </w:t>
      </w:r>
    </w:p>
    <w:tbl>
      <w:tblPr>
        <w:tblW w:w="2230" w:type="dxa"/>
        <w:jc w:val="left"/>
        <w:tblInd w:w="0" w:type="dxa"/>
        <w:tblCellMar>
          <w:top w:w="0" w:type="dxa"/>
          <w:left w:w="0" w:type="dxa"/>
          <w:bottom w:w="0" w:type="dxa"/>
          <w:right w:w="0" w:type="dxa"/>
        </w:tblCellMar>
      </w:tblPr>
      <w:tblGrid>
        <w:gridCol w:w="620"/>
        <w:gridCol w:w="1610"/>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161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Information*</w:t>
            </w:r>
          </w:p>
        </w:tc>
      </w:tr>
    </w:tbl>
    <w:p>
      <w:pPr>
        <w:pStyle w:val="TextBody"/>
        <w:rPr>
          <w:caps w:val="false"/>
          <w:smallCaps w:val="false"/>
        </w:rPr>
      </w:pPr>
      <w:r>
        <w:rPr>
          <w:caps w:val="false"/>
          <w:smallCaps w:val="false"/>
        </w:rPr>
        <w:t> </w:t>
      </w:r>
    </w:p>
    <w:tbl>
      <w:tblPr>
        <w:tblW w:w="6160" w:type="dxa"/>
        <w:jc w:val="left"/>
        <w:tblInd w:w="0" w:type="dxa"/>
        <w:tblCellMar>
          <w:top w:w="0" w:type="dxa"/>
          <w:left w:w="0" w:type="dxa"/>
          <w:bottom w:w="0" w:type="dxa"/>
          <w:right w:w="0" w:type="dxa"/>
        </w:tblCellMar>
      </w:tblPr>
      <w:tblGrid>
        <w:gridCol w:w="620"/>
        <w:gridCol w:w="5540"/>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554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 Information and Employee Plan Annual Information*</w:t>
            </w:r>
          </w:p>
        </w:tc>
      </w:tr>
    </w:tbl>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pStyle w:val="TextBody"/>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rPr>
          <w:caps w:val="false"/>
          <w:smallCaps w:val="false"/>
        </w:rPr>
      </w:pPr>
      <w:r>
        <w:rPr>
          <w:caps w:val="false"/>
          <w:smallCaps w:val="false"/>
        </w:rPr>
        <w:t> </w:t>
      </w:r>
    </w:p>
    <w:tbl>
      <w:tblPr>
        <w:tblW w:w="4180" w:type="dxa"/>
        <w:jc w:val="left"/>
        <w:tblInd w:w="0" w:type="dxa"/>
        <w:tblCellMar>
          <w:top w:w="0" w:type="dxa"/>
          <w:left w:w="0" w:type="dxa"/>
          <w:bottom w:w="0" w:type="dxa"/>
          <w:right w:w="0" w:type="dxa"/>
        </w:tblCellMar>
      </w:tblPr>
      <w:tblGrid>
        <w:gridCol w:w="620"/>
        <w:gridCol w:w="3560"/>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35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Documents by Reference</w:t>
            </w:r>
          </w:p>
        </w:tc>
      </w:tr>
    </w:tbl>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are incorporated herein by reference:</w:t>
      </w:r>
    </w:p>
    <w:p>
      <w:pPr>
        <w:pStyle w:val="TextBody"/>
        <w:ind w:left="144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3"/>
        <w:gridCol w:w="9947"/>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7"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2020, filed with the Commission on March 25, 2021(the “</w:t>
            </w:r>
            <w:r>
              <w:rPr>
                <w:rFonts w:ascii="Times New Roman;Times;Serif" w:hAnsi="Times New Roman;Times;Serif"/>
                <w:b/>
                <w:i w:val="false"/>
                <w:caps w:val="false"/>
                <w:smallCaps w:val="false"/>
                <w:sz w:val="20"/>
              </w:rPr>
              <w:t>2020 Form 20-F</w:t>
            </w:r>
            <w:r>
              <w:rPr>
                <w:rFonts w:ascii="Times New Roman;Times;Serif" w:hAnsi="Times New Roman;Times;Serif"/>
                <w:b w:val="false"/>
                <w:i w:val="false"/>
                <w:caps w:val="false"/>
                <w:smallCaps w:val="false"/>
                <w:sz w:val="20"/>
              </w:rPr>
              <w:t>”); and</w:t>
            </w:r>
          </w:p>
        </w:tc>
      </w:tr>
    </w:tbl>
    <w:p>
      <w:pPr>
        <w:pStyle w:val="TextBody"/>
        <w:ind w:left="144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1"/>
        <w:gridCol w:w="9909"/>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 xml:space="preserve">the description of the Registrant’s ordinary shares contained in (a) Item 1 of the Registration Statement on </w:t>
            </w:r>
            <w:hyperlink r:id="rId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001-36903) filed with the Commission on March 31, 2015, as updated by (b) </w:t>
            </w:r>
            <w:hyperlink r:id="rId4">
              <w:r>
                <w:rPr>
                  <w:rStyle w:val="InternetLink"/>
                  <w:rFonts w:ascii="Times New Roman;Times;Serif" w:hAnsi="Times New Roman;Times;Serif"/>
                  <w:b w:val="false"/>
                  <w:i w:val="false"/>
                  <w:caps w:val="false"/>
                  <w:smallCaps w:val="false"/>
                  <w:sz w:val="20"/>
                </w:rPr>
                <w:t>Exhibit 2.2</w:t>
              </w:r>
            </w:hyperlink>
            <w:r>
              <w:rPr>
                <w:rFonts w:ascii="Times New Roman;Times;Serif" w:hAnsi="Times New Roman;Times;Serif"/>
                <w:b w:val="false"/>
                <w:i w:val="false"/>
                <w:caps w:val="false"/>
                <w:smallCaps w:val="false"/>
                <w:sz w:val="20"/>
              </w:rPr>
              <w:t xml:space="preserve"> to the 2020 Form 20-F, and any amendment or report filed for the purpose of further updating that description.</w:t>
            </w:r>
          </w:p>
        </w:tc>
      </w:tr>
    </w:tbl>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all documents subsequently filed by the Registrant pursuant to Sections 13(a), 13(c), 14 or 15(d) of the Securities Exchange Act of 1934, as amended,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w:t>
      </w:r>
    </w:p>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360" w:type="dxa"/>
        <w:jc w:val="left"/>
        <w:tblInd w:w="0" w:type="dxa"/>
        <w:shd w:fill="FFFFFF" w:val="clear"/>
        <w:tblCellMar>
          <w:top w:w="0" w:type="dxa"/>
          <w:left w:w="0" w:type="dxa"/>
          <w:bottom w:w="0" w:type="dxa"/>
          <w:right w:w="0" w:type="dxa"/>
        </w:tblCellMar>
      </w:tblPr>
      <w:tblGrid>
        <w:gridCol w:w="620"/>
        <w:gridCol w:w="740"/>
      </w:tblGrid>
      <w:tr>
        <w:trPr/>
        <w:tc>
          <w:tcPr>
            <w:tcW w:w="62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74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bottom w:val="single" w:sz="8" w:space="0" w:color="000000"/>
            </w:tcBorders>
            <w:shd w:fill="auto" w:val="clear"/>
            <w:vAlign w:val="center"/>
          </w:tcPr>
          <w:p>
            <w:pPr>
              <w:pStyle w:val="TableContents"/>
              <w:pBdr>
                <w:bottom w:val="single" w:sz="4" w:space="1" w:color="000000"/>
              </w:pBdr>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spacing w:before="0" w:after="283"/>
              <w:jc w:val="left"/>
              <w:rPr/>
            </w:pPr>
            <w:hyperlink r:id="rId5">
              <w:r>
                <w:rPr>
                  <w:rStyle w:val="InternetLink"/>
                  <w:rFonts w:ascii="Times New Roman;Times;Serif" w:hAnsi="Times New Roman;Times;Serif"/>
                  <w:b w:val="false"/>
                  <w:i w:val="false"/>
                  <w:caps w:val="false"/>
                  <w:smallCaps w:val="false"/>
                  <w:sz w:val="20"/>
                </w:rPr>
                <w:t>Kornit Digital Ltd. 2015 Incentive Compensation Plan (incorporated by reference to Exhibit 10.21 to the Registration Statement on Form F-1 of the Registrant (File No. 333-202291), filed with the Commission on March 18, 2015)</w:t>
              </w:r>
            </w:hyperlink>
          </w:p>
        </w:tc>
      </w:tr>
      <w:tr>
        <w:trPr/>
        <w:tc>
          <w:tcPr>
            <w:tcW w:w="9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FFFFFF" w:val="clear"/>
            <w:tcMar>
              <w:bottom w:w="0" w:type="dxa"/>
            </w:tcMar>
            <w:vAlign w:val="center"/>
          </w:tcPr>
          <w:p>
            <w:pPr>
              <w:pStyle w:val="TableContents"/>
              <w:spacing w:before="0" w:after="283"/>
              <w:jc w:val="left"/>
              <w:rPr/>
            </w:pPr>
            <w:hyperlink r:id="rId6">
              <w:r>
                <w:rPr>
                  <w:rStyle w:val="InternetLink"/>
                  <w:rFonts w:ascii="Times New Roman;Times;Serif" w:hAnsi="Times New Roman;Times;Serif"/>
                  <w:b w:val="false"/>
                  <w:i w:val="false"/>
                  <w:caps w:val="false"/>
                  <w:smallCaps w:val="false"/>
                  <w:sz w:val="20"/>
                </w:rPr>
                <w:t>Articles of Association of the Registrant (incorporated by reference to Exhibit 3.2 to the Registration Statement on Form F-1 of the Registrant (File No. 333-202291), filed with the Commission on March 18, 2015)</w:t>
              </w:r>
            </w:hyperlink>
          </w:p>
        </w:tc>
      </w:tr>
      <w:tr>
        <w:trPr/>
        <w:tc>
          <w:tcPr>
            <w:tcW w:w="9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spacing w:before="0" w:after="283"/>
              <w:jc w:val="left"/>
              <w:rPr/>
            </w:pPr>
            <w:hyperlink r:id="rId7">
              <w:r>
                <w:rPr>
                  <w:rStyle w:val="InternetLink"/>
                  <w:rFonts w:ascii="Times New Roman;Times;Serif" w:hAnsi="Times New Roman;Times;Serif"/>
                  <w:b w:val="false"/>
                  <w:i w:val="false"/>
                  <w:caps w:val="false"/>
                  <w:smallCaps w:val="false"/>
                  <w:sz w:val="20"/>
                </w:rPr>
                <w:t>Specimen ordinary share certificate of the Registrant (incorporated by reference to Exhibit 4.1 to the Registration Statement on Form F-1 of the Registrant (File No. 333-202291), filed with the Commission on March 10, 2015)</w:t>
              </w:r>
            </w:hyperlink>
          </w:p>
        </w:tc>
      </w:tr>
      <w:tr>
        <w:trPr/>
        <w:tc>
          <w:tcPr>
            <w:tcW w:w="9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FFFFFF" w:val="clear"/>
            <w:tcMar>
              <w:bottom w:w="0" w:type="dxa"/>
            </w:tcMar>
            <w:vAlign w:val="center"/>
          </w:tcPr>
          <w:p>
            <w:pPr>
              <w:pStyle w:val="TableContents"/>
              <w:spacing w:before="0" w:after="283"/>
              <w:jc w:val="left"/>
              <w:rPr/>
            </w:pPr>
            <w:hyperlink w:anchor="ea138332ex5-1_kornit.htm">
              <w:r>
                <w:rPr>
                  <w:rStyle w:val="InternetLink"/>
                  <w:rFonts w:ascii="Times New Roman;Times;Serif" w:hAnsi="Times New Roman;Times;Serif"/>
                  <w:b w:val="false"/>
                  <w:i w:val="false"/>
                  <w:caps w:val="false"/>
                  <w:smallCaps w:val="false"/>
                  <w:sz w:val="20"/>
                </w:rPr>
                <w:t>Opinion of Meitar | Law Offices, Israeli counsel to the Registrant, as to the validity of the ordinary shares (including consent)</w:t>
              </w:r>
            </w:hyperlink>
          </w:p>
        </w:tc>
      </w:tr>
      <w:tr>
        <w:trPr/>
        <w:tc>
          <w:tcPr>
            <w:tcW w:w="9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spacing w:before="0" w:after="283"/>
              <w:jc w:val="left"/>
              <w:rPr/>
            </w:pPr>
            <w:hyperlink w:anchor="ea138332ex23-1_kornit.htm">
              <w:r>
                <w:rPr>
                  <w:rStyle w:val="InternetLink"/>
                  <w:rFonts w:ascii="Times New Roman;Times;Serif" w:hAnsi="Times New Roman;Times;Serif"/>
                  <w:b w:val="false"/>
                  <w:i w:val="false"/>
                  <w:caps w:val="false"/>
                  <w:smallCaps w:val="false"/>
                  <w:sz w:val="20"/>
                </w:rPr>
                <w:t>Consent of Kost, Forer, Gabbay and Kasierer, a member firm of Ernst &amp; Young Global, an independent registered public accounting firm</w:t>
              </w:r>
            </w:hyperlink>
          </w:p>
        </w:tc>
      </w:tr>
      <w:tr>
        <w:trPr/>
        <w:tc>
          <w:tcPr>
            <w:tcW w:w="9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FFFFFF" w:val="clear"/>
            <w:tcMar>
              <w:bottom w:w="0" w:type="dxa"/>
            </w:tcMar>
            <w:vAlign w:val="center"/>
          </w:tcPr>
          <w:p>
            <w:pPr>
              <w:pStyle w:val="TableContents"/>
              <w:spacing w:before="0" w:after="283"/>
              <w:jc w:val="left"/>
              <w:rPr/>
            </w:pPr>
            <w:hyperlink w:anchor="ea138332ex5-1_kornit.htm">
              <w:r>
                <w:rPr>
                  <w:rStyle w:val="InternetLink"/>
                  <w:rFonts w:ascii="Times New Roman;Times;Serif" w:hAnsi="Times New Roman;Times;Serif"/>
                  <w:b w:val="false"/>
                  <w:i w:val="false"/>
                  <w:caps w:val="false"/>
                  <w:smallCaps w:val="false"/>
                  <w:sz w:val="20"/>
                </w:rPr>
                <w:t>Consent of Meitar | Law Offices (included in Exhibit 5.1)</w:t>
              </w:r>
            </w:hyperlink>
          </w:p>
        </w:tc>
      </w:tr>
      <w:tr>
        <w:trPr/>
        <w:tc>
          <w:tcPr>
            <w:tcW w:w="9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spacing w:before="0" w:after="283"/>
              <w:jc w:val="left"/>
              <w:rPr/>
            </w:pPr>
            <w:hyperlink w:anchor="poa">
              <w:r>
                <w:rPr>
                  <w:rStyle w:val="InternetLink"/>
                  <w:rFonts w:ascii="Times New Roman;Times;Serif" w:hAnsi="Times New Roman;Times;Serif"/>
                  <w:b w:val="false"/>
                  <w:i w:val="false"/>
                  <w:caps w:val="false"/>
                  <w:smallCaps w:val="false"/>
                  <w:sz w:val="20"/>
                </w:rPr>
                <w:t>Power of Attorney (included in signature page to this Registration Statement)</w:t>
              </w:r>
            </w:hyperlink>
          </w:p>
        </w:tc>
      </w:tr>
    </w:tbl>
    <w:p>
      <w:pPr>
        <w:pStyle w:val="TextBody"/>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4</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25th day of March, 2021.</w:t>
        <w:tab/>
      </w:r>
    </w:p>
    <w:p>
      <w:pPr>
        <w:pStyle w:val="TextBody"/>
        <w:ind w:left="0" w:right="0" w:firstLine="720"/>
        <w:rPr>
          <w:caps w:val="false"/>
          <w:smallCaps w:val="false"/>
        </w:rPr>
      </w:pPr>
      <w:r>
        <w:rPr>
          <w:caps w:val="false"/>
          <w:smallCaps w:val="false"/>
        </w:rPr>
        <w:t> </w:t>
      </w:r>
    </w:p>
    <w:tbl>
      <w:tblPr>
        <w:tblW w:w="2560" w:type="dxa"/>
        <w:jc w:val="left"/>
        <w:tblInd w:w="0" w:type="dxa"/>
        <w:tblCellMar>
          <w:top w:w="0" w:type="dxa"/>
          <w:left w:w="0" w:type="dxa"/>
          <w:bottom w:w="0" w:type="dxa"/>
          <w:right w:w="0" w:type="dxa"/>
        </w:tblCellMar>
      </w:tblPr>
      <w:tblGrid>
        <w:gridCol w:w="75"/>
        <w:gridCol w:w="590"/>
        <w:gridCol w:w="18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8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85"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Alon Rozner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 Rozner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 xml:space="preserve">POWER OF ATTORNEY </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hereby constitutes and appoints Ronen Samuel and Alon Rozner,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pStyle w:val="TextBody"/>
        <w:ind w:left="0" w:right="0" w:firstLine="360"/>
        <w:jc w:val="both"/>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and entity on March 25, 2021 in the capacities indicated:</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5</w:t>
      </w:r>
    </w:p>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153"/>
        <w:gridCol w:w="2502"/>
        <w:gridCol w:w="60"/>
        <w:gridCol w:w="6490"/>
      </w:tblGrid>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Ronen Samuel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Ronen Samuel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 (Principal Executive Officer)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Alon Rozner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 Rozner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 and Principal Accounting Officer)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Yuval Cohen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Yuval Cohen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Ofer Ben-Zur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Ben-Zur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Lauri Hanover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 Hanover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Alon Lumbroso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 Lumbroso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Nigro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Nigro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Yehoshua (Shuki) Nir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Yehoshua (Shuki) Nir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Dov Ofer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 Ofer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Gabi Seligsohn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65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Gabi Seligsohn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655" w:type="dxa"/>
            <w:gridSpan w:val="2"/>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NORTH AMERICA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 in the United States</w:t>
            </w:r>
          </w:p>
        </w:tc>
      </w:tr>
      <w:tr>
        <w:trPr/>
        <w:tc>
          <w:tcPr>
            <w:tcW w:w="365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15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2"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Chuck Meyo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15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02"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Chuck Meyo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15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02"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9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rPr>
          <w:bdr w:val="single" w:sz="12" w:space="1" w:color="000000"/>
        </w:rPr>
      </w:pPr>
      <w:r>
        <w:rPr>
          <w:bdr w:val="single" w:sz="12" w:space="1" w:color="000000"/>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r>
        <w:br w:type="page"/>
      </w:r>
    </w:p>
    <w:p>
      <w:pPr>
        <w:pStyle w:val="TextBody"/>
        <w:jc w:val="right"/>
        <w:rPr>
          <w:rFonts w:ascii="Times New Roman;Times;Serif" w:hAnsi="Times New Roman;Times;Serif"/>
          <w:b/>
          <w:sz w:val="20"/>
        </w:rPr>
      </w:pPr>
      <w:bookmarkStart w:id="3" w:name="ea138332ex5-1_kornit.htm"/>
      <w:bookmarkStart w:id="4" w:name="ksea138332ex51_kornit"/>
      <w:bookmarkEnd w:id="3"/>
      <w:bookmarkEnd w:id="4"/>
      <w:r>
        <w:rPr>
          <w:rFonts w:ascii="Times New Roman;Times;Serif" w:hAnsi="Times New Roman;Times;Serif"/>
          <w:b/>
          <w:sz w:val="20"/>
        </w:rPr>
        <w:t>Exhibit 5.1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550545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5505450" cy="8953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Ha’Amal Street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 Ha’Ayin 4809246, Israel</w:t>
      </w:r>
    </w:p>
    <w:p>
      <w:pPr>
        <w:pStyle w:val="TextBody"/>
        <w:spacing w:before="0" w:after="0"/>
        <w:ind w:left="0" w:right="0" w:hanging="0"/>
        <w:rPr>
          <w:caps w:val="false"/>
          <w:smallCaps w:val="false"/>
        </w:rPr>
      </w:pPr>
      <w:r>
        <w:rPr>
          <w:caps w:val="false"/>
          <w:smallCaps w:val="false"/>
        </w:rPr>
        <w:t> </w:t>
      </w:r>
    </w:p>
    <w:tbl>
      <w:tblPr>
        <w:tblW w:w="1625" w:type="dxa"/>
        <w:jc w:val="left"/>
        <w:tblInd w:w="0" w:type="dxa"/>
        <w:tblCellMar>
          <w:top w:w="0" w:type="dxa"/>
          <w:left w:w="0" w:type="dxa"/>
          <w:bottom w:w="0" w:type="dxa"/>
          <w:right w:w="0" w:type="dxa"/>
        </w:tblCellMar>
      </w:tblPr>
      <w:tblGrid>
        <w:gridCol w:w="75"/>
        <w:gridCol w:w="1550"/>
      </w:tblGrid>
      <w:tr>
        <w:trPr/>
        <w:tc>
          <w:tcPr>
            <w:tcW w:w="75" w:type="dxa"/>
            <w:tcBorders/>
            <w:shd w:fill="auto" w:val="clear"/>
            <w:vAlign w:val="center"/>
          </w:tcPr>
          <w:p>
            <w:pPr>
              <w:pStyle w:val="TableContents"/>
              <w:spacing w:before="0" w:after="283"/>
              <w:rPr/>
            </w:pPr>
            <w:r>
              <w:rPr/>
              <w:t> </w:t>
            </w:r>
          </w:p>
        </w:tc>
        <w:tc>
          <w:tcPr>
            <w:tcW w:w="1550" w:type="dxa"/>
            <w:tcBorders/>
            <w:shd w:fill="auto" w:val="clear"/>
            <w:vAlign w:val="center"/>
          </w:tcPr>
          <w:p>
            <w:pPr>
              <w:pStyle w:val="TableContents"/>
              <w:spacing w:before="0" w:after="283"/>
              <w:jc w:val="left"/>
              <w:rPr/>
            </w:pPr>
            <w:r>
              <w:rPr/>
              <w:t>March 25, 2021</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S-8</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to Kornit Digital Ltd., a company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its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covering up to an additional 1,379,613 ordinary shares of the Company, par value New Israeli Shekel 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that are available for issuance under the Kornit Digital Ltd. 2015 Incentive Compensation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reserved for issuance and, when issued and paid for, will be legally issued, fully paid and non-assessable.</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pStyle w:val="TextBody"/>
        <w:spacing w:before="0" w:after="0"/>
        <w:ind w:left="0" w:right="0" w:firstLine="697"/>
        <w:rPr>
          <w:caps w:val="false"/>
          <w:smallCaps w:val="false"/>
        </w:rPr>
      </w:pPr>
      <w:r>
        <w:rPr>
          <w:caps w:val="false"/>
          <w:smallCaps w:val="false"/>
        </w:rPr>
        <w:t> </w:t>
      </w:r>
    </w:p>
    <w:p>
      <w:pPr>
        <w:pStyle w:val="TextBody"/>
        <w:spacing w:before="0" w:after="0"/>
        <w:ind w:left="0" w:right="0" w:firstLine="69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pStyle w:val="TextBody"/>
        <w:spacing w:before="0" w:after="0"/>
        <w:ind w:left="0" w:right="0" w:hanging="0"/>
        <w:rPr>
          <w:caps w:val="false"/>
          <w:smallCaps w:val="false"/>
        </w:rPr>
      </w:pPr>
      <w:r>
        <w:rPr>
          <w:caps w:val="false"/>
          <w:smallCaps w:val="false"/>
        </w:rPr>
        <w:t> </w:t>
      </w:r>
    </w:p>
    <w:tbl>
      <w:tblPr>
        <w:tblW w:w="2030" w:type="dxa"/>
        <w:jc w:val="left"/>
        <w:tblInd w:w="0" w:type="dxa"/>
        <w:tblCellMar>
          <w:top w:w="0" w:type="dxa"/>
          <w:left w:w="0" w:type="dxa"/>
          <w:bottom w:w="0" w:type="dxa"/>
          <w:right w:w="0" w:type="dxa"/>
        </w:tblCellMar>
      </w:tblPr>
      <w:tblGrid>
        <w:gridCol w:w="75"/>
        <w:gridCol w:w="1955"/>
      </w:tblGrid>
      <w:tr>
        <w:trPr/>
        <w:tc>
          <w:tcPr>
            <w:tcW w:w="75"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955" w:type="dxa"/>
            <w:tcBorders>
              <w:bottom w:val="single" w:sz="1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Meitar | Law Offices </w:t>
            </w:r>
          </w:p>
        </w:tc>
      </w:tr>
      <w:tr>
        <w:trPr/>
        <w:tc>
          <w:tcPr>
            <w:tcW w:w="75"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Meitar | Law Offices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 w:name="ea138332ex23-1_kornit.htm"/>
      <w:bookmarkStart w:id="6" w:name="ksea138332ex231_kornit"/>
      <w:bookmarkEnd w:id="5"/>
      <w:bookmarkEnd w:id="6"/>
      <w:r>
        <w:rPr>
          <w:rFonts w:ascii="Times New Roman;Times;Serif" w:hAnsi="Times New Roman;Time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2015 Incentive Compensation Plan of Kornit Digital Ltd. of our reports, dated March 25, 2021, with respect to the consolidated financial statements and the effectiveness of internal control over financial reporting of Kornit Digital Ltd., included in its Annual Report (Form 20-F) for the year ended December 31, 2020, filed with the Securities and Exchange Commission. </w:t>
      </w:r>
    </w:p>
    <w:p>
      <w:pPr>
        <w:pStyle w:val="TextBody"/>
        <w:spacing w:before="0" w:after="0"/>
        <w:ind w:left="0" w:right="0" w:firstLine="720"/>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1340"/>
        <w:gridCol w:w="3245"/>
      </w:tblGrid>
      <w:tr>
        <w:trPr/>
        <w:tc>
          <w:tcPr>
            <w:tcW w:w="1340" w:type="dxa"/>
            <w:tcBorders/>
            <w:shd w:fill="auto" w:val="clear"/>
            <w:vAlign w:val="center"/>
          </w:tcPr>
          <w:p>
            <w:pPr>
              <w:pStyle w:val="TableContents"/>
              <w:spacing w:before="0" w:after="283"/>
              <w:jc w:val="right"/>
              <w:rPr/>
            </w:pPr>
            <w:r>
              <w:rPr/>
              <w:t> </w:t>
            </w:r>
          </w:p>
        </w:tc>
        <w:tc>
          <w:tcPr>
            <w:tcW w:w="324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 Kost Forer Gabbay &amp; Kasierer</w:t>
            </w:r>
          </w:p>
        </w:tc>
      </w:tr>
      <w:tr>
        <w:trPr/>
        <w:tc>
          <w:tcPr>
            <w:tcW w:w="1340" w:type="dxa"/>
            <w:tcBorders/>
            <w:shd w:fill="auto" w:val="clear"/>
            <w:vAlign w:val="center"/>
          </w:tcPr>
          <w:p>
            <w:pPr>
              <w:pStyle w:val="TableContents"/>
              <w:spacing w:before="0" w:after="283"/>
              <w:rPr/>
            </w:pPr>
            <w:r>
              <w:rPr/>
              <w:t> </w:t>
            </w:r>
          </w:p>
        </w:tc>
        <w:tc>
          <w:tcPr>
            <w:tcW w:w="3245" w:type="dxa"/>
            <w:tcBorders/>
            <w:shd w:fill="auto" w:val="clear"/>
            <w:vAlign w:val="center"/>
          </w:tcPr>
          <w:p>
            <w:pPr>
              <w:pStyle w:val="TableContents"/>
              <w:spacing w:before="0" w:after="283"/>
              <w:rPr/>
            </w:pPr>
            <w:r>
              <w:rPr/>
              <w:t> </w:t>
            </w:r>
          </w:p>
        </w:tc>
      </w:tr>
      <w:tr>
        <w:trPr/>
        <w:tc>
          <w:tcPr>
            <w:tcW w:w="1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Tel-Aviv, Israel </w:t>
            </w:r>
          </w:p>
        </w:tc>
        <w:tc>
          <w:tcPr>
            <w:tcW w:w="324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KOST FORER GABBAY &amp; KASIERER</w:t>
            </w:r>
          </w:p>
        </w:tc>
      </w:tr>
      <w:tr>
        <w:trPr/>
        <w:tc>
          <w:tcPr>
            <w:tcW w:w="1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25, 2021</w:t>
            </w:r>
          </w:p>
        </w:tc>
        <w:tc>
          <w:tcPr>
            <w:tcW w:w="324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 Member of EY Global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25791/000121390021017655/f20f2020_kornitdigital.htm" TargetMode="External"/><Relationship Id="rId3" Type="http://schemas.openxmlformats.org/officeDocument/2006/relationships/hyperlink" Target="http://www.sec.gov/Archives/edgar/data/1625791/000161577415000604/s100918_8a12b.htm" TargetMode="External"/><Relationship Id="rId4" Type="http://schemas.openxmlformats.org/officeDocument/2006/relationships/hyperlink" Target="https://www.sec.gov/Archives/edgar/data/1625791/000121390021017655/f20f2020ex2-2_kornit.htm" TargetMode="External"/><Relationship Id="rId5" Type="http://schemas.openxmlformats.org/officeDocument/2006/relationships/hyperlink" Target="http://www.sec.gov/Archives/edgar/data/1625791/000161577415000505/s100871_ex10-21.htm" TargetMode="External"/><Relationship Id="rId6" Type="http://schemas.openxmlformats.org/officeDocument/2006/relationships/hyperlink" Target="http://www.sec.gov/Archives/edgar/data/1625791/000161577415000505/s100871_ex3-2.htm" TargetMode="External"/><Relationship Id="rId7" Type="http://schemas.openxmlformats.org/officeDocument/2006/relationships/hyperlink" Target="http://www.sec.gov/Archives/edgar/data/1625791/000161577415000434/s100824_ex4-1.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2342</Words>
  <CharactersWithSpaces>15031</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