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220"/>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Washington, D.C. 20549</w:t>
      </w:r>
    </w:p>
    <w:p>
      <w:pPr>
        <w:spacing w:after="0" w:line="201" w:lineRule="exact"/>
        <w:rPr>
          <w:sz w:val="24"/>
          <w:szCs w:val="24"/>
          <w:color w:val="auto"/>
        </w:rPr>
      </w:pPr>
    </w:p>
    <w:p>
      <w:pPr>
        <w:jc w:val="center"/>
        <w:ind w:right="-1220"/>
        <w:spacing w:after="0"/>
        <w:rPr>
          <w:sz w:val="20"/>
          <w:szCs w:val="20"/>
          <w:color w:val="auto"/>
        </w:rPr>
      </w:pPr>
      <w:r>
        <w:rPr>
          <w:rFonts w:ascii="Arial" w:cs="Arial" w:eastAsia="Arial" w:hAnsi="Arial"/>
          <w:sz w:val="25"/>
          <w:szCs w:val="25"/>
          <w:b w:val="1"/>
          <w:bCs w:val="1"/>
          <w:color w:val="auto"/>
        </w:rPr>
        <w:t>FORM 6-K</w:t>
      </w:r>
    </w:p>
    <w:p>
      <w:pPr>
        <w:spacing w:after="0" w:line="230"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PURSUANT TO RULE 13a-16 OR 15d-16 OF</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 xml:space="preserve">For the month of </w:t>
      </w:r>
      <w:r>
        <w:rPr>
          <w:rFonts w:ascii="Arial" w:cs="Arial" w:eastAsia="Arial" w:hAnsi="Arial"/>
          <w:sz w:val="18"/>
          <w:szCs w:val="18"/>
          <w:b w:val="1"/>
          <w:bCs w:val="1"/>
          <w:color w:val="auto"/>
        </w:rPr>
        <w:t>May 2019</w:t>
      </w:r>
    </w:p>
    <w:p>
      <w:pPr>
        <w:spacing w:after="0" w:line="225"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001-36903</w:t>
      </w:r>
    </w:p>
    <w:p>
      <w:pPr>
        <w:spacing w:after="0" w:line="221" w:lineRule="exact"/>
        <w:rPr>
          <w:sz w:val="24"/>
          <w:szCs w:val="24"/>
          <w:color w:val="auto"/>
        </w:rPr>
      </w:pPr>
    </w:p>
    <w:p>
      <w:pPr>
        <w:jc w:val="center"/>
        <w:ind w:right="-1220"/>
        <w:spacing w:after="0"/>
        <w:rPr>
          <w:sz w:val="20"/>
          <w:szCs w:val="20"/>
          <w:color w:val="auto"/>
        </w:rPr>
      </w:pPr>
      <w:r>
        <w:rPr>
          <w:rFonts w:ascii="Arial" w:cs="Arial" w:eastAsia="Arial" w:hAnsi="Arial"/>
          <w:sz w:val="25"/>
          <w:szCs w:val="25"/>
          <w:b w:val="1"/>
          <w:bCs w:val="1"/>
          <w:color w:val="auto"/>
        </w:rPr>
        <w:t>KORNIT DIGITAL LTD.</w:t>
      </w:r>
    </w:p>
    <w:p>
      <w:pPr>
        <w:spacing w:after="0" w:line="34"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12 Ha’Amal Street</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Park Afek</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Rosh Ha’Ayin 4824096 Israel</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620"/>
        <w:spacing w:after="0" w:line="207" w:lineRule="exact"/>
        <w:tabs>
          <w:tab w:leader="none" w:pos="580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08" w:right="1440"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CONTENTS</w:t>
      </w:r>
    </w:p>
    <w:p>
      <w:pPr>
        <w:spacing w:after="0" w:line="225" w:lineRule="exact"/>
        <w:rPr>
          <w:sz w:val="20"/>
          <w:szCs w:val="20"/>
          <w:color w:val="auto"/>
        </w:rPr>
      </w:pPr>
    </w:p>
    <w:p>
      <w:pPr>
        <w:jc w:val="both"/>
        <w:ind w:firstLine="638"/>
        <w:spacing w:after="0" w:line="282" w:lineRule="auto"/>
        <w:rPr>
          <w:sz w:val="20"/>
          <w:szCs w:val="20"/>
          <w:color w:val="auto"/>
        </w:rPr>
      </w:pPr>
      <w:r>
        <w:rPr>
          <w:rFonts w:ascii="Arial" w:cs="Arial" w:eastAsia="Arial" w:hAnsi="Arial"/>
          <w:sz w:val="18"/>
          <w:szCs w:val="18"/>
          <w:color w:val="auto"/>
        </w:rPr>
        <w:t>On May 13, 2019, Kornit Digital Ltd. (“</w:t>
      </w:r>
      <w:r>
        <w:rPr>
          <w:rFonts w:ascii="Arial" w:cs="Arial" w:eastAsia="Arial" w:hAnsi="Arial"/>
          <w:sz w:val="18"/>
          <w:szCs w:val="18"/>
          <w:b w:val="1"/>
          <w:bCs w:val="1"/>
          <w:color w:val="auto"/>
        </w:rPr>
        <w:t>Kornit”</w:t>
      </w:r>
      <w:r>
        <w:rPr>
          <w:rFonts w:ascii="Arial" w:cs="Arial" w:eastAsia="Arial" w:hAnsi="Arial"/>
          <w:sz w:val="18"/>
          <w:szCs w:val="18"/>
          <w:color w:val="auto"/>
        </w:rPr>
        <w:t>) issued a press release entitled “Kornit Digital Reports First Quarter Results,” in which Kornit reported its financial results for the quarter ended March 31, 2019. A copy of that press release is furnished as Exhibit 99.1 hereto.</w:t>
      </w:r>
    </w:p>
    <w:p>
      <w:pPr>
        <w:spacing w:after="0" w:line="166" w:lineRule="exact"/>
        <w:rPr>
          <w:sz w:val="20"/>
          <w:szCs w:val="20"/>
          <w:color w:val="auto"/>
        </w:rPr>
      </w:pPr>
    </w:p>
    <w:p>
      <w:pPr>
        <w:jc w:val="both"/>
        <w:ind w:firstLine="638"/>
        <w:spacing w:after="0" w:line="259" w:lineRule="auto"/>
        <w:rPr>
          <w:sz w:val="20"/>
          <w:szCs w:val="20"/>
          <w:color w:val="auto"/>
        </w:rPr>
      </w:pPr>
      <w:r>
        <w:rPr>
          <w:rFonts w:ascii="Arial" w:cs="Arial" w:eastAsia="Arial" w:hAnsi="Arial"/>
          <w:sz w:val="18"/>
          <w:szCs w:val="18"/>
          <w:color w:val="auto"/>
        </w:rPr>
        <w:t>The U.S. GAAP financial information contained in the (i) consolidated balance sheets, (ii) consolidated statements of operations and (iii) consolidated statements of cash flows included in the press release attached as Exhibit 99.1 to this Report of Foreign Private Issuer on Form 6-K is hereby incorporated by reference into the Registrant’s Registration Statements on Form F-3 (File No. 333-215404) and Form S-8 (File No.’s 333-203970, 333-214015, 333-217039, 333-223794 and 333-230567).</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3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KORNIT DIGITAL LTD.</w:t>
      </w:r>
    </w:p>
    <w:p>
      <w:pPr>
        <w:spacing w:after="0" w:line="225" w:lineRule="exact"/>
        <w:rPr>
          <w:sz w:val="20"/>
          <w:szCs w:val="20"/>
          <w:color w:val="auto"/>
        </w:rPr>
      </w:pPr>
    </w:p>
    <w:p>
      <w:pPr>
        <w:spacing w:after="0"/>
        <w:tabs>
          <w:tab w:leader="none" w:pos="6840" w:val="left"/>
          <w:tab w:leader="none" w:pos="7420" w:val="left"/>
        </w:tabs>
        <w:rPr>
          <w:sz w:val="20"/>
          <w:szCs w:val="20"/>
          <w:color w:val="auto"/>
        </w:rPr>
      </w:pPr>
      <w:r>
        <w:rPr>
          <w:rFonts w:ascii="Arial" w:cs="Arial" w:eastAsia="Arial" w:hAnsi="Arial"/>
          <w:sz w:val="18"/>
          <w:szCs w:val="18"/>
          <w:color w:val="auto"/>
        </w:rPr>
        <w:t>Date: May 13,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Guy Avidan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14605</wp:posOffset>
            </wp:positionV>
            <wp:extent cx="25298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Guy Avidan</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gridSpan w:val="2"/>
          </w:tcPr>
          <w:p>
            <w:pPr>
              <w:jc w:val="center"/>
              <w:ind w:right="1160"/>
              <w:spacing w:after="0"/>
              <w:rPr>
                <w:sz w:val="20"/>
                <w:szCs w:val="20"/>
                <w:color w:val="auto"/>
              </w:rPr>
            </w:pPr>
            <w:r>
              <w:rPr>
                <w:rFonts w:ascii="Arial" w:cs="Arial" w:eastAsia="Arial" w:hAnsi="Arial"/>
                <w:sz w:val="18"/>
                <w:szCs w:val="18"/>
                <w:b w:val="1"/>
                <w:bCs w:val="1"/>
                <w:color w:val="auto"/>
                <w:w w:val="94"/>
              </w:rPr>
              <w:t>Exhibit Index</w:t>
            </w:r>
          </w:p>
        </w:tc>
      </w:tr>
      <w:tr>
        <w:trPr>
          <w:trHeight w:val="439"/>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260" w:type="dxa"/>
            <w:vAlign w:val="bottom"/>
            <w:gridSpan w:val="2"/>
          </w:tcPr>
          <w:p>
            <w:pPr>
              <w:ind w:left="4680"/>
              <w:spacing w:after="0"/>
              <w:rPr>
                <w:sz w:val="20"/>
                <w:szCs w:val="20"/>
                <w:color w:val="auto"/>
              </w:rPr>
            </w:pPr>
            <w:r>
              <w:rPr>
                <w:rFonts w:ascii="Arial" w:cs="Arial" w:eastAsia="Arial" w:hAnsi="Arial"/>
                <w:sz w:val="18"/>
                <w:szCs w:val="18"/>
                <w:b w:val="1"/>
                <w:bCs w:val="1"/>
                <w:color w:val="auto"/>
              </w:rPr>
              <w:t>Description</w:t>
            </w:r>
          </w:p>
        </w:tc>
      </w:tr>
      <w:tr>
        <w:trPr>
          <w:trHeight w:val="196"/>
        </w:trPr>
        <w:tc>
          <w:tcPr>
            <w:tcW w:w="104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120" w:type="dxa"/>
            <w:vAlign w:val="bottom"/>
            <w:tcBorders>
              <w:top w:val="single" w:sz="8" w:color="CCEEFF"/>
            </w:tcBorders>
            <w:shd w:val="clear" w:color="auto" w:fill="CCEEFF"/>
          </w:tcPr>
          <w:p>
            <w:pPr>
              <w:spacing w:after="0"/>
              <w:rPr>
                <w:sz w:val="17"/>
                <w:szCs w:val="17"/>
                <w:color w:val="auto"/>
              </w:rPr>
            </w:pPr>
          </w:p>
        </w:tc>
        <w:tc>
          <w:tcPr>
            <w:tcW w:w="10260" w:type="dxa"/>
            <w:vAlign w:val="bottom"/>
            <w:tcBorders>
              <w:top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0000EE"/>
              </w:rPr>
              <w:t>Press release dated May 13, 2019 entitled “Kornit Digital Reports First Quarter Results”</w:t>
            </w:r>
          </w:p>
        </w:tc>
      </w:tr>
      <w:tr>
        <w:trPr>
          <w:trHeight w:val="655"/>
        </w:trPr>
        <w:tc>
          <w:tcPr>
            <w:tcW w:w="104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6360" w:type="dxa"/>
            <w:vAlign w:val="bottom"/>
            <w:tcBorders>
              <w:top w:val="single" w:sz="8" w:color="0000EE"/>
              <w:bottom w:val="single" w:sz="8" w:color="auto"/>
            </w:tcBorders>
          </w:tcPr>
          <w:p>
            <w:pPr>
              <w:jc w:val="right"/>
              <w:ind w:right="1670"/>
              <w:spacing w:after="0"/>
              <w:rPr>
                <w:sz w:val="20"/>
                <w:szCs w:val="20"/>
                <w:color w:val="auto"/>
              </w:rPr>
            </w:pPr>
            <w:r>
              <w:rPr>
                <w:rFonts w:ascii="Arial" w:cs="Arial" w:eastAsia="Arial" w:hAnsi="Arial"/>
                <w:sz w:val="18"/>
                <w:szCs w:val="18"/>
                <w:color w:val="auto"/>
              </w:rPr>
              <w:t>3</w:t>
            </w:r>
          </w:p>
        </w:tc>
        <w:tc>
          <w:tcPr>
            <w:tcW w:w="39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312A25"/>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312A25"/>
        </w:rPr>
        <w:t>Michael Callahan, ICR</w:t>
      </w:r>
    </w:p>
    <w:p>
      <w:pPr>
        <w:spacing w:after="0" w:line="9" w:lineRule="exact"/>
        <w:rPr>
          <w:sz w:val="20"/>
          <w:szCs w:val="20"/>
          <w:color w:val="auto"/>
        </w:rPr>
      </w:pPr>
    </w:p>
    <w:p>
      <w:pPr>
        <w:ind w:right="9200" w:firstLine="8"/>
        <w:spacing w:after="0" w:line="323" w:lineRule="auto"/>
        <w:tabs>
          <w:tab w:leader="none" w:pos="435" w:val="left"/>
        </w:tabs>
        <w:numPr>
          <w:ilvl w:val="0"/>
          <w:numId w:val="1"/>
        </w:numPr>
        <w:rPr>
          <w:rFonts w:ascii="Arial" w:cs="Arial" w:eastAsia="Arial" w:hAnsi="Arial"/>
          <w:sz w:val="16"/>
          <w:szCs w:val="16"/>
          <w:color w:val="auto"/>
        </w:rPr>
      </w:pPr>
      <w:r>
        <w:rPr>
          <w:rFonts w:ascii="Arial" w:cs="Arial" w:eastAsia="Arial" w:hAnsi="Arial"/>
          <w:sz w:val="16"/>
          <w:szCs w:val="16"/>
          <w:color w:val="auto"/>
        </w:rPr>
        <w:t>682-8311 Michael.Callahan@icrinc.com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97155</wp:posOffset>
            </wp:positionV>
            <wp:extent cx="1209040" cy="7289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0904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Kornit Digital Reports First Quarter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w:t>
      </w:r>
    </w:p>
    <w:p>
      <w:pPr>
        <w:spacing w:after="0" w:line="229" w:lineRule="exact"/>
        <w:rPr>
          <w:sz w:val="20"/>
          <w:szCs w:val="20"/>
          <w:color w:val="auto"/>
        </w:rPr>
      </w:pPr>
    </w:p>
    <w:p>
      <w:pPr>
        <w:ind w:left="340" w:hanging="332"/>
        <w:spacing w:after="0" w:line="258"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Strong first quarter revenue of $38.2 million, up 22.6% net of $1.0 million attributed to the non-cash impact of warrants, compared to $31.1 million net of $42 thousand attributed to the non-cash impact of warrants in the prior year period.</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First quarter 2019 GAAP net operating loss of $1.5 million; Non-GAAP operating profit of $1.6 million net of $1.0 million attributed to the non-cash impact of warrants, or 4.2% net of 242 basis points attributed to the non-cash impact of warrants.</w:t>
      </w:r>
    </w:p>
    <w:p>
      <w:pPr>
        <w:ind w:left="340" w:hanging="332"/>
        <w:spacing w:after="0" w:line="250"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First quarter 2019 GAAP net loss of $0.05 per diluted share; Non-GAAP net income of $0.03 per diluted share, net of $0.03 per diluted share attributed to the non-cash impact of warrants.</w:t>
      </w: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Record quarterly revenues from sale of systems.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Strong Atlas orders and Poly Pro pipeline following successful product launches; momentum continues with HD platforms and Eco Rapid consumables.</w:t>
      </w:r>
    </w:p>
    <w:p>
      <w:pPr>
        <w:spacing w:after="0" w:line="32" w:lineRule="exact"/>
        <w:rPr>
          <w:rFonts w:ascii="Arial" w:cs="Arial" w:eastAsia="Arial" w:hAnsi="Arial"/>
          <w:sz w:val="16"/>
          <w:szCs w:val="16"/>
          <w:color w:val="auto"/>
        </w:rPr>
      </w:pPr>
    </w:p>
    <w:p>
      <w:pPr>
        <w:ind w:left="340" w:hanging="332"/>
        <w:spacing w:after="0" w:line="261"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Solid geographic momentum with successful transition to direct model in North America, ongoing strength in EMEA, and a continued sharp improvement in APAC.</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Rosh-Ha’Ayin, Israel – May 13, 2019 – </w:t>
      </w:r>
      <w:r>
        <w:rPr>
          <w:rFonts w:ascii="Arial" w:cs="Arial" w:eastAsia="Arial" w:hAnsi="Arial"/>
          <w:sz w:val="18"/>
          <w:szCs w:val="18"/>
          <w:color w:val="auto"/>
        </w:rPr>
        <w:t>Kornit Digital Ltd. (NASDAQ: KRNT), a leading provider of digital printing solutions for the global printed textile</w:t>
      </w:r>
      <w:r>
        <w:rPr>
          <w:rFonts w:ascii="Arial" w:cs="Arial" w:eastAsia="Arial" w:hAnsi="Arial"/>
          <w:sz w:val="18"/>
          <w:szCs w:val="18"/>
          <w:b w:val="1"/>
          <w:bCs w:val="1"/>
          <w:color w:val="auto"/>
        </w:rPr>
        <w:t xml:space="preserve"> </w:t>
      </w:r>
      <w:r>
        <w:rPr>
          <w:rFonts w:ascii="Arial" w:cs="Arial" w:eastAsia="Arial" w:hAnsi="Arial"/>
          <w:sz w:val="18"/>
          <w:szCs w:val="18"/>
          <w:color w:val="auto"/>
        </w:rPr>
        <w:t>industry, today reported results for the first quarter ended March 31, 2019.</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First quarter 2019 revenue increased 22.6% to $38.2 million, net of $1.0 million attributed to the non-cash impact of warrants, compared to $31.1 million, net of $42 thousand attributed to the non-cash impact of warrants, in the prior year period. Increased revenues in the quarter were attributable to widespread growth of system sales across geographies, particularly in the Asia Pacific region.</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a GAAP basis, first quarter operating loss was $1.5 million, compared to the prior-year period operating profit of $0.1 million. Non-GAAP operating income was $1.6 million net of $1.0 million attributed to the non-cash impact of warrants, or 4.2% of revenue, net of 242 basis points attributed to the non-cash impact of warrants, compared to $1.7 million, or 5.5% of revenue, in the prior year period. Lower operating margin was the result of a higher impact from warrants during the period and the shift in revenue mix derived by record quarterly revenues from system and service and the one-time impact of approximately $2 million distribution replenishment ink revenues due to completion timing of the transition to a direct business model in 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jc w:val="both"/>
        <w:spacing w:after="0" w:line="312" w:lineRule="auto"/>
        <w:rPr>
          <w:sz w:val="20"/>
          <w:szCs w:val="20"/>
          <w:color w:val="auto"/>
        </w:rPr>
      </w:pPr>
      <w:r>
        <w:rPr>
          <w:rFonts w:ascii="Arial" w:cs="Arial" w:eastAsia="Arial" w:hAnsi="Arial"/>
          <w:sz w:val="16"/>
          <w:szCs w:val="16"/>
          <w:color w:val="auto"/>
        </w:rPr>
        <w:t>Ronen Samuel, Kornit Digital’s Chief Executive Officer commented, “We kicked off 2019 with an excellent start. We delivered a record quarter of revenues from the sale of systems and service and an overall 22.6% revenue growth despite a one-time effect of approximately $2 million on our ink revenues derived from the timing of our transition to a fully direct business model in North America, and a greater impact from the warrants resulting from a higher share price.</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quarter, we experienced continued business momentum with our HD platforms and the roll-out of our odorless Eco Rapid consumables. We had an exceptionally strong start with our new product introductions with a double-digit number of customers placing orders for our newly launched Atlas and a strong and growing pipeline as it relates to the Poly Pro and Presto. We expect that these new products will have a material contribution to our revenues as early as Q2-2019”.</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Samuel added “We continue to make good progress with our business plan as it relates to expanding our Go-To-Market and services. This quarter, we successfully completed the business model transition in North America, continued our strong business momentum in EMEA and executed on another strong quarter in Asia Pacific with record quarterly revenues, following our focus in scaling and improving our performance in that region. I am very satisfied with the solid execution our global teams continue to deliver as we scale up our go-to-market. We are on track with our internal growth plans and excited to continue driving the business forward. I would like to thank all our devoted employees globally on their hard work, commitment and their ongoing focus on our customers success.”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2019 Results of Operations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Kornit reported first quarter revenue of $38.2 million net of the non-cash impact of warrants of $1.0 million, compared with the prior-year period level of $31.1 million net of the non-cash impact of warrants of $42 thousand.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 GAAP basis, first quarter gross profit was $15.3 million, compared to $15.4 million in the prior-year period. Non-GAAP gross profit in the first quarter was $17.1 million, or 44.9% of revenue, compared with $15.6 million, or 50.0% of revenue in the first quarter of 2018. The lower gross margin was primarily due to the one-time shift in product mix which was favorable in System &amp; Service revenues and 139 basis points attributed to the non-cash impact of warrants.</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a GAAP basis, total operating expenses in the first quarter were $16.8 million, compared to $15.3 million in the prior-year period. Non-GAAP operating expenses in the first quarter increased to $15.5 million, or 40.7% of revenue, compared to $13.9 million, or 44.5% of revenue, in the prior-year period.</w:t>
      </w:r>
    </w:p>
    <w:p>
      <w:pPr>
        <w:spacing w:after="0" w:line="12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First quarter GAAP research and development expenses were $5.5 million, compared to $5.3 million in the prior-year period. First quarter Non-GAAP research and development expenses were $5.2 million, or 13.7% of revenue, compared to $5.1 million, or 16.4% of revenue in the prior-year period.</w:t>
      </w:r>
    </w:p>
    <w:p>
      <w:pPr>
        <w:spacing w:after="0" w:line="14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First quarter GAAP selling and marketing expenses were $7.3 million, compared to $5.8 million in the prior-year period. First quarter Non-GAAP selling and marketing expenses were $6.8 million, or 17.8% of revenue, compared to $5.4 million, or 17.3% of revenue, in the equivalent prior-year period.</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6" w:name="page7"/>
    <w:bookmarkEnd w:id="6"/>
    <w:p>
      <w:pPr>
        <w:jc w:val="both"/>
        <w:spacing w:after="0" w:line="308" w:lineRule="auto"/>
        <w:rPr>
          <w:sz w:val="20"/>
          <w:szCs w:val="20"/>
          <w:color w:val="auto"/>
        </w:rPr>
      </w:pPr>
      <w:r>
        <w:rPr>
          <w:rFonts w:ascii="Arial" w:cs="Arial" w:eastAsia="Arial" w:hAnsi="Arial"/>
          <w:sz w:val="17"/>
          <w:szCs w:val="17"/>
          <w:color w:val="auto"/>
        </w:rPr>
        <w:t>First quarter GAAP general and administrative expenses were $4.0 million, compared to $4.0 million in the prior-year period. First quarter non-GAAP general and administrative expenses were $3.5 million, or 9.2% of revenue, compared to $3.4 million, or 10.8% of revenue, in the prior-year period.</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 GAAP basis, first-quarter operating loss was $1.5 million, compared to operating profit of $0.1 million during the prior-year period. Non-GAAP operating income in the first quarter was $1.6 million, compared to $1.7 million in the prior-year period. As a percent of revenue, Non-GAAP operating margin for the first quarter was 4.2% of revenue, compared with 5.5% of revenue in the first quarter of 2018.</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first quarter, the Company recorded an additional $0.2 million tax income that increased the deferred tax asset initially formed last quarter that affected GAAP net income.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 GAAP basis, the Company reported a net loss of $1.6 million, or $0.05 per diluted share, compared to net income of $0.6 million in the first quarter of 2018. Non-GAAP net income for the first quarter of 2019 was $1.2 million, or $0.03 per diluted share, net of $0.03 per diluted share attributed to the non-cash impact of warrants, compared to net income of $2.1 million, or $0.06 per diluted share, net of $0.0 per diluted share attributed to the non-cash impact of warrants in the prior year period.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gridSpan w:val="2"/>
          </w:tcPr>
          <w:p>
            <w:pPr>
              <w:spacing w:after="0"/>
              <w:rPr>
                <w:sz w:val="20"/>
                <w:szCs w:val="20"/>
                <w:color w:val="auto"/>
              </w:rPr>
            </w:pPr>
            <w:r>
              <w:rPr>
                <w:rFonts w:ascii="Arial" w:cs="Arial" w:eastAsia="Arial" w:hAnsi="Arial"/>
                <w:sz w:val="18"/>
                <w:szCs w:val="18"/>
                <w:b w:val="1"/>
                <w:bCs w:val="1"/>
                <w:color w:val="auto"/>
              </w:rPr>
              <w:t>First Quarter 2019 Warrants Impact</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8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Three Months Ended</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5"/>
          </w:tcPr>
          <w:p>
            <w:pPr>
              <w:jc w:val="right"/>
              <w:ind w:right="1120"/>
              <w:spacing w:after="0"/>
              <w:rPr>
                <w:sz w:val="20"/>
                <w:szCs w:val="20"/>
                <w:color w:val="auto"/>
              </w:rPr>
            </w:pPr>
            <w:r>
              <w:rPr>
                <w:rFonts w:ascii="Arial" w:cs="Arial" w:eastAsia="Arial" w:hAnsi="Arial"/>
                <w:sz w:val="18"/>
                <w:szCs w:val="18"/>
                <w:b w:val="1"/>
                <w:bCs w:val="1"/>
                <w:color w:val="auto"/>
              </w:rPr>
              <w:t>March 31,</w:t>
            </w: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40" w:type="dxa"/>
            <w:vAlign w:val="bottom"/>
            <w:gridSpan w:val="6"/>
          </w:tcPr>
          <w:p>
            <w:pPr>
              <w:jc w:val="right"/>
              <w:ind w:right="1320"/>
              <w:spacing w:after="0"/>
              <w:rPr>
                <w:sz w:val="20"/>
                <w:szCs w:val="20"/>
                <w:color w:val="auto"/>
              </w:rPr>
            </w:pPr>
            <w:r>
              <w:rPr>
                <w:rFonts w:ascii="Arial" w:cs="Arial" w:eastAsia="Arial" w:hAnsi="Arial"/>
                <w:sz w:val="18"/>
                <w:szCs w:val="18"/>
                <w:b w:val="1"/>
                <w:bCs w:val="1"/>
                <w:color w:val="auto"/>
              </w:rPr>
              <w:t>Q1 2019</w:t>
            </w:r>
          </w:p>
        </w:tc>
        <w:tc>
          <w:tcPr>
            <w:tcW w:w="140" w:type="dxa"/>
            <w:vAlign w:val="bottom"/>
          </w:tcPr>
          <w:p>
            <w:pPr>
              <w:spacing w:after="0"/>
              <w:rPr>
                <w:sz w:val="20"/>
                <w:szCs w:val="20"/>
                <w:color w:val="auto"/>
              </w:rPr>
            </w:pPr>
          </w:p>
        </w:tc>
        <w:tc>
          <w:tcPr>
            <w:tcW w:w="2360" w:type="dxa"/>
            <w:vAlign w:val="bottom"/>
            <w:gridSpan w:val="5"/>
          </w:tcPr>
          <w:p>
            <w:pPr>
              <w:ind w:left="780"/>
              <w:spacing w:after="0"/>
              <w:rPr>
                <w:sz w:val="20"/>
                <w:szCs w:val="20"/>
                <w:color w:val="auto"/>
              </w:rPr>
            </w:pPr>
            <w:r>
              <w:rPr>
                <w:rFonts w:ascii="Arial" w:cs="Arial" w:eastAsia="Arial" w:hAnsi="Arial"/>
                <w:sz w:val="18"/>
                <w:szCs w:val="18"/>
                <w:b w:val="1"/>
                <w:bCs w:val="1"/>
                <w:color w:val="auto"/>
              </w:rPr>
              <w:t>Q1 2018</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94"/>
              </w:rPr>
              <w:t>Warrants</w:t>
            </w:r>
          </w:p>
        </w:tc>
        <w:tc>
          <w:tcPr>
            <w:tcW w:w="3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94"/>
              </w:rPr>
              <w:t>Warrants</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Net of</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2"/>
              </w:rPr>
              <w:t>Impact</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Net of</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6"/>
              </w:rPr>
              <w:t>Impact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Warrants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4"/>
              </w:rPr>
              <w:t>increase</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Warrants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increase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6"/>
              </w:rPr>
              <w:t>Impact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6"/>
              </w:rPr>
              <w:t>(decrease)</w:t>
            </w:r>
          </w:p>
        </w:tc>
        <w:tc>
          <w:tcPr>
            <w:tcW w:w="14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Impact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(decrease)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38.2M</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center"/>
              <w:ind w:left="450"/>
              <w:spacing w:after="0"/>
              <w:rPr>
                <w:sz w:val="20"/>
                <w:szCs w:val="20"/>
                <w:color w:val="auto"/>
              </w:rPr>
            </w:pPr>
            <w:r>
              <w:rPr>
                <w:rFonts w:ascii="Arial" w:cs="Arial" w:eastAsia="Arial" w:hAnsi="Arial"/>
                <w:sz w:val="18"/>
                <w:szCs w:val="18"/>
                <w:color w:val="auto"/>
                <w:w w:val="94"/>
              </w:rPr>
              <w:t>1.0M</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31.1M</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Non-GAAP Gross Margin</w:t>
            </w:r>
          </w:p>
        </w:tc>
        <w:tc>
          <w:tcPr>
            <w:tcW w:w="14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44.9%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left="510"/>
              <w:spacing w:after="0"/>
              <w:rPr>
                <w:sz w:val="20"/>
                <w:szCs w:val="20"/>
                <w:color w:val="auto"/>
              </w:rPr>
            </w:pPr>
            <w:r>
              <w:rPr>
                <w:rFonts w:ascii="Arial" w:cs="Arial" w:eastAsia="Arial" w:hAnsi="Arial"/>
                <w:sz w:val="18"/>
                <w:szCs w:val="18"/>
                <w:color w:val="auto"/>
                <w:w w:val="87"/>
              </w:rPr>
              <w:t>139bps</w:t>
            </w:r>
          </w:p>
        </w:tc>
        <w:tc>
          <w:tcPr>
            <w:tcW w:w="1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50.0%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Non-GAAP Operating Margin</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left="510"/>
              <w:spacing w:after="0"/>
              <w:rPr>
                <w:sz w:val="20"/>
                <w:szCs w:val="20"/>
                <w:color w:val="auto"/>
              </w:rPr>
            </w:pPr>
            <w:r>
              <w:rPr>
                <w:rFonts w:ascii="Arial" w:cs="Arial" w:eastAsia="Arial" w:hAnsi="Arial"/>
                <w:sz w:val="18"/>
                <w:szCs w:val="18"/>
                <w:color w:val="auto"/>
                <w:w w:val="87"/>
              </w:rPr>
              <w:t>242bps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Non-GAAP Net Margin</w:t>
            </w:r>
          </w:p>
        </w:tc>
        <w:tc>
          <w:tcPr>
            <w:tcW w:w="14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left="510"/>
              <w:spacing w:after="0"/>
              <w:rPr>
                <w:sz w:val="20"/>
                <w:szCs w:val="20"/>
                <w:color w:val="auto"/>
              </w:rPr>
            </w:pPr>
            <w:r>
              <w:rPr>
                <w:rFonts w:ascii="Arial" w:cs="Arial" w:eastAsia="Arial" w:hAnsi="Arial"/>
                <w:sz w:val="18"/>
                <w:szCs w:val="18"/>
                <w:color w:val="auto"/>
                <w:w w:val="87"/>
              </w:rPr>
              <w:t>245bps</w:t>
            </w:r>
          </w:p>
        </w:tc>
        <w:tc>
          <w:tcPr>
            <w:tcW w:w="1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6.7%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13bps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Non-GAAP Diluted Earnings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0.03</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0.06</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and Cash Flow</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2019, the Company had cash, deposits and marketable securities of $124.3 million, and no long-term debt. Cash flow provided by operations was $0.4 million during the first quarter of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2019 Guidance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Company will discuss the details of its guidance live during its earnings conference call, which will be available for replay via webcast at ir.kornit.com.</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will host a conference call on the same day at 5:00 p.m. ET, or 0:00 a.m. Israel time, to discuss the results, followed by a question and answer session for the investment community. A live webcast of the call can be accessed at ir.kornit.com. To access the call, participants may dial toll-free at 1-888-394-8218 or +1-323-701-0225. The toll-free Israeli number is 1 80 921 2883. The confirmation code is 8403533.</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To listen to a telephonic replay of the conference call, dial toll-free 1-844-512-2921 or +1-412-317-6671 (international) and enter confirmation code 8403533.</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telephonic replay will be available beginning at 8:00 p.m. ET on Monday, May 13, 2019, and will last through 11:59 p.m. ET on Monday, May 27, 2019.</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call will also be available for replay via the webcast link on Kornit’s Investor Relations website.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Certain statements in this press release are “forward-looking statements” within the meaning of the Private Securities Litigation Reform Act of 1995 and other U.S. securities laws. Forward-looking statements are characterized by the use of forward-looking terminology such as “will,” “expects,” “anticipates,” “continue,” “believes,” “should,” “intended,” “guidance,” “preliminary,” “future,” “planned,” or other words. These forward-looking statements include, but are not limited to, statements relating to the Company’s objectives, plans and strategies, statements of preliminary or projected results of operations or of financial condition and all statements that address activities, events or developments that the Company intends, expects, projects, believes or anticipates will or may occur in the future. Forward-looking statements are not guarantees of future performance and are subject to risks and uncertainties. The Company has based these forward-looking statements on assumptions and assessments made by its management in light of their experience and their perception of historical trends, current conditions, expected future developments and other factors they believe to be appropriate. Important factors that could cause actual results, developments and business decisions to differ materially from those anticipated in these forward-looking statements include, among other things: the degree of our success in developing, introducing and selling new or improved products and product enhancements including specifically our Poly Pro and Presto products the extent of our ability to consummate sales to large accounts with multi-system delivery plans, the degree of our ability to fill orders for our systems, the extent of our ability to continue to increase sales of our systems and ink and consumables, the extent of our ability to leverage our global infrastructure build-out, the development of the market for digital textile printing, availability of alternative ink, competition, sales concentration, changes to our relationships with suppliers, the extent of our success in marketing, and those additional factors referred to under “Risk Factors” in the company’s Annual Report on Form 20-F filed with the U.S. Securities and Exchange Commission on March 30, 2019. Any forward-looking statements in this press release are made as of the date hereof, and the Company undertakes no obligation to publicly update or revise any forward-looking statements, whether as a result of new information, future events or otherwise, except as required by law.</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Non-GAAP Discussion Disclosure</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Non-GAAP financial measures consist of GAAP financial measures adjusted to exclude the impact of share-based compensation expenses, acquisition related expenses, excess cost of acquired inventory, foreign exchange differences associated with ASC 842, amortization of acquired intangible assets, deferred tax benefits and restructuring expenses and their tax effect. The purpose of such adjustments is to provide an indication of our performance exclusive of non-cash charges and other items that are considered by management to be outside of our core operating results. These Non-GAAP measures are among the primary factors management uses in planning for and forecasting future periods. Furthermore, the Non-GAAP measures are regularly used internally to understand, manage and evaluate our business and make operating decisions, and we believe that they are useful to investors as a consistent and comparable measure of the ongoing performance of our business. However, our Non-GAAP financial measures are not meant to be considered in isolation or as a substitute for comparable GAAP measures and should be read only in conjunction with our consolidated financial statements prepared in accordance with GAAP. Additionally, these Non-GAAP financial measures may differ materially from the Non-GAAP financial measures used by other companies.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Kornit</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Kornit Digital (NASDAQ:KRNT) develops, manufactures and markets industrial digital printing technologies for the garment, apparel and textile industries. Kornit delivers complete solutions, including digital printing systems, inks, consumables, software and after-sales support. Leading the digital direct-to-garment printing market with its exclusive eco-friendly NeoPigment printing process, Kornit caters directly to the changing needs of the textile printing value chain. Kornit’s technology enables innovative business models based on web-to-print, on-demand and mass customization concepts. With its immense experience in the direct-to-garment market, Kornit also offers a revolutionary approach to the roll-to-roll textile printing industry: digitally printing with a single ink set onto multiple types of fabric with no additional finishing processes. Founded in 2003, Kornit Digital is a global company, headquartered in Israel with offices in the USA, Europe and Asia Pacific, and serves customers in more than 100 countries worldwide.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Short-term bank deposit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Marketable securities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Trade receivables,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Inventory</w:t>
      </w:r>
    </w:p>
    <w:p>
      <w:pPr>
        <w:spacing w:after="0" w:line="9"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Other accounts receivable and prepaid expenses Total current assets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LONG-TERM ASSETS: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Marketable securities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Deposits and prepaid expenses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Severance pay fund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Deferred taxes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Operating lease right-of-use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Goodwill</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 long-term assets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jc w:val="center"/>
        <w:ind w:right="4140"/>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0"/>
          <w:szCs w:val="20"/>
          <w:color w:val="auto"/>
        </w:rPr>
      </w:pPr>
    </w:p>
    <w:p>
      <w:pPr>
        <w:jc w:val="center"/>
        <w:ind w:right="4140"/>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jc w:val="center"/>
        <w:ind w:right="4140"/>
        <w:spacing w:after="0"/>
        <w:rPr>
          <w:sz w:val="20"/>
          <w:szCs w:val="20"/>
          <w:color w:val="auto"/>
        </w:rPr>
      </w:pPr>
      <w:r>
        <w:rPr>
          <w:rFonts w:ascii="Arial" w:cs="Arial" w:eastAsia="Arial" w:hAnsi="Arial"/>
          <w:sz w:val="17"/>
          <w:szCs w:val="17"/>
          <w:b w:val="1"/>
          <w:bCs w:val="1"/>
          <w:color w:val="auto"/>
        </w:rPr>
        <w:t>CONSOLIDATED BALANCE SHEETS</w:t>
      </w:r>
    </w:p>
    <w:p>
      <w:pPr>
        <w:spacing w:after="0" w:line="21" w:lineRule="exact"/>
        <w:rPr>
          <w:sz w:val="20"/>
          <w:szCs w:val="20"/>
          <w:color w:val="auto"/>
        </w:rPr>
      </w:pPr>
    </w:p>
    <w:p>
      <w:pPr>
        <w:jc w:val="center"/>
        <w:ind w:right="4140"/>
        <w:spacing w:after="0"/>
        <w:rPr>
          <w:sz w:val="20"/>
          <w:szCs w:val="20"/>
          <w:color w:val="auto"/>
        </w:rPr>
      </w:pPr>
      <w:r>
        <w:rPr>
          <w:rFonts w:ascii="Arial" w:cs="Arial" w:eastAsia="Arial" w:hAnsi="Arial"/>
          <w:sz w:val="18"/>
          <w:szCs w:val="18"/>
          <w:b w:val="1"/>
          <w:bCs w:val="1"/>
          <w:color w:val="auto"/>
        </w:rPr>
        <w:t>(U.S. dollars in thousands)</w:t>
      </w:r>
    </w:p>
    <w:p>
      <w:pPr>
        <w:spacing w:after="0" w:line="207" w:lineRule="exact"/>
        <w:rPr>
          <w:sz w:val="20"/>
          <w:szCs w:val="20"/>
          <w:color w:val="auto"/>
        </w:rPr>
      </w:pPr>
    </w:p>
    <w:tbl>
      <w:tblPr>
        <w:tblLayout w:type="fixed"/>
        <w:tblInd w:w="4660" w:type="dxa"/>
        <w:tblCellMar>
          <w:top w:w="0" w:type="dxa"/>
          <w:left w:w="0" w:type="dxa"/>
          <w:bottom w:w="0" w:type="dxa"/>
          <w:right w:w="0" w:type="dxa"/>
        </w:tblCellMar>
      </w:tblPr>
      <w:tr>
        <w:trPr>
          <w:trHeight w:val="230"/>
        </w:trPr>
        <w:tc>
          <w:tcPr>
            <w:tcW w:w="100" w:type="dxa"/>
            <w:vAlign w:val="bottom"/>
          </w:tcPr>
          <w:p>
            <w:pPr>
              <w:spacing w:after="0"/>
              <w:rPr>
                <w:sz w:val="19"/>
                <w:szCs w:val="19"/>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March 31,</w:t>
            </w: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2019</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r>
      <w:tr>
        <w:trPr>
          <w:trHeight w:val="223"/>
        </w:trPr>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(Unaudited)</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634"/>
        </w:trPr>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17,559</w:t>
            </w:r>
          </w:p>
        </w:tc>
        <w:tc>
          <w:tcPr>
            <w:tcW w:w="240" w:type="dxa"/>
            <w:vAlign w:val="bottom"/>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74,132</w:t>
            </w:r>
          </w:p>
        </w:tc>
      </w:tr>
      <w:tr>
        <w:trPr>
          <w:trHeight w:val="216"/>
        </w:trPr>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14,000</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16"/>
        </w:trPr>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17,257</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3,981</w:t>
            </w:r>
          </w:p>
        </w:tc>
      </w:tr>
      <w:tr>
        <w:trPr>
          <w:trHeight w:val="216"/>
        </w:trPr>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25,988</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21,953</w:t>
            </w:r>
          </w:p>
        </w:tc>
      </w:tr>
      <w:tr>
        <w:trPr>
          <w:trHeight w:val="230"/>
        </w:trPr>
        <w:tc>
          <w:tcPr>
            <w:tcW w:w="1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34,881</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30,030</w:t>
            </w:r>
          </w:p>
        </w:tc>
      </w:tr>
      <w:tr>
        <w:trPr>
          <w:trHeight w:val="237"/>
        </w:trPr>
        <w:tc>
          <w:tcPr>
            <w:tcW w:w="1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4,480</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5,660</w:t>
            </w:r>
          </w:p>
        </w:tc>
      </w:tr>
      <w:tr>
        <w:trPr>
          <w:trHeight w:val="223"/>
        </w:trPr>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114,165</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140,756</w:t>
            </w:r>
          </w:p>
        </w:tc>
      </w:tr>
      <w:tr>
        <w:trPr>
          <w:trHeight w:val="634"/>
        </w:trPr>
        <w:tc>
          <w:tcPr>
            <w:tcW w:w="10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75,450</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44,603</w:t>
            </w:r>
          </w:p>
        </w:tc>
      </w:tr>
      <w:tr>
        <w:trPr>
          <w:trHeight w:val="216"/>
        </w:trPr>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532</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744</w:t>
            </w:r>
          </w:p>
        </w:tc>
      </w:tr>
      <w:tr>
        <w:trPr>
          <w:trHeight w:val="216"/>
        </w:trPr>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319</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351</w:t>
            </w:r>
          </w:p>
        </w:tc>
      </w:tr>
      <w:tr>
        <w:trPr>
          <w:trHeight w:val="216"/>
        </w:trPr>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7,404</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7,272</w:t>
            </w:r>
          </w:p>
        </w:tc>
      </w:tr>
      <w:tr>
        <w:trPr>
          <w:trHeight w:val="216"/>
        </w:trPr>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14,770</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14,994</w:t>
            </w:r>
          </w:p>
        </w:tc>
      </w:tr>
      <w:tr>
        <w:trPr>
          <w:trHeight w:val="216"/>
        </w:trPr>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14,552</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1,747</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1,011</w:t>
            </w:r>
          </w:p>
        </w:tc>
      </w:tr>
      <w:tr>
        <w:trPr>
          <w:trHeight w:val="237"/>
        </w:trPr>
        <w:tc>
          <w:tcPr>
            <w:tcW w:w="1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5,564</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5,092</w:t>
            </w:r>
          </w:p>
        </w:tc>
      </w:tr>
      <w:tr>
        <w:trPr>
          <w:trHeight w:val="223"/>
        </w:trPr>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120,338</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74,067</w:t>
            </w:r>
          </w:p>
        </w:tc>
      </w:tr>
      <w:tr>
        <w:trPr>
          <w:trHeight w:val="480"/>
        </w:trPr>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234,503</w:t>
            </w:r>
          </w:p>
        </w:tc>
        <w:tc>
          <w:tcPr>
            <w:tcW w:w="240" w:type="dxa"/>
            <w:vAlign w:val="bottom"/>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214,823</w:t>
            </w:r>
          </w:p>
        </w:tc>
      </w:tr>
      <w:tr>
        <w:trPr>
          <w:trHeight w:val="21"/>
        </w:trPr>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-2898140</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-2623820</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-2348865</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-2057400</wp:posOffset>
            </wp:positionV>
            <wp:extent cx="72466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-1757680</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-1482725</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-1208405</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-934085</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-659765</wp:posOffset>
            </wp:positionV>
            <wp:extent cx="72466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-351155</wp:posOffset>
            </wp:positionV>
            <wp:extent cx="72466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460" w:space="700"/>
            <w:col w:w="7260"/>
          </w:cols>
          <w:pgMar w:left="240" w:top="891" w:right="239" w:bottom="1440" w:gutter="0" w:footer="0" w:header="0"/>
        </w:sect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6340" w:type="dxa"/>
            <w:vAlign w:val="bottom"/>
            <w:shd w:val="clear" w:color="auto" w:fill="CCEEFF"/>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Trade payables</w:t>
            </w:r>
          </w:p>
        </w:tc>
        <w:tc>
          <w:tcPr>
            <w:tcW w:w="2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19,330</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Employees and payroll accruals</w:t>
            </w:r>
          </w:p>
        </w:tc>
        <w:tc>
          <w:tcPr>
            <w:tcW w:w="2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9,047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Deferred revenues and advances from customers</w:t>
            </w:r>
          </w:p>
        </w:tc>
        <w:tc>
          <w:tcPr>
            <w:tcW w:w="2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2,296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2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Other payables and accrued expenses</w:t>
            </w:r>
          </w:p>
        </w:tc>
        <w:tc>
          <w:tcPr>
            <w:tcW w:w="2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5,021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4,993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4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2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Accrued severance pay</w:t>
            </w:r>
          </w:p>
        </w:tc>
        <w:tc>
          <w:tcPr>
            <w:tcW w:w="2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990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2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11,807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1,258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24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4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181,650</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179,136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2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234,503</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214,823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4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type w:val="continuous"/>
        </w:sectPr>
      </w:pPr>
    </w:p>
    <w:bookmarkStart w:id="10" w:name="page11"/>
    <w:bookmarkEnd w:id="10"/>
    <w:p>
      <w:pPr>
        <w:ind w:left="4720"/>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(U.S. dollars 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center"/>
              <w:ind w:left="531"/>
              <w:spacing w:after="0"/>
              <w:rPr>
                <w:sz w:val="20"/>
                <w:szCs w:val="20"/>
                <w:color w:val="auto"/>
              </w:rPr>
            </w:pPr>
            <w:r>
              <w:rPr>
                <w:rFonts w:ascii="Arial" w:cs="Arial" w:eastAsia="Arial" w:hAnsi="Arial"/>
                <w:sz w:val="18"/>
                <w:szCs w:val="18"/>
                <w:b w:val="1"/>
                <w:bCs w:val="1"/>
                <w:color w:val="auto"/>
                <w:w w:val="96"/>
              </w:rPr>
              <w:t>March 31,</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5"/>
          </w:tcPr>
          <w:p>
            <w:pPr>
              <w:jc w:val="center"/>
              <w:ind w:right="13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768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Products</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32,007</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26,758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60" w:type="dxa"/>
            <w:vAlign w:val="bottom"/>
          </w:tcPr>
          <w:p>
            <w:pPr>
              <w:ind w:left="160"/>
              <w:spacing w:after="0"/>
              <w:rPr>
                <w:sz w:val="20"/>
                <w:szCs w:val="20"/>
                <w:color w:val="auto"/>
              </w:rPr>
            </w:pPr>
            <w:r>
              <w:rPr>
                <w:rFonts w:ascii="Arial" w:cs="Arial" w:eastAsia="Arial" w:hAnsi="Arial"/>
                <w:sz w:val="18"/>
                <w:szCs w:val="18"/>
                <w:color w:val="auto"/>
              </w:rPr>
              <w:t>Services</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6,154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38,161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Arial" w:cs="Arial" w:eastAsia="Arial" w:hAnsi="Arial"/>
                <w:sz w:val="18"/>
                <w:szCs w:val="18"/>
                <w:color w:val="auto"/>
              </w:rPr>
              <w:t>Products</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16,422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11,039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Services</w:t>
            </w:r>
          </w:p>
        </w:tc>
        <w:tc>
          <w:tcPr>
            <w:tcW w:w="1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6,441</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cost of revenues</w:t>
            </w:r>
          </w:p>
        </w:tc>
        <w:tc>
          <w:tcPr>
            <w:tcW w:w="11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22,863</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15,731</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Gross profit</w:t>
            </w:r>
          </w:p>
        </w:tc>
        <w:tc>
          <w:tcPr>
            <w:tcW w:w="1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15,298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15,389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Operating expenses:</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5,467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Selling and marketing</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7,268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4,043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Restructuring expenses</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w:t>
            </w:r>
          </w:p>
        </w:tc>
        <w:tc>
          <w:tcPr>
            <w:tcW w:w="1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15,297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Operating income (loss)</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(1,480)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Financial income (expenses), net</w:t>
            </w:r>
          </w:p>
        </w:tc>
        <w:tc>
          <w:tcPr>
            <w:tcW w:w="1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Income (loss) before taxes on income</w:t>
            </w:r>
          </w:p>
        </w:tc>
        <w:tc>
          <w:tcPr>
            <w:tcW w:w="11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(1,484)</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625</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Taxes on income</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net income (loss) per share</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line="256" w:lineRule="exact"/>
              <w:rPr>
                <w:sz w:val="20"/>
                <w:szCs w:val="20"/>
                <w:color w:val="auto"/>
              </w:rPr>
            </w:pPr>
            <w:r>
              <w:rPr>
                <w:rFonts w:ascii="Arial" w:cs="Arial" w:eastAsia="Arial" w:hAnsi="Arial"/>
                <w:sz w:val="16"/>
                <w:szCs w:val="16"/>
                <w:color w:val="auto"/>
              </w:rPr>
              <w:t>(0.05</w:t>
            </w:r>
            <w:r>
              <w:rPr>
                <w:rFonts w:ascii="Arial" w:cs="Arial" w:eastAsia="Arial" w:hAnsi="Arial"/>
                <w:sz w:val="29"/>
                <w:szCs w:val="29"/>
                <w:color w:val="auto"/>
                <w:vertAlign w:val="superscript"/>
              </w:rPr>
              <w:t>)</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used in computing basic net income (loss) per share</w:t>
            </w:r>
          </w:p>
        </w:tc>
        <w:tc>
          <w:tcPr>
            <w:tcW w:w="1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35,127,377</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34,269,217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 (loss) per share</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line="256" w:lineRule="exact"/>
              <w:rPr>
                <w:sz w:val="20"/>
                <w:szCs w:val="20"/>
                <w:color w:val="auto"/>
              </w:rPr>
            </w:pPr>
            <w:r>
              <w:rPr>
                <w:rFonts w:ascii="Arial" w:cs="Arial" w:eastAsia="Arial" w:hAnsi="Arial"/>
                <w:sz w:val="16"/>
                <w:szCs w:val="16"/>
                <w:color w:val="auto"/>
              </w:rPr>
              <w:t>(0.05</w:t>
            </w:r>
            <w:r>
              <w:rPr>
                <w:rFonts w:ascii="Arial" w:cs="Arial" w:eastAsia="Arial" w:hAnsi="Arial"/>
                <w:sz w:val="29"/>
                <w:szCs w:val="29"/>
                <w:color w:val="auto"/>
                <w:vertAlign w:val="superscript"/>
              </w:rPr>
              <w:t>)</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used in computing diluted net income (loss) per share</w:t>
            </w:r>
          </w:p>
        </w:tc>
        <w:tc>
          <w:tcPr>
            <w:tcW w:w="1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35,127,377</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34,729,450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11" w:name="page12"/>
    <w:bookmarkEnd w:id="11"/>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RECONCILATION OF GAAP TO NON-GAAP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 except share and per share data)</w:t>
      </w:r>
    </w:p>
    <w:p>
      <w:pPr>
        <w:spacing w:after="0" w:line="207" w:lineRule="exact"/>
        <w:rPr>
          <w:sz w:val="20"/>
          <w:szCs w:val="20"/>
          <w:color w:val="auto"/>
        </w:rPr>
      </w:pPr>
    </w:p>
    <w:p>
      <w:pPr>
        <w:jc w:val="center"/>
        <w:ind w:left="8700"/>
        <w:spacing w:after="0"/>
        <w:rPr>
          <w:sz w:val="20"/>
          <w:szCs w:val="20"/>
          <w:color w:val="auto"/>
        </w:rPr>
      </w:pPr>
      <w:r>
        <w:rPr>
          <w:rFonts w:ascii="Arial" w:cs="Arial" w:eastAsia="Arial" w:hAnsi="Arial"/>
          <w:sz w:val="16"/>
          <w:szCs w:val="16"/>
          <w:b w:val="1"/>
          <w:bCs w:val="1"/>
          <w:color w:val="auto"/>
        </w:rPr>
        <w:t>Three Months Ended</w:t>
      </w:r>
    </w:p>
    <w:p>
      <w:pPr>
        <w:spacing w:after="0" w:line="50"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5596255</wp:posOffset>
            </wp:positionH>
            <wp:positionV relativeFrom="paragraph">
              <wp:posOffset>14605</wp:posOffset>
            </wp:positionV>
            <wp:extent cx="158623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ectPr>
          <w:pgSz w:w="11900" w:h="16900" w:orient="portrait"/>
          <w:cols w:equalWidth="0" w:num="1">
            <w:col w:w="11420"/>
          </w:cols>
          <w:pgMar w:left="240" w:top="864"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GAAP cost of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Cost of product recorded for share-based compensation (1)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Cost of service recorded for share-based compensation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amortization on cost of product (3)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Excess cost of product on acquired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Acquisition related expenses (2)</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Non-GAAP cost of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803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GAAP 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Gross profit adjustments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Non-GAAP 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803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GAAP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compensation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Acquisition related expenses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Intangible assets amortization (3)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Restructuring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Non-GAAP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1631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GAAP Financial income (expenses)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Foreign exchange losses associated with ASC 842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Non-GAAP Financial income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163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GAAP Taxes on income (tax benefit)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Tax effect on to the above non-GAAP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Tax benefit (c)</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Non-GAAP Taxes on income (tax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803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GAAP 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compensation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Acquisition related expenses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Intangible assets amortization (3)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Excess cost of product on acquired inventory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Restructuring expenses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Foreign exchange losses associated with ASC 842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Tax effect on to the above non-GAAP adjustments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Deferred tax benefit based on an Israeli statutory tax rate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Non-GAAP 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1631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GAAP diluted earning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1631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Non-GAAP diluted earning per share</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ind w:left="380"/>
        <w:spacing w:after="0"/>
        <w:tabs>
          <w:tab w:leader="none" w:pos="172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158623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16"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158623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22,863</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15,731</w:t>
            </w:r>
          </w:p>
        </w:tc>
        <w:tc>
          <w:tcPr>
            <w:tcW w:w="6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(108)</w:t>
            </w:r>
          </w:p>
        </w:tc>
        <w:tc>
          <w:tcPr>
            <w:tcW w:w="3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3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(114)</w:t>
            </w:r>
          </w:p>
        </w:tc>
        <w:tc>
          <w:tcPr>
            <w:tcW w:w="3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3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3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3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(1,554)</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44"/>
        </w:trPr>
        <w:tc>
          <w:tcPr>
            <w:tcW w:w="36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7"/>
        </w:trPr>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21,034</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15,558</w:t>
            </w:r>
          </w:p>
        </w:tc>
        <w:tc>
          <w:tcPr>
            <w:tcW w:w="60" w:type="dxa"/>
            <w:vAlign w:val="bottom"/>
          </w:tcPr>
          <w:p>
            <w:pPr>
              <w:spacing w:after="0"/>
              <w:rPr>
                <w:sz w:val="21"/>
                <w:szCs w:val="21"/>
                <w:color w:val="auto"/>
              </w:rPr>
            </w:pPr>
          </w:p>
        </w:tc>
      </w:tr>
      <w:tr>
        <w:trPr>
          <w:trHeight w:val="21"/>
        </w:trPr>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1"/>
        </w:trPr>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15,298</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15,389</w:t>
            </w:r>
          </w:p>
        </w:tc>
        <w:tc>
          <w:tcPr>
            <w:tcW w:w="60" w:type="dxa"/>
            <w:vAlign w:val="bottom"/>
          </w:tcPr>
          <w:p>
            <w:pPr>
              <w:spacing w:after="0"/>
              <w:rPr>
                <w:sz w:val="24"/>
                <w:szCs w:val="24"/>
                <w:color w:val="auto"/>
              </w:rPr>
            </w:pPr>
          </w:p>
        </w:tc>
      </w:tr>
      <w:tr>
        <w:trPr>
          <w:trHeight w:val="230"/>
        </w:trPr>
        <w:tc>
          <w:tcPr>
            <w:tcW w:w="3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1,829</w:t>
            </w: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173</w:t>
            </w:r>
          </w:p>
        </w:tc>
        <w:tc>
          <w:tcPr>
            <w:tcW w:w="60" w:type="dxa"/>
            <w:vAlign w:val="bottom"/>
          </w:tcPr>
          <w:p>
            <w:pPr>
              <w:spacing w:after="0"/>
              <w:rPr>
                <w:sz w:val="20"/>
                <w:szCs w:val="20"/>
                <w:color w:val="auto"/>
              </w:rPr>
            </w:pPr>
          </w:p>
        </w:tc>
      </w:tr>
      <w:tr>
        <w:trPr>
          <w:trHeight w:val="27"/>
        </w:trPr>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17,127</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15,562</w:t>
            </w:r>
          </w:p>
        </w:tc>
        <w:tc>
          <w:tcPr>
            <w:tcW w:w="60" w:type="dxa"/>
            <w:vAlign w:val="bottom"/>
          </w:tcPr>
          <w:p>
            <w:pPr>
              <w:spacing w:after="0"/>
              <w:rPr>
                <w:sz w:val="21"/>
                <w:szCs w:val="21"/>
                <w:color w:val="auto"/>
              </w:rPr>
            </w:pPr>
          </w:p>
        </w:tc>
      </w:tr>
      <w:tr>
        <w:trPr>
          <w:trHeight w:val="21"/>
        </w:trPr>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8"/>
        </w:trPr>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16,778</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15,297</w:t>
            </w:r>
          </w:p>
        </w:tc>
        <w:tc>
          <w:tcPr>
            <w:tcW w:w="60" w:type="dxa"/>
            <w:vAlign w:val="bottom"/>
          </w:tcPr>
          <w:p>
            <w:pPr>
              <w:spacing w:after="0"/>
              <w:rPr>
                <w:sz w:val="24"/>
                <w:szCs w:val="24"/>
                <w:color w:val="auto"/>
              </w:rPr>
            </w:pPr>
          </w:p>
        </w:tc>
      </w:tr>
      <w:tr>
        <w:trPr>
          <w:trHeight w:val="216"/>
        </w:trPr>
        <w:tc>
          <w:tcPr>
            <w:tcW w:w="3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(1,078)</w:t>
            </w:r>
          </w:p>
        </w:tc>
        <w:tc>
          <w:tcPr>
            <w:tcW w:w="3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(1,057)</w:t>
            </w:r>
          </w:p>
        </w:tc>
      </w:tr>
      <w:tr>
        <w:trPr>
          <w:trHeight w:val="216"/>
        </w:trPr>
        <w:tc>
          <w:tcPr>
            <w:tcW w:w="3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(57)</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(129)</w:t>
            </w:r>
          </w:p>
        </w:tc>
        <w:tc>
          <w:tcPr>
            <w:tcW w:w="3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(241)</w:t>
            </w:r>
          </w:p>
        </w:tc>
      </w:tr>
      <w:tr>
        <w:trPr>
          <w:trHeight w:val="244"/>
        </w:trPr>
        <w:tc>
          <w:tcPr>
            <w:tcW w:w="3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(148)</w:t>
            </w:r>
          </w:p>
        </w:tc>
      </w:tr>
      <w:tr>
        <w:trPr>
          <w:trHeight w:val="27"/>
        </w:trPr>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15,514</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13,851</w:t>
            </w:r>
          </w:p>
        </w:tc>
        <w:tc>
          <w:tcPr>
            <w:tcW w:w="60" w:type="dxa"/>
            <w:vAlign w:val="bottom"/>
          </w:tcPr>
          <w:p>
            <w:pPr>
              <w:spacing w:after="0"/>
              <w:rPr>
                <w:sz w:val="21"/>
                <w:szCs w:val="21"/>
                <w:color w:val="auto"/>
              </w:rPr>
            </w:pPr>
          </w:p>
        </w:tc>
      </w:tr>
      <w:tr>
        <w:trPr>
          <w:trHeight w:val="21"/>
        </w:trPr>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1"/>
        </w:trPr>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533</w:t>
            </w:r>
          </w:p>
        </w:tc>
        <w:tc>
          <w:tcPr>
            <w:tcW w:w="60" w:type="dxa"/>
            <w:vAlign w:val="bottom"/>
          </w:tcPr>
          <w:p>
            <w:pPr>
              <w:spacing w:after="0"/>
              <w:rPr>
                <w:sz w:val="24"/>
                <w:szCs w:val="24"/>
                <w:color w:val="auto"/>
              </w:rPr>
            </w:pPr>
          </w:p>
        </w:tc>
      </w:tr>
      <w:tr>
        <w:trPr>
          <w:trHeight w:val="230"/>
        </w:trPr>
        <w:tc>
          <w:tcPr>
            <w:tcW w:w="3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335</w:t>
            </w: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27"/>
        </w:trPr>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331</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533</w:t>
            </w:r>
          </w:p>
        </w:tc>
        <w:tc>
          <w:tcPr>
            <w:tcW w:w="60" w:type="dxa"/>
            <w:vAlign w:val="bottom"/>
          </w:tcPr>
          <w:p>
            <w:pPr>
              <w:spacing w:after="0"/>
              <w:rPr>
                <w:sz w:val="21"/>
                <w:szCs w:val="21"/>
                <w:color w:val="auto"/>
              </w:rPr>
            </w:pPr>
          </w:p>
        </w:tc>
      </w:tr>
      <w:tr>
        <w:trPr>
          <w:trHeight w:val="21"/>
        </w:trPr>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8"/>
        </w:trPr>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105</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24"/>
                <w:szCs w:val="24"/>
                <w:color w:val="auto"/>
              </w:rPr>
            </w:pPr>
          </w:p>
        </w:tc>
      </w:tr>
      <w:tr>
        <w:trPr>
          <w:trHeight w:val="230"/>
        </w:trPr>
        <w:tc>
          <w:tcPr>
            <w:tcW w:w="36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489</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88</w:t>
            </w:r>
          </w:p>
        </w:tc>
        <w:tc>
          <w:tcPr>
            <w:tcW w:w="60" w:type="dxa"/>
            <w:vAlign w:val="bottom"/>
          </w:tcPr>
          <w:p>
            <w:pPr>
              <w:spacing w:after="0"/>
              <w:rPr>
                <w:sz w:val="19"/>
                <w:szCs w:val="19"/>
                <w:color w:val="auto"/>
              </w:rPr>
            </w:pPr>
          </w:p>
        </w:tc>
      </w:tr>
      <w:tr>
        <w:trPr>
          <w:trHeight w:val="230"/>
        </w:trPr>
        <w:tc>
          <w:tcPr>
            <w:tcW w:w="3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165</w:t>
            </w: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27"/>
        </w:trPr>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759</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148</w:t>
            </w:r>
          </w:p>
        </w:tc>
        <w:tc>
          <w:tcPr>
            <w:tcW w:w="60" w:type="dxa"/>
            <w:vAlign w:val="bottom"/>
          </w:tcPr>
          <w:p>
            <w:pPr>
              <w:spacing w:after="0"/>
              <w:rPr>
                <w:sz w:val="21"/>
                <w:szCs w:val="21"/>
                <w:color w:val="auto"/>
              </w:rPr>
            </w:pPr>
          </w:p>
        </w:tc>
      </w:tr>
      <w:tr>
        <w:trPr>
          <w:trHeight w:val="21"/>
        </w:trPr>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8"/>
        </w:trPr>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(1,589)</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565</w:t>
            </w:r>
          </w:p>
        </w:tc>
        <w:tc>
          <w:tcPr>
            <w:tcW w:w="60" w:type="dxa"/>
            <w:vAlign w:val="bottom"/>
          </w:tcPr>
          <w:p>
            <w:pPr>
              <w:spacing w:after="0"/>
              <w:rPr>
                <w:sz w:val="24"/>
                <w:szCs w:val="24"/>
                <w:color w:val="auto"/>
              </w:rPr>
            </w:pPr>
          </w:p>
        </w:tc>
      </w:tr>
      <w:tr>
        <w:trPr>
          <w:trHeight w:val="216"/>
        </w:trPr>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1,300</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1,205</w:t>
            </w:r>
          </w:p>
        </w:tc>
        <w:tc>
          <w:tcPr>
            <w:tcW w:w="6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85</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154</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266</w:t>
            </w:r>
          </w:p>
        </w:tc>
        <w:tc>
          <w:tcPr>
            <w:tcW w:w="6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1,554</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148</w:t>
            </w:r>
          </w:p>
        </w:tc>
        <w:tc>
          <w:tcPr>
            <w:tcW w:w="6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335</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(489)</w:t>
            </w:r>
          </w:p>
        </w:tc>
        <w:tc>
          <w:tcPr>
            <w:tcW w:w="3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(88)</w:t>
            </w:r>
          </w:p>
        </w:tc>
      </w:tr>
      <w:tr>
        <w:trPr>
          <w:trHeight w:val="244"/>
        </w:trPr>
        <w:tc>
          <w:tcPr>
            <w:tcW w:w="36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(165)</w:t>
            </w: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7"/>
        </w:trPr>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1,185</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2,096</w:t>
            </w:r>
          </w:p>
        </w:tc>
        <w:tc>
          <w:tcPr>
            <w:tcW w:w="60" w:type="dxa"/>
            <w:vAlign w:val="bottom"/>
          </w:tcPr>
          <w:p>
            <w:pPr>
              <w:spacing w:after="0"/>
              <w:rPr>
                <w:sz w:val="21"/>
                <w:szCs w:val="21"/>
                <w:color w:val="auto"/>
              </w:rPr>
            </w:pPr>
          </w:p>
        </w:tc>
      </w:tr>
      <w:tr>
        <w:trPr>
          <w:trHeight w:val="21"/>
        </w:trPr>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(0.05</w:t>
            </w:r>
            <w:r>
              <w:rPr>
                <w:rFonts w:ascii="Arial" w:cs="Arial" w:eastAsia="Arial" w:hAnsi="Arial"/>
                <w:sz w:val="36"/>
                <w:szCs w:val="36"/>
                <w:color w:val="auto"/>
                <w:vertAlign w:val="superscript"/>
              </w:rPr>
              <w:t>)</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0.02</w:t>
            </w:r>
          </w:p>
        </w:tc>
        <w:tc>
          <w:tcPr>
            <w:tcW w:w="60" w:type="dxa"/>
            <w:vAlign w:val="bottom"/>
          </w:tcPr>
          <w:p>
            <w:pPr>
              <w:spacing w:after="0"/>
              <w:rPr>
                <w:sz w:val="24"/>
                <w:szCs w:val="24"/>
                <w:color w:val="auto"/>
              </w:rPr>
            </w:pPr>
          </w:p>
        </w:tc>
      </w:tr>
      <w:tr>
        <w:trPr>
          <w:trHeight w:val="21"/>
        </w:trPr>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0.03</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0.06</w:t>
            </w:r>
          </w:p>
        </w:tc>
        <w:tc>
          <w:tcPr>
            <w:tcW w:w="60" w:type="dxa"/>
            <w:vAlign w:val="bottom"/>
          </w:tcPr>
          <w:p>
            <w:pPr>
              <w:spacing w:after="0"/>
              <w:rPr>
                <w:sz w:val="24"/>
                <w:szCs w:val="24"/>
                <w:color w:val="auto"/>
              </w:rPr>
            </w:pPr>
          </w:p>
        </w:tc>
      </w:tr>
      <w:tr>
        <w:trPr>
          <w:trHeight w:val="21"/>
        </w:trPr>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p>
    <w:p>
      <w:pPr>
        <w:sectPr>
          <w:pgSz w:w="11900" w:h="16900" w:orient="portrait"/>
          <w:cols w:equalWidth="0" w:num="2">
            <w:col w:w="8100" w:space="720"/>
            <w:col w:w="2600"/>
          </w:cols>
          <w:pgMar w:left="240" w:top="864" w:right="239" w:bottom="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88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color w:val="auto"/>
              </w:rPr>
              <w:t>Weighted average number of shares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vMerge w:val="continue"/>
          </w:tcPr>
          <w:p>
            <w:pPr>
              <w:spacing w:after="0"/>
              <w:rPr>
                <w:sz w:val="24"/>
                <w:szCs w:val="24"/>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Shares used in computing GAAP diluted net earning (loss) per share</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35,127,377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34,729,450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vMerge w:val="continue"/>
          </w:tcPr>
          <w:p>
            <w:pPr>
              <w:spacing w:after="0"/>
              <w:rPr>
                <w:sz w:val="24"/>
                <w:szCs w:val="24"/>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Shares used in computing Non-GAAP diluted net earning per share</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36,431,015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35,005,677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(1) Share-based compensation</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Cost of product revenues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80"/>
              <w:spacing w:after="0"/>
              <w:rPr>
                <w:sz w:val="20"/>
                <w:szCs w:val="20"/>
                <w:color w:val="auto"/>
              </w:rPr>
            </w:pPr>
            <w:r>
              <w:rPr>
                <w:rFonts w:ascii="Arial" w:cs="Arial" w:eastAsia="Arial" w:hAnsi="Arial"/>
                <w:sz w:val="18"/>
                <w:szCs w:val="18"/>
                <w:color w:val="auto"/>
              </w:rPr>
              <w:t>Cost of service revenues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Research and development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80"/>
              <w:spacing w:after="0"/>
              <w:rPr>
                <w:sz w:val="20"/>
                <w:szCs w:val="20"/>
                <w:color w:val="auto"/>
              </w:rPr>
            </w:pPr>
            <w:r>
              <w:rPr>
                <w:rFonts w:ascii="Arial" w:cs="Arial" w:eastAsia="Arial" w:hAnsi="Arial"/>
                <w:sz w:val="18"/>
                <w:szCs w:val="18"/>
                <w:color w:val="auto"/>
              </w:rPr>
              <w:t>Selling and marketing</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315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1,300</w:t>
            </w:r>
          </w:p>
        </w:tc>
        <w:tc>
          <w:tcPr>
            <w:tcW w:w="22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1,205</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8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864" w:right="239" w:bottom="0" w:gutter="0" w:footer="0" w:header="0"/>
          <w:type w:val="continuous"/>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w:t>
            </w:r>
          </w:p>
        </w:tc>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Acquisition related expenses</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8560" w:type="dxa"/>
            <w:vAlign w:val="bottom"/>
          </w:tcPr>
          <w:p>
            <w:pPr>
              <w:ind w:left="40"/>
              <w:spacing w:after="0"/>
              <w:rPr>
                <w:sz w:val="20"/>
                <w:szCs w:val="20"/>
                <w:color w:val="auto"/>
              </w:rPr>
            </w:pPr>
            <w:r>
              <w:rPr>
                <w:rFonts w:ascii="Arial" w:cs="Arial" w:eastAsia="Arial" w:hAnsi="Arial"/>
                <w:sz w:val="18"/>
                <w:szCs w:val="18"/>
                <w:color w:val="auto"/>
              </w:rPr>
              <w:t>Cost of product revenues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60" w:type="dxa"/>
            <w:vAlign w:val="bottom"/>
            <w:shd w:val="clear" w:color="auto" w:fill="CCEEFF"/>
          </w:tcPr>
          <w:p>
            <w:pPr>
              <w:spacing w:after="0"/>
              <w:rPr>
                <w:sz w:val="18"/>
                <w:szCs w:val="18"/>
                <w:color w:val="auto"/>
              </w:rPr>
            </w:pPr>
          </w:p>
        </w:tc>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Selling and marketing</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260" w:type="dxa"/>
            <w:vAlign w:val="bottom"/>
          </w:tcPr>
          <w:p>
            <w:pPr>
              <w:spacing w:after="0"/>
              <w:rPr>
                <w:sz w:val="20"/>
                <w:szCs w:val="20"/>
                <w:color w:val="auto"/>
              </w:rPr>
            </w:pPr>
          </w:p>
        </w:tc>
        <w:tc>
          <w:tcPr>
            <w:tcW w:w="856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6"/>
        </w:trPr>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856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260" w:type="dxa"/>
            <w:vAlign w:val="bottom"/>
          </w:tcPr>
          <w:p>
            <w:pPr>
              <w:jc w:val="right"/>
              <w:spacing w:after="0" w:line="203" w:lineRule="exact"/>
              <w:rPr>
                <w:sz w:val="20"/>
                <w:szCs w:val="20"/>
                <w:color w:val="auto"/>
              </w:rPr>
            </w:pPr>
            <w:r>
              <w:rPr>
                <w:rFonts w:ascii="Arial" w:cs="Arial" w:eastAsia="Arial" w:hAnsi="Arial"/>
                <w:sz w:val="18"/>
                <w:szCs w:val="18"/>
                <w:color w:val="auto"/>
                <w:w w:val="90"/>
              </w:rPr>
              <w:t>(3)</w:t>
            </w:r>
          </w:p>
        </w:tc>
        <w:tc>
          <w:tcPr>
            <w:tcW w:w="8560" w:type="dxa"/>
            <w:vAlign w:val="bottom"/>
          </w:tcPr>
          <w:p>
            <w:pPr>
              <w:ind w:left="40"/>
              <w:spacing w:after="0" w:line="203" w:lineRule="exact"/>
              <w:rPr>
                <w:sz w:val="20"/>
                <w:szCs w:val="20"/>
                <w:color w:val="auto"/>
              </w:rPr>
            </w:pPr>
            <w:r>
              <w:rPr>
                <w:rFonts w:ascii="Arial" w:cs="Arial" w:eastAsia="Arial" w:hAnsi="Arial"/>
                <w:sz w:val="18"/>
                <w:szCs w:val="18"/>
                <w:color w:val="auto"/>
              </w:rPr>
              <w:t>Intangible assets amortization</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60" w:type="dxa"/>
            <w:vAlign w:val="bottom"/>
            <w:shd w:val="clear" w:color="auto" w:fill="CCEEFF"/>
          </w:tcPr>
          <w:p>
            <w:pPr>
              <w:spacing w:after="0"/>
              <w:rPr>
                <w:sz w:val="18"/>
                <w:szCs w:val="18"/>
                <w:color w:val="auto"/>
              </w:rPr>
            </w:pPr>
          </w:p>
        </w:tc>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product revenues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r>
      <w:tr>
        <w:trPr>
          <w:trHeight w:val="237"/>
        </w:trPr>
        <w:tc>
          <w:tcPr>
            <w:tcW w:w="260" w:type="dxa"/>
            <w:vAlign w:val="bottom"/>
          </w:tcPr>
          <w:p>
            <w:pPr>
              <w:spacing w:after="0"/>
              <w:rPr>
                <w:sz w:val="20"/>
                <w:szCs w:val="20"/>
                <w:color w:val="auto"/>
              </w:rPr>
            </w:pPr>
          </w:p>
        </w:tc>
        <w:tc>
          <w:tcPr>
            <w:tcW w:w="8560" w:type="dxa"/>
            <w:vAlign w:val="bottom"/>
          </w:tcPr>
          <w:p>
            <w:pPr>
              <w:ind w:left="40"/>
              <w:spacing w:after="0"/>
              <w:rPr>
                <w:sz w:val="20"/>
                <w:szCs w:val="20"/>
                <w:color w:val="auto"/>
              </w:rPr>
            </w:pPr>
            <w:r>
              <w:rPr>
                <w:rFonts w:ascii="Arial" w:cs="Arial" w:eastAsia="Arial" w:hAnsi="Arial"/>
                <w:sz w:val="18"/>
                <w:szCs w:val="18"/>
                <w:color w:val="auto"/>
              </w:rPr>
              <w:t>Selling and marketing</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129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241</w:t>
            </w:r>
          </w:p>
        </w:tc>
      </w:tr>
      <w:tr>
        <w:trPr>
          <w:trHeight w:val="223"/>
        </w:trPr>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856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jc w:val="both"/>
        <w:ind w:left="340" w:hanging="332"/>
        <w:spacing w:after="0" w:line="264"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Consists of charges to cost of revenues for the difference between the higher carrying cost of the acquired inventory from a distributor purchased on February 8, 2019 which was recorded at fair value and the standard cost of the Company’s inventory, which adversely impacts the Company’s gross profit.</w:t>
      </w:r>
    </w:p>
    <w:p>
      <w:pPr>
        <w:spacing w:after="0" w:line="181"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 cash impact related to the recognition of deferred taxes with respect to carryforward losses in Israel</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6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center"/>
              <w:ind w:left="430"/>
              <w:spacing w:after="0"/>
              <w:rPr>
                <w:sz w:val="20"/>
                <w:szCs w:val="20"/>
                <w:color w:val="auto"/>
              </w:rPr>
            </w:pPr>
            <w:r>
              <w:rPr>
                <w:rFonts w:ascii="Arial" w:cs="Arial" w:eastAsia="Arial" w:hAnsi="Arial"/>
                <w:sz w:val="18"/>
                <w:szCs w:val="18"/>
                <w:b w:val="1"/>
                <w:bCs w:val="1"/>
                <w:color w:val="auto"/>
                <w:w w:val="96"/>
              </w:rPr>
              <w:t>March 31,</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4"/>
          </w:tcPr>
          <w:p>
            <w:pPr>
              <w:jc w:val="center"/>
              <w:ind w:left="430"/>
              <w:spacing w:after="0"/>
              <w:rPr>
                <w:sz w:val="20"/>
                <w:szCs w:val="20"/>
                <w:color w:val="auto"/>
              </w:rPr>
            </w:pPr>
            <w:r>
              <w:rPr>
                <w:rFonts w:ascii="Arial" w:cs="Arial" w:eastAsia="Arial" w:hAnsi="Arial"/>
                <w:sz w:val="18"/>
                <w:szCs w:val="18"/>
                <w:b w:val="1"/>
                <w:bCs w:val="1"/>
                <w:color w:val="auto"/>
                <w:w w:val="91"/>
              </w:rPr>
              <w:t>(Unaudited)</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2"/>
        </w:trPr>
        <w:tc>
          <w:tcPr>
            <w:tcW w:w="7840" w:type="dxa"/>
            <w:vAlign w:val="bottom"/>
            <w:gridSpan w:val="4"/>
          </w:tcPr>
          <w:p>
            <w:pPr>
              <w:spacing w:after="0"/>
              <w:rPr>
                <w:sz w:val="20"/>
                <w:szCs w:val="20"/>
                <w:color w:val="auto"/>
              </w:rPr>
            </w:pPr>
            <w:r>
              <w:rPr>
                <w:rFonts w:ascii="Arial" w:cs="Arial" w:eastAsia="Arial" w:hAnsi="Arial"/>
                <w:sz w:val="18"/>
                <w:szCs w:val="18"/>
                <w:color w:val="auto"/>
              </w:rPr>
              <w:t>Cash flows from operating activities:</w:t>
            </w: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vMerge w:val="restart"/>
          </w:tcPr>
          <w:p>
            <w:pPr>
              <w:spacing w:after="0"/>
              <w:rPr>
                <w:sz w:val="22"/>
                <w:szCs w:val="22"/>
                <w:color w:val="auto"/>
              </w:rPr>
            </w:pPr>
          </w:p>
        </w:tc>
        <w:tc>
          <w:tcPr>
            <w:tcW w:w="26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5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(1,589)</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Fair value of warrants deducted from revenues</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989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Amortization of premium (discount) on marketable securities</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in trade receivables</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(4,141)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Decrease in other receivables and prepaid expenses</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1,282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Decrease (increase) in inventory</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Decrease in operating leases right-of-use assets</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in deferred taxes, net</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Decrease (increase) in other long term assets</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210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(decrease) in trade payables</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2,668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Increase in operating lease liabilities</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335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in employees and payroll accruals</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Increase (decrease) in deferred revenues and advances from customers</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(1,321)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in other payables and accrued expenses</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Decrease in accrued severance pay, net</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(decrease) in other long term liabilities</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Foreign currency translation income (loss) on inter company balances with foreign subsidiaries</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193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6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tcBorders>
              <w:bottom w:val="single" w:sz="8" w:color="CCEEFF"/>
            </w:tcBorders>
            <w:gridSpan w:val="3"/>
          </w:tcPr>
          <w:p>
            <w:pPr>
              <w:spacing w:after="0" w:line="203" w:lineRule="exact"/>
              <w:rPr>
                <w:sz w:val="20"/>
                <w:szCs w:val="20"/>
                <w:color w:val="auto"/>
              </w:rPr>
            </w:pPr>
            <w:r>
              <w:rPr>
                <w:rFonts w:ascii="Arial" w:cs="Arial" w:eastAsia="Arial" w:hAnsi="Arial"/>
                <w:sz w:val="18"/>
                <w:szCs w:val="18"/>
                <w:color w:val="auto"/>
              </w:rPr>
              <w:t>Net cash provided by operating activities</w:t>
            </w:r>
          </w:p>
        </w:tc>
        <w:tc>
          <w:tcPr>
            <w:tcW w:w="9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446</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1,806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820" w:type="dxa"/>
            <w:vAlign w:val="bottom"/>
            <w:gridSpan w:val="3"/>
          </w:tcPr>
          <w:p>
            <w:pPr>
              <w:spacing w:after="0" w:line="176" w:lineRule="exact"/>
              <w:rPr>
                <w:sz w:val="20"/>
                <w:szCs w:val="20"/>
                <w:color w:val="auto"/>
              </w:rPr>
            </w:pPr>
            <w:r>
              <w:rPr>
                <w:rFonts w:ascii="Arial" w:cs="Arial" w:eastAsia="Arial" w:hAnsi="Arial"/>
                <w:sz w:val="18"/>
                <w:szCs w:val="18"/>
                <w:color w:val="auto"/>
              </w:rPr>
              <w:t>Cash flows from investing activities:</w:t>
            </w: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Purchase of property and equipment</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(654)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paid in connection with acquisition</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(4,715)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Increase in bank deposits</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(9,000)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Proceeds from sale of marketable securities</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Proceeds from maturity of marketable securities</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Purchase of marketable securities</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(44,599)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516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9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(57,830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8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Cash flows from financing activities:</w:t>
            </w: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51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Exercise of employee stock options</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Payment of contingent consideration</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(303)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6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tcBorders>
              <w:bottom w:val="single" w:sz="8" w:color="CCEEFF"/>
            </w:tcBorders>
            <w:gridSpan w:val="3"/>
          </w:tcPr>
          <w:p>
            <w:pPr>
              <w:spacing w:after="0" w:line="203" w:lineRule="exact"/>
              <w:rPr>
                <w:sz w:val="20"/>
                <w:szCs w:val="20"/>
                <w:color w:val="auto"/>
              </w:rPr>
            </w:pPr>
            <w:r>
              <w:rPr>
                <w:rFonts w:ascii="Arial" w:cs="Arial" w:eastAsia="Arial" w:hAnsi="Arial"/>
                <w:sz w:val="18"/>
                <w:szCs w:val="18"/>
                <w:color w:val="auto"/>
              </w:rPr>
              <w:t>Net cash provided by (used in) financing activities</w:t>
            </w:r>
          </w:p>
        </w:tc>
        <w:tc>
          <w:tcPr>
            <w:tcW w:w="9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841</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Foreign currency translation adjustments on cash and cash equivalents</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Decrease in cash and cash equivalents</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(56,543)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74,132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18,629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2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Cash and cash equivalents at the end of the period</w:t>
            </w:r>
          </w:p>
        </w:tc>
        <w:tc>
          <w:tcPr>
            <w:tcW w:w="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820" w:type="dxa"/>
            <w:vAlign w:val="bottom"/>
            <w:gridSpan w:val="3"/>
            <w:vMerge w:val="continue"/>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17,559</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14,782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Purchase of property and equipment on credit</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Inventory transferred to be used as property and equipment</w:t>
            </w: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864" w:right="239" w:bottom="831"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203"/>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2019-12-02T20:35:31Z</dcterms:created>
  <dcterms:modified xsi:type="dcterms:W3CDTF">2019-12-02T20:35:31Z</dcterms:modified>
</cp:coreProperties>
</file>