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Gazit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RIMON</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SHOHAM</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Kornit Digital Ltd.</w:t>
              </w:r>
            </w:hyperlink>
            <w:r>
              <w:rPr/>
              <w:t xml:space="preserve"> [ </w:t>
            </w:r>
            <w:r>
              <w:rPr>
                <w:rFonts w:ascii="Times;serif" w:hAnsi="Times;serif"/>
                <w:color w:val="0000FF"/>
                <w:sz w:val="24"/>
                <w:shd w:fill="FFFFFF" w:val="clear"/>
              </w:rPr>
              <w:t>KRNT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1"/>
        <w:gridCol w:w="905"/>
        <w:gridCol w:w="774"/>
        <w:gridCol w:w="601"/>
        <w:gridCol w:w="353"/>
        <w:gridCol w:w="862"/>
        <w:gridCol w:w="467"/>
        <w:gridCol w:w="630"/>
        <w:gridCol w:w="1185"/>
        <w:gridCol w:w="1014"/>
        <w:gridCol w:w="93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w:t>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985</w:t>
            </w:r>
            <w:r>
              <w:rPr>
                <w:rFonts w:ascii="Times;serif" w:hAnsi="Times;serif"/>
                <w:color w:val="008000"/>
                <w:position w:val="7"/>
                <w:sz w:val="16"/>
                <w:sz w:val="20"/>
                <w:shd w:fill="FFFFFF" w:val="clear"/>
              </w:rPr>
              <w:t>(1)</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9,552</w:t>
            </w:r>
            <w:r>
              <w:rPr>
                <w:rFonts w:ascii="Times;serif" w:hAnsi="Times;serif"/>
                <w:color w:val="008000"/>
                <w:position w:val="7"/>
                <w:sz w:val="16"/>
                <w:sz w:val="20"/>
                <w:shd w:fill="FFFFFF" w:val="clear"/>
              </w:rPr>
              <w:t>(3)</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13,345</w:t>
            </w:r>
            <w:r>
              <w:rPr>
                <w:rFonts w:ascii="Times;serif" w:hAnsi="Times;serif"/>
                <w:color w:val="008000"/>
                <w:position w:val="7"/>
                <w:sz w:val="16"/>
                <w:sz w:val="20"/>
                <w:shd w:fill="FFFFFF" w:val="clear"/>
              </w:rPr>
              <w:t>(4)</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(2)</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9,342</w:t>
            </w:r>
            <w:r>
              <w:rPr>
                <w:rFonts w:ascii="Times;serif" w:hAnsi="Times;serif"/>
                <w:color w:val="008000"/>
                <w:position w:val="7"/>
                <w:sz w:val="16"/>
                <w:sz w:val="20"/>
                <w:shd w:fill="FFFFFF" w:val="clear"/>
              </w:rPr>
              <w:t>(5)</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9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681"/>
        <w:gridCol w:w="801"/>
        <w:gridCol w:w="936"/>
        <w:gridCol w:w="831"/>
        <w:gridCol w:w="846"/>
      </w:tblGrid>
      <w:tr>
        <w:trPr>
          <w:tblHeader w:val="true"/>
        </w:trPr>
        <w:tc>
          <w:tcPr>
            <w:tcW w:w="1169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 (right to buy)</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105.06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01/31/2032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ordinary shares reported in this row consist of shares underlying RSUs that were granted to the Reporting Person on September 19, 2022 and that vest and settle for underlying ordinary shares in accordance with the following schedule: 25% of the original 4,385 RSUs vested and settled for underlying ordinary shares upon the one-year anniversary of the grant date, and an additional 6.25% of those original 4,385 RSUs vest and settle on a quarterly basis over the following three years such that all remaining RSUs held following the reported transaction (which reflect a reduced quantity relative to the originally granted amount due to sales of underlying shares to date) will be fully vested and settled by the four-year anniversary of the grant date (September 19,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There were no transactions effected in respect of the securities reported in this row, and the holdings in this row are being included for informational purposes only.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ordinary shares reported in this row consist of shares underlying RSUs that were granted to the Reporting Person on March 9, 2023 and that vest and settle for underlying ordinary shares in accordance with the following schedule: 25% of the original 10,188 RSUs vested and settled for underlying ordinary shares upon the one-year anniversary of the grant date, and an additional 6.25% of the original 10,188 RSUs vest and settle on a quarterly basis over the following three years such that all RSUs reported in this row (which reflects a reduced number relative to the originally granted amount due to sales of underlying shares to date) will be fully vested and settled by the four-year anniversary of that grant date (March 9,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ordinary shares reported in this row consist of shares underlying RSUs that were granted to the Reporting Person on March 19, 2024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ordinary shares reported in this row consist of shares underlying RSUs that were granted to the Reporting Person on March 13, 2025 and that vest and settle for underlying ordinary shares in accordance with the following schedule: 25% of the RSUs vested and settled for underlying ordinary shares upon the one-year anniversary of the grant date, and an additional 6.25% of the RSUs vest and settle on a quarterly basis over the following three years such that all RSUs reported in this row will be fully vested and settled by the four-year anniversary of that grant date (March 13,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Assaf Zipori,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right"/>
        <w:rPr>
          <w:rFonts w:ascii="Times New Roman;Times;Serif" w:hAnsi="Times New Roman;Times;Serif"/>
          <w:b/>
          <w:i w:val="false"/>
          <w:caps w:val="false"/>
          <w:smallCaps w:val="false"/>
          <w:sz w:val="20"/>
        </w:rPr>
      </w:pPr>
      <w:bookmarkStart w:id="2" w:name="ea0302053ex24-1_kornit.htm"/>
      <w:bookmarkStart w:id="3" w:name="ksea0302053ex241_kornit"/>
      <w:bookmarkEnd w:id="2"/>
      <w:bookmarkEnd w:id="3"/>
      <w:r>
        <w:rPr>
          <w:rFonts w:ascii="Times New Roman;Times;Serif" w:hAnsi="Times New Roman;Times;Serif"/>
          <w:b/>
          <w:i w:val="false"/>
          <w:caps w:val="false"/>
          <w:smallCaps w:val="false"/>
          <w:sz w:val="20"/>
        </w:rPr>
        <w:t>Exhibit 24.1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presents, that the undersigned hereby constitutes and appoints Assaf Zipori, Chief Financial Officer of Kornit Digital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with full power of substitution, signing individually, the undersigned’s true and lawful attorney-in fact and agent to:</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Prepare, execute in the undersigned’s name and on the undersigned’s behalf, and submit to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Forms 3, 4 and 5 (including amendments thereto and joint filing agreements in connection therewith) in accordance with Section 16(a) of the Securities Exchange Act of 1934, as amended and the rules and regulations thereunder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in the undersigned’s capacity as an officer, director or beneficial owner of more than 10% of a registered class of securities of the Company;</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Do and perform any and all acts for and on behalf of the undersigned that may be necessary or desirable to execute such Forms 3, 4, or 5, (including any amendments thereto) and timely file such forms with the SEC, and any stock exchange, self-regulatory association or similar authority; and</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Take any other action of any nature whatsoever in connection with the foregoing that,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attorney-in-fact, and his substitutes, in serving in such capacity at the request of the undersigned, is not assuming (nor is the Company assuming) any of the undersigned’s responsibilities to comply with Section 16 of the Exchange Act.</w:t>
      </w:r>
    </w:p>
    <w:p>
      <w:pPr>
        <w:pStyle w:val="TextBody"/>
        <w:bidi w:val="0"/>
        <w:ind w:left="0" w:right="0" w:firstLine="72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is no longer employed by the Company.</w:t>
      </w:r>
    </w:p>
    <w:p>
      <w:pPr>
        <w:pStyle w:val="TextBody"/>
        <w:bidi w:val="0"/>
        <w:jc w:val="left"/>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Power of Attorney to be executed as of this 18th day of March, 2026.</w:t>
      </w:r>
    </w:p>
    <w:p>
      <w:pPr>
        <w:pStyle w:val="TextBody"/>
        <w:bidi w:val="0"/>
        <w:ind w:left="0" w:right="0" w:firstLine="72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5"/>
        <w:gridCol w:w="590"/>
        <w:gridCol w:w="1295"/>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29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Daniel Gazit</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Daniel Gazit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618" TargetMode="External"/><Relationship Id="rId5" Type="http://schemas.openxmlformats.org/officeDocument/2006/relationships/hyperlink" Target="http://www.sec.gov/cgi-bin/browse-edgar?action=getcompany&amp;CIK=0001625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1588</Words>
  <Characters>8298</Characters>
  <CharactersWithSpaces>9798</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