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860" w:hanging="26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4020" w:right="1200" w:hanging="2828"/>
        <w:spacing w:after="0" w:line="501" w:lineRule="auto"/>
        <w:tabs>
          <w:tab w:leader="none" w:pos="1448"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2017</w:t>
      </w:r>
    </w:p>
    <w:p>
      <w:pPr>
        <w:ind w:left="55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5580" w:right="1000" w:hanging="4573"/>
        <w:spacing w:after="0" w:line="486" w:lineRule="auto"/>
        <w:tabs>
          <w:tab w:leader="none" w:pos="12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OR</w:t>
      </w:r>
    </w:p>
    <w:p>
      <w:pPr>
        <w:spacing w:after="0" w:line="26" w:lineRule="exact"/>
        <w:rPr>
          <w:rFonts w:ascii="MS PGothic" w:cs="MS PGothic" w:eastAsia="MS PGothic" w:hAnsi="MS PGothic"/>
          <w:sz w:val="18"/>
          <w:szCs w:val="18"/>
          <w:color w:val="auto"/>
        </w:rPr>
      </w:pPr>
    </w:p>
    <w:p>
      <w:pPr>
        <w:jc w:val="center"/>
        <w:ind w:left="4360" w:right="800" w:hanging="3569"/>
        <w:spacing w:after="0" w:line="537" w:lineRule="auto"/>
        <w:tabs>
          <w:tab w:leader="none" w:pos="104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 Commission file number 001-36903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2800985</wp:posOffset>
            </wp:positionH>
            <wp:positionV relativeFrom="paragraph">
              <wp:posOffset>-24765</wp:posOffset>
            </wp:positionV>
            <wp:extent cx="1663700" cy="1029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700" cy="1029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 Ha’Amal St.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Guy Avidan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 Ha’Amal St.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+972 3 908-5800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+972 3 908-0280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Title of each class</w:t>
            </w:r>
          </w:p>
        </w:tc>
        <w:tc>
          <w:tcPr>
            <w:tcW w:w="2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8"/>
        </w:trPr>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Ordinary shares, par value NIS</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 per share</w:t>
            </w: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or to be registered pursuant to Section 12(g) of the Act: </w:t>
      </w:r>
      <w:r>
        <w:rPr>
          <w:rFonts w:ascii="Times New Roman" w:cs="Times New Roman" w:eastAsia="Times New Roman" w:hAnsi="Times New Roman"/>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for which there is a reporting obligation pursuant to Section 15(d)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2017, the registrant had outstanding:</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34,124,223 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 known seasoned issuer, as defined in Rule 405 of the Securities Act.</w:t>
      </w:r>
    </w:p>
    <w:p>
      <w:pPr>
        <w:spacing w:after="0" w:line="197" w:lineRule="exact"/>
        <w:rPr>
          <w:sz w:val="20"/>
          <w:szCs w:val="20"/>
          <w:color w:val="auto"/>
        </w:rPr>
      </w:pPr>
    </w:p>
    <w:p>
      <w:pPr>
        <w:jc w:val="cente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b w:val="1"/>
          <w:bCs w:val="1"/>
          <w:color w:val="auto"/>
        </w:rPr>
        <w:t>No</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33" w:lineRule="exact"/>
        <w:rPr>
          <w:sz w:val="20"/>
          <w:szCs w:val="20"/>
          <w:color w:val="auto"/>
        </w:rPr>
      </w:pPr>
    </w:p>
    <w:p>
      <w:pPr>
        <w:jc w:val="center"/>
        <w:ind w:right="-19"/>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b w:val="1"/>
          <w:bCs w:val="1"/>
          <w:color w:val="auto"/>
        </w:rPr>
        <w:t>No</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0"/>
          <w:szCs w:val="20"/>
          <w:color w:val="auto"/>
        </w:rPr>
      </w:pPr>
    </w:p>
    <w:p>
      <w:pPr>
        <w:jc w:val="center"/>
        <w:ind w:right="-19"/>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b w:val="1"/>
          <w:bCs w:val="1"/>
          <w:color w:val="auto"/>
        </w:rPr>
        <w:t>No</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7" w:lineRule="exact"/>
        <w:rPr>
          <w:sz w:val="20"/>
          <w:szCs w:val="20"/>
          <w:color w:val="auto"/>
        </w:rPr>
      </w:pPr>
    </w:p>
    <w:p>
      <w:pPr>
        <w:jc w:val="center"/>
        <w:ind w:right="-19"/>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b w:val="1"/>
          <w:bCs w:val="1"/>
          <w:color w:val="auto"/>
        </w:rPr>
        <w:t>No</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420"/>
          </w:cols>
          <w:pgMar w:left="240" w:top="904" w:right="239" w:bottom="1440" w:gutter="0" w:footer="0" w:header="0"/>
        </w:sectPr>
      </w:pPr>
    </w:p>
    <w:p>
      <w:pPr>
        <w:spacing w:after="0" w:line="133" w:lineRule="exact"/>
        <w:rPr>
          <w:sz w:val="20"/>
          <w:szCs w:val="20"/>
          <w:color w:val="auto"/>
        </w:rPr>
      </w:pPr>
    </w:p>
    <w:p>
      <w:pPr>
        <w:ind w:left="6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2780" w:space="720"/>
            <w:col w:w="2140" w:space="720"/>
            <w:col w:w="5060"/>
          </w:cols>
          <w:pgMar w:left="240" w:top="904" w:right="239" w:bottom="1440" w:gutter="0" w:footer="0" w:header="0"/>
          <w:type w:val="continuous"/>
        </w:sectPr>
      </w:pPr>
    </w:p>
    <w:p>
      <w:pPr>
        <w:spacing w:after="0" w:line="17"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p>
      <w:pPr>
        <w:ind w:right="20" w:firstLine="8"/>
        <w:spacing w:after="0" w:line="282" w:lineRule="auto"/>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904" w:right="239" w:bottom="1440" w:gutter="0" w:footer="0" w:header="0"/>
          <w:type w:val="continuous"/>
        </w:sectPr>
      </w:pPr>
    </w:p>
    <w:p>
      <w:pPr>
        <w:spacing w:after="0" w:line="197" w:lineRule="exact"/>
        <w:rPr>
          <w:sz w:val="20"/>
          <w:szCs w:val="20"/>
          <w:color w:val="auto"/>
        </w:rPr>
      </w:pPr>
    </w:p>
    <w:p>
      <w:pPr>
        <w:ind w:left="6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GAAP</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180" w:hanging="339"/>
        <w:spacing w:after="0" w:line="282" w:lineRule="auto"/>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Other</w:t>
      </w:r>
    </w:p>
    <w:p>
      <w:pPr>
        <w:spacing w:after="0" w:line="492" w:lineRule="exact"/>
        <w:rPr>
          <w:sz w:val="20"/>
          <w:szCs w:val="20"/>
          <w:color w:val="auto"/>
        </w:rPr>
      </w:pPr>
    </w:p>
    <w:p>
      <w:pPr>
        <w:sectPr>
          <w:pgSz w:w="11900" w:h="16838" w:orient="portrait"/>
          <w:cols w:equalWidth="0" w:num="4">
            <w:col w:w="820" w:space="140"/>
            <w:col w:w="2160" w:space="720"/>
            <w:col w:w="5480" w:space="720"/>
            <w:col w:w="1380"/>
          </w:cols>
          <w:pgMar w:left="240" w:top="904"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22" w:lineRule="exact"/>
        <w:rPr>
          <w:sz w:val="20"/>
          <w:szCs w:val="20"/>
          <w:color w:val="auto"/>
        </w:rPr>
      </w:pP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97" w:lineRule="exact"/>
        <w:rPr>
          <w:sz w:val="20"/>
          <w:szCs w:val="20"/>
          <w:color w:val="auto"/>
        </w:rPr>
      </w:pPr>
    </w:p>
    <w:p>
      <w:pPr>
        <w:jc w:val="center"/>
        <w:ind w:right="-19"/>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20" w:type="dxa"/>
            <w:vAlign w:val="bottom"/>
            <w:gridSpan w:val="14"/>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CAUTIONARY NOTE REGARDING FORWARD-LOOKING STATEMENTS</w:t>
              </w:r>
            </w:hyperlink>
          </w:p>
        </w:tc>
        <w:tc>
          <w:tcPr>
            <w:tcW w:w="3920" w:type="dxa"/>
            <w:vAlign w:val="bottom"/>
            <w:tcBorders>
              <w:bottom w:val="single" w:sz="8" w:color="CCEEFF"/>
            </w:tcBorders>
            <w:gridSpan w:val="8"/>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4"/>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USE OF TRADE NAMES</w:t>
              </w:r>
            </w:hyperlink>
          </w:p>
        </w:tc>
        <w:tc>
          <w:tcPr>
            <w:tcW w:w="17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CERTAIN ADDITIONAL TERMS AND CONVENTIONS</w:t>
              </w:r>
            </w:hyperlink>
          </w:p>
        </w:tc>
        <w:tc>
          <w:tcPr>
            <w:tcW w:w="1700" w:type="dxa"/>
            <w:vAlign w:val="bottom"/>
            <w:shd w:val="clear" w:color="auto" w:fill="CCEEFF"/>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00" w:type="dxa"/>
            <w:vAlign w:val="bottom"/>
            <w:gridSpan w:val="34"/>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PART I</w:t>
              </w:r>
            </w:hyperlink>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6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ITEM 1. IDENTITY OF DIRECTORS, SENIOR MANAGEMENT AND ADVISERS</w:t>
              </w:r>
            </w:hyperlink>
          </w:p>
        </w:tc>
        <w:tc>
          <w:tcPr>
            <w:tcW w:w="3440" w:type="dxa"/>
            <w:vAlign w:val="bottom"/>
            <w:tcBorders>
              <w:bottom w:val="single" w:sz="8" w:color="CCEEFF"/>
            </w:tcBorders>
            <w:gridSpan w:val="5"/>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4"/>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ITEM 2. OFFER STATISTICS AND EXPECTED TIMETABLE</w:t>
              </w:r>
            </w:hyperlink>
          </w:p>
        </w:tc>
        <w:tc>
          <w:tcPr>
            <w:tcW w:w="17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ITEM 3. KEY INFORMATION</w:t>
              </w:r>
            </w:hyperlink>
          </w:p>
        </w:tc>
        <w:tc>
          <w:tcPr>
            <w:tcW w:w="1700" w:type="dxa"/>
            <w:vAlign w:val="bottom"/>
            <w:shd w:val="clear" w:color="auto" w:fill="CCEEFF"/>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4. INFORMATION ON THE COMPANY</w:t>
              </w:r>
            </w:hyperlink>
          </w:p>
        </w:tc>
        <w:tc>
          <w:tcPr>
            <w:tcW w:w="17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4A. UNRESOLVED STAFF COMMENTS</w:t>
              </w:r>
            </w:hyperlink>
          </w:p>
        </w:tc>
        <w:tc>
          <w:tcPr>
            <w:tcW w:w="1700" w:type="dxa"/>
            <w:vAlign w:val="bottom"/>
            <w:shd w:val="clear" w:color="auto" w:fill="CCEEFF"/>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5. OPERATING AND FINANCIAL REVIEW AND PROSPECTS</w:t>
              </w:r>
            </w:hyperlink>
          </w:p>
        </w:tc>
        <w:tc>
          <w:tcPr>
            <w:tcW w:w="17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8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ITEM 6. DIRECTORS, SENIOR MANAGEMENT AND EMPLOYEES</w:t>
              </w:r>
            </w:hyperlink>
          </w:p>
        </w:tc>
        <w:tc>
          <w:tcPr>
            <w:tcW w:w="4420" w:type="dxa"/>
            <w:vAlign w:val="bottom"/>
            <w:tcBorders>
              <w:bottom w:val="single" w:sz="8" w:color="CCEEFF"/>
            </w:tcBorders>
            <w:gridSpan w:val="12"/>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4"/>
          </w:tcPr>
          <w:p>
            <w:pPr>
              <w:spacing w:after="0" w:line="17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ITEM 7. MAJOR SHAREHOLDERS AND RELATED PARTY TRANSACTIONS</w:t>
              </w:r>
            </w:hyperlink>
          </w:p>
        </w:tc>
        <w:tc>
          <w:tcPr>
            <w:tcW w:w="17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9"/>
              </w:rPr>
              <w:t>83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ITEM 8. FINANCIAL INFORMATION</w:t>
              </w:r>
            </w:hyperlink>
          </w:p>
        </w:tc>
        <w:tc>
          <w:tcPr>
            <w:tcW w:w="1700" w:type="dxa"/>
            <w:vAlign w:val="bottom"/>
            <w:shd w:val="clear" w:color="auto" w:fill="CCEEFF"/>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00" w:type="dxa"/>
            <w:vAlign w:val="bottom"/>
            <w:tcBorders>
              <w:top w:val="single" w:sz="8" w:color="0000EE"/>
            </w:tcBorders>
            <w:gridSpan w:val="10"/>
          </w:tcPr>
          <w:p>
            <w:pPr>
              <w:spacing w:after="0" w:line="176"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ITEM 9. THE OFFER AND LISTING</w:t>
              </w:r>
            </w:hyperlink>
          </w:p>
        </w:tc>
        <w:tc>
          <w:tcPr>
            <w:tcW w:w="6800" w:type="dxa"/>
            <w:vAlign w:val="bottom"/>
            <w:tcBorders>
              <w:top w:val="single" w:sz="8" w:color="CCEEFF"/>
            </w:tcBorders>
            <w:gridSpan w:val="24"/>
          </w:tcPr>
          <w:p>
            <w:pPr>
              <w:spacing w:after="0"/>
              <w:rPr>
                <w:sz w:val="15"/>
                <w:szCs w:val="15"/>
                <w:color w:val="auto"/>
              </w:rPr>
            </w:pPr>
          </w:p>
        </w:tc>
        <w:tc>
          <w:tcPr>
            <w:tcW w:w="1700" w:type="dxa"/>
            <w:vAlign w:val="bottom"/>
            <w:tcBorders>
              <w:top w:val="single" w:sz="8" w:color="CCEEFF"/>
            </w:tcBorders>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9"/>
              </w:rPr>
              <w:t>88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ITEM 10. ADDITIONAL INFORMATION</w:t>
              </w:r>
            </w:hyperlink>
          </w:p>
        </w:tc>
        <w:tc>
          <w:tcPr>
            <w:tcW w:w="1700" w:type="dxa"/>
            <w:vAlign w:val="bottom"/>
            <w:shd w:val="clear" w:color="auto" w:fill="CCEEFF"/>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9"/>
              </w:rPr>
              <w:t>89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ITEM 11. QUANTITATIVE AND QUALITATIVE DISCLOSURES ABOUT MARKET RISK</w:t>
              </w:r>
            </w:hyperlink>
          </w:p>
        </w:tc>
        <w:tc>
          <w:tcPr>
            <w:tcW w:w="17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105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ITEM 12. DESCRIPTION OF SECURITIES OTHER THAN EQUITY SECURITIES</w:t>
              </w:r>
            </w:hyperlink>
          </w:p>
        </w:tc>
        <w:tc>
          <w:tcPr>
            <w:tcW w:w="1700" w:type="dxa"/>
            <w:vAlign w:val="bottom"/>
            <w:shd w:val="clear" w:color="auto" w:fill="CCEEFF"/>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00" w:type="dxa"/>
            <w:vAlign w:val="bottom"/>
            <w:gridSpan w:val="34"/>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110">
              <w:r>
                <w:rPr>
                  <w:rFonts w:ascii="Times New Roman" w:cs="Times New Roman" w:eastAsia="Times New Roman" w:hAnsi="Times New Roman"/>
                  <w:sz w:val="18"/>
                  <w:szCs w:val="18"/>
                  <w:b w:val="1"/>
                  <w:bCs w:val="1"/>
                  <w:color w:val="0000EE"/>
                </w:rPr>
                <w:t>PART II</w:t>
              </w:r>
            </w:hyperlink>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6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8"/>
              </w:rPr>
            </w:pPr>
            <w:hyperlink w:anchor="page110">
              <w:r>
                <w:rPr>
                  <w:rFonts w:ascii="Times New Roman" w:cs="Times New Roman" w:eastAsia="Times New Roman" w:hAnsi="Times New Roman"/>
                  <w:sz w:val="18"/>
                  <w:szCs w:val="18"/>
                  <w:color w:val="0000EE"/>
                  <w:w w:val="98"/>
                </w:rPr>
                <w:t>ITEM 13. DEFAULTS, DIVIDEND ARREARAGES AND DELINQUENCIES</w:t>
              </w:r>
            </w:hyperlink>
          </w:p>
        </w:tc>
        <w:tc>
          <w:tcPr>
            <w:tcW w:w="3940" w:type="dxa"/>
            <w:vAlign w:val="bottom"/>
            <w:tcBorders>
              <w:bottom w:val="single" w:sz="8" w:color="CCEEFF"/>
            </w:tcBorders>
            <w:gridSpan w:val="9"/>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4"/>
          </w:tcPr>
          <w:p>
            <w:pPr>
              <w:spacing w:after="0" w:line="17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ITEM 14. MATERIAL MODIFICATIONS TO THE RIGHTS OF SECURITY HOLDERS AND USE OF PROCEEDS</w:t>
              </w:r>
            </w:hyperlink>
          </w:p>
        </w:tc>
        <w:tc>
          <w:tcPr>
            <w:tcW w:w="17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107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ITEM 15. CONTROLS AND PROCEDURES</w:t>
              </w:r>
            </w:hyperlink>
          </w:p>
        </w:tc>
        <w:tc>
          <w:tcPr>
            <w:tcW w:w="1700" w:type="dxa"/>
            <w:vAlign w:val="bottom"/>
            <w:shd w:val="clear" w:color="auto" w:fill="CCEEFF"/>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tcBorders>
              <w:top w:val="single" w:sz="8" w:color="0000EE"/>
            </w:tcBorders>
            <w:gridSpan w:val="15"/>
          </w:tcPr>
          <w:p>
            <w:pPr>
              <w:spacing w:after="0" w:line="17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ITEM 16. [RESERVED]</w:t>
              </w:r>
            </w:hyperlink>
          </w:p>
        </w:tc>
        <w:tc>
          <w:tcPr>
            <w:tcW w:w="6360" w:type="dxa"/>
            <w:vAlign w:val="bottom"/>
            <w:tcBorders>
              <w:top w:val="single" w:sz="8" w:color="CCEEFF"/>
            </w:tcBorders>
            <w:gridSpan w:val="19"/>
          </w:tcPr>
          <w:p>
            <w:pPr>
              <w:spacing w:after="0"/>
              <w:rPr>
                <w:sz w:val="15"/>
                <w:szCs w:val="15"/>
                <w:color w:val="auto"/>
              </w:rPr>
            </w:pPr>
          </w:p>
        </w:tc>
        <w:tc>
          <w:tcPr>
            <w:tcW w:w="1700" w:type="dxa"/>
            <w:vAlign w:val="bottom"/>
            <w:tcBorders>
              <w:top w:val="single" w:sz="8" w:color="CCEEFF"/>
            </w:tcBorders>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11">
              <w:r>
                <w:rPr>
                  <w:rFonts w:ascii="Times New Roman" w:cs="Times New Roman" w:eastAsia="Times New Roman" w:hAnsi="Times New Roman"/>
                  <w:sz w:val="18"/>
                  <w:szCs w:val="18"/>
                  <w:color w:val="0000EE"/>
                  <w:w w:val="99"/>
                </w:rPr>
                <w:t>ITEM 16A. AUDIT COMMITTEE FINANCIAL EXPERT</w:t>
              </w:r>
            </w:hyperlink>
          </w:p>
        </w:tc>
        <w:tc>
          <w:tcPr>
            <w:tcW w:w="5420" w:type="dxa"/>
            <w:vAlign w:val="bottom"/>
            <w:tcBorders>
              <w:bottom w:val="single" w:sz="8" w:color="CCEEFF"/>
            </w:tcBorders>
            <w:gridSpan w:val="16"/>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4"/>
          </w:tcPr>
          <w:p>
            <w:pPr>
              <w:spacing w:after="0" w:line="17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ITEM 16B. CODE OF ETHICS</w:t>
              </w:r>
            </w:hyperlink>
          </w:p>
        </w:tc>
        <w:tc>
          <w:tcPr>
            <w:tcW w:w="17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ITEM 16C. PRINCIPAL ACCOUNTANT FEES AND SERVICES</w:t>
              </w:r>
            </w:hyperlink>
          </w:p>
        </w:tc>
        <w:tc>
          <w:tcPr>
            <w:tcW w:w="1700" w:type="dxa"/>
            <w:vAlign w:val="bottom"/>
            <w:shd w:val="clear" w:color="auto" w:fill="CCEEFF"/>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ITEM 16D. EXEMPTIONS FROM THE LISTING STANDARDS FOR AUDIT COMMITTEES</w:t>
              </w:r>
            </w:hyperlink>
          </w:p>
        </w:tc>
        <w:tc>
          <w:tcPr>
            <w:tcW w:w="17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ITEM 16E. PURCHASES OF EQUITY SECURITIES BY THE ISSUER AND AFFILIATED PURCHASERS</w:t>
              </w:r>
            </w:hyperlink>
          </w:p>
        </w:tc>
        <w:tc>
          <w:tcPr>
            <w:tcW w:w="1700" w:type="dxa"/>
            <w:vAlign w:val="bottom"/>
            <w:shd w:val="clear" w:color="auto" w:fill="CCEEFF"/>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tcBorders>
              <w:top w:val="single" w:sz="8" w:color="0000EE"/>
            </w:tcBorders>
            <w:gridSpan w:val="32"/>
          </w:tcPr>
          <w:p>
            <w:pPr>
              <w:spacing w:after="0" w:line="176"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ITEM 16F. CHANGE IN REGISTRANT’S CERTIFYING ACCOUNTANT</w:t>
              </w:r>
            </w:hyperlink>
          </w:p>
        </w:tc>
        <w:tc>
          <w:tcPr>
            <w:tcW w:w="1700" w:type="dxa"/>
            <w:vAlign w:val="bottom"/>
            <w:tcBorders>
              <w:top w:val="single" w:sz="8" w:color="CCEEFF"/>
            </w:tcBorders>
            <w:gridSpan w:val="2"/>
          </w:tcPr>
          <w:p>
            <w:pPr>
              <w:spacing w:after="0"/>
              <w:rPr>
                <w:sz w:val="15"/>
                <w:szCs w:val="15"/>
                <w:color w:val="auto"/>
              </w:rPr>
            </w:pPr>
          </w:p>
        </w:tc>
        <w:tc>
          <w:tcPr>
            <w:tcW w:w="1700" w:type="dxa"/>
            <w:vAlign w:val="bottom"/>
            <w:tcBorders>
              <w:top w:val="single" w:sz="8" w:color="CCEEFF"/>
            </w:tcBorders>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shd w:val="clear" w:color="auto" w:fill="CCEEFF"/>
          </w:tcPr>
          <w:p>
            <w:pPr>
              <w:spacing w:after="0" w:line="17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ITEM 16G. CORPORATE GOVERNANCE</w:t>
              </w:r>
            </w:hyperlink>
          </w:p>
        </w:tc>
        <w:tc>
          <w:tcPr>
            <w:tcW w:w="1700" w:type="dxa"/>
            <w:vAlign w:val="bottom"/>
            <w:shd w:val="clear" w:color="auto" w:fill="CCEEFF"/>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ITEM 16H. MINE SAFETY DISCLOSURE</w:t>
              </w:r>
            </w:hyperlink>
          </w:p>
        </w:tc>
        <w:tc>
          <w:tcPr>
            <w:tcW w:w="17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Times New Roman" w:cs="Times New Roman" w:eastAsia="Times New Roman" w:hAnsi="Times New Roman"/>
                <w:sz w:val="18"/>
                <w:szCs w:val="18"/>
                <w:b w:val="1"/>
                <w:bCs w:val="1"/>
                <w:color w:val="0000EE"/>
              </w:rPr>
            </w:pPr>
            <w:hyperlink w:anchor="page114">
              <w:r>
                <w:rPr>
                  <w:rFonts w:ascii="Times New Roman" w:cs="Times New Roman" w:eastAsia="Times New Roman" w:hAnsi="Times New Roman"/>
                  <w:sz w:val="18"/>
                  <w:szCs w:val="18"/>
                  <w:b w:val="1"/>
                  <w:bCs w:val="1"/>
                  <w:color w:val="0000EE"/>
                </w:rPr>
                <w:t>PART III</w:t>
              </w:r>
            </w:hyperlink>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ITEM 17. FINANCIAL STATEMENTS</w:t>
              </w:r>
            </w:hyperlink>
          </w:p>
        </w:tc>
        <w:tc>
          <w:tcPr>
            <w:tcW w:w="17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7"/>
              </w:rPr>
            </w:pPr>
            <w:hyperlink w:anchor="page114">
              <w:r>
                <w:rPr>
                  <w:rFonts w:ascii="Times New Roman" w:cs="Times New Roman" w:eastAsia="Times New Roman" w:hAnsi="Times New Roman"/>
                  <w:sz w:val="18"/>
                  <w:szCs w:val="18"/>
                  <w:color w:val="0000EE"/>
                  <w:w w:val="97"/>
                </w:rPr>
                <w:t>ITEM 18. FINANCIAL STATEMENTS</w:t>
              </w:r>
            </w:hyperlink>
          </w:p>
        </w:tc>
        <w:tc>
          <w:tcPr>
            <w:tcW w:w="6800" w:type="dxa"/>
            <w:vAlign w:val="bottom"/>
            <w:tcBorders>
              <w:bottom w:val="single" w:sz="8" w:color="CCEEFF"/>
            </w:tcBorders>
            <w:gridSpan w:val="24"/>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4"/>
          </w:tcPr>
          <w:p>
            <w:pPr>
              <w:spacing w:after="0" w:line="17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ITEM 19. EXHIBITS</w:t>
              </w:r>
            </w:hyperlink>
          </w:p>
        </w:tc>
        <w:tc>
          <w:tcPr>
            <w:tcW w:w="17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Times New Roman" w:cs="Times New Roman" w:eastAsia="Times New Roman" w:hAnsi="Times New Roman"/>
                <w:sz w:val="18"/>
                <w:szCs w:val="18"/>
                <w:b w:val="1"/>
                <w:bCs w:val="1"/>
                <w:color w:val="0000EE"/>
              </w:rPr>
            </w:pPr>
            <w:hyperlink w:anchor="page115">
              <w:r>
                <w:rPr>
                  <w:rFonts w:ascii="Times New Roman" w:cs="Times New Roman" w:eastAsia="Times New Roman" w:hAnsi="Times New Roman"/>
                  <w:sz w:val="18"/>
                  <w:szCs w:val="18"/>
                  <w:b w:val="1"/>
                  <w:bCs w:val="1"/>
                  <w:color w:val="0000EE"/>
                </w:rPr>
                <w:t>SIGNATURES</w:t>
              </w:r>
            </w:hyperlink>
          </w:p>
        </w:tc>
        <w:tc>
          <w:tcPr>
            <w:tcW w:w="17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color w:val="auto"/>
                <w:w w:val="96"/>
              </w:rPr>
              <w:t>112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4"/>
          </w:tcPr>
          <w:p>
            <w:pPr>
              <w:spacing w:after="0" w:line="176" w:lineRule="exact"/>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INDEX TO FINANCIAL STATEMENTS</w:t>
              </w:r>
            </w:hyperlink>
          </w:p>
        </w:tc>
        <w:tc>
          <w:tcPr>
            <w:tcW w:w="1700" w:type="dxa"/>
            <w:vAlign w:val="bottom"/>
          </w:tcPr>
          <w:p>
            <w:pPr>
              <w:ind w:left="1120"/>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703"/>
        </w:trPr>
        <w:tc>
          <w:tcPr>
            <w:tcW w:w="2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3" w:name="page4"/>
    <w:bookmarkEnd w:id="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information included or incorporated by reference in this annual report on Form 20-F may be deemed to be “forward-looking statements” within the meaning of the Private Securities Litigation Reform Act of 1995, Section 27A of the Securities Act of 1933, as amended, and Section 21E of the Securities Exchange Act of 1934, as amended. Forward-looking statements are often characterized by the use of forward-looking terminology such as “may,” “will,” “expect,” “anticipate,” “estimate,” “continue,” “believe,” “should,” “intend,” “project” or other similar words, but are not the only way these statements are identified.</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forward-looking statements may include, but are not limited to, statements relating to our objectives, plans and strategies, statements that contain projections of results of operations or of financial condition and all statements (other than statements of historical facts) that address activities, events or developments that we expect, project, believe, anticipate, intend or project will or may occur in the future. The statements that we make regarding the following matters are forward-looking by their nature:</w:t>
      </w:r>
    </w:p>
    <w:p>
      <w:pPr>
        <w:spacing w:after="0" w:line="180"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expansion of our servable addressable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gross margins and operating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growth and overall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impacts of variability on our future revenues;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drivers of our future growth, including anticipated sales growth, penetration of new markets, and expansion of our customer base;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expand into continue our expansion into new product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continue to invest in research and development to introduce new systems and improved solutions;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success of our new products and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anticipated cash requirements for the next 12 months;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expand our international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file and procure additional patents relating to our intellectual property rights and the adequate protection of these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pursue strategic acquisitions or invest in complementary companies, products or technologies;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JOBS Act.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described in “ITEM 3.D Risk Factors,” “ITEM 4 Information on the Company,” and “ITEM 5 Operating and Financial Review and Prospects.”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TRADE NAMES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Throughout this annual report, we refer to various trademarks, service marks and trade names that we use in our business. The “Kornit Digital” design logo, the “K” logo and other trademarks or service marks of Kornit Digital Ltd. appearing in this annual report are the property of Kornit Digital Ltd. We have several other registered trademarks, service marks and pending applications relating to our solutions. Although we have omitted the “®” and “™” trademark designations for such marks in this annual report, all rights to such trademarks are nevertheless reserved. Other trademarks and service marks appearing in this annual report are the property of their respective holders. We do not intend our use or display of other companies’ tradenames, trademarks or service marks to imply a relationship with, or endorsement or sponsorship of us by, these other companies.</w:t>
      </w:r>
    </w:p>
    <w:p>
      <w:pPr>
        <w:spacing w:after="0" w:line="18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CERTAIN ADDITIONAL TERMS AND CONVENTIONS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annual report, unless the context otherwise requires:</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“Kornit Digital,” “our company,” “the Company,” “the registrant,” “we,” “us,” and “our” refer to Kornit Digital Ltd.;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“ordinary shares”, “our shares” and similar expressions refer to the Company’s Ordinary Shares, par value NIS 0.01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“dollars”, “U.S. dollars”, “U.S. $” and “$” are to United States Dollars;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“shekels” and “NIS” are to New Israeli Shekels, the Israeli currency;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“GAAP” are to U.S. Generally Accepted Accounting Principles;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our “articles” are to our Articles of Association, as amended;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“Companies Law” are to the Israeli Companies Law, 5759-1999, as amended;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“Securities Act” are to the U.S. Securities Act of 1933, as amended;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“Exchange Act” are to the U.S. Securities Exchange Act of 1934, as amended;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“NASDAQ” are to the NASDAQ Stock Market;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“SEC” are to the United States Securities and Exchange Commission.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 w:name="page6"/>
    <w:bookmarkEnd w:id="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Offer Statistics and Expected Timetable.</w:t>
      </w:r>
    </w:p>
    <w:p>
      <w:pPr>
        <w:spacing w:after="0" w:line="229" w:lineRule="exact"/>
        <w:rPr>
          <w:sz w:val="20"/>
          <w:szCs w:val="20"/>
          <w:color w:val="auto"/>
        </w:rPr>
      </w:pPr>
    </w:p>
    <w:p>
      <w:pPr>
        <w:jc w:val="center"/>
        <w:ind w:right="89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Key Information.</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set forth our selected consolidated financial data. You should read the following selected consolidated financial data in conjunction with, and it is qualified in its entirety by reference to, our historical financial information and other information provided in this annual report, including “ITEM 5 - Operating and Financial Review and Prospects” and our consolidated financial statements and the related notes appearing elsewhere in this annual report.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selected consolidated statements of income data for the years ended December 31, 2015, 2016 and 2017 and selected consolidated balance sheet data as of December 31, 2016 and 2017 are derived from our audited consolidated financial statements appearing in ITEM 18. Financial Statements. The selected consolidated statements of income data for the year ended December 31, 2013 and 2014 and the selected consolidated balance sheet data as of December 31, 2013, 2014 and 2015 has been derived from our audited consolidated financial statements not appearing in this annual report. The historical results set forth below are not necessarily indicative of the results to be expected in future periods. Our financial statements have been prepared in accordance with GAAP.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gridSpan w:val="10"/>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49,395</w:t>
            </w:r>
          </w:p>
        </w:tc>
        <w:tc>
          <w:tcPr>
            <w:tcW w:w="3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66,364</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86,405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108,694</w:t>
            </w:r>
          </w:p>
        </w:tc>
        <w:tc>
          <w:tcPr>
            <w:tcW w:w="3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114,088</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240" w:type="dxa"/>
            <w:vAlign w:val="bottom"/>
          </w:tcPr>
          <w:p>
            <w:pPr>
              <w:spacing w:after="0" w:line="269"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30"/>
                <w:szCs w:val="30"/>
                <w:color w:val="auto"/>
                <w:vertAlign w:val="superscript"/>
              </w:rPr>
              <w:t>(1)</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27,953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37,187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45,820</w:t>
            </w: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59,284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59,977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9"/>
                <w:szCs w:val="29"/>
                <w:color w:val="auto"/>
                <w:vertAlign w:val="superscript"/>
              </w:rPr>
              <w:t>(1)</w:t>
            </w: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9,475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11,950</w:t>
            </w: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17,383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9"/>
                <w:szCs w:val="29"/>
                <w:color w:val="auto"/>
                <w:vertAlign w:val="superscript"/>
              </w:rPr>
              <w:t>(1)</w:t>
            </w: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10,616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13,367</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5,266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9,500</w:t>
            </w: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12,259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expenses</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2,987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3,820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5,768</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(expenses), net</w:t>
            </w:r>
          </w:p>
        </w:tc>
        <w:tc>
          <w:tcPr>
            <w:tcW w:w="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Income (loss) before taxes on income</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2,527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5,434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1,134</w:t>
            </w: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3,023</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Net earnings (loss) per ordinary share</w:t>
            </w:r>
            <w:r>
              <w:rPr>
                <w:rFonts w:ascii="Times New Roman" w:cs="Times New Roman" w:eastAsia="Times New Roman" w:hAnsi="Times New Roman"/>
                <w:sz w:val="25"/>
                <w:szCs w:val="25"/>
                <w:color w:val="auto"/>
                <w:vertAlign w:val="superscript"/>
              </w:rPr>
              <w:t>(2)</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0.34</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(0.06</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vMerge w:val="restart"/>
          </w:tcPr>
          <w:p>
            <w:pPr>
              <w:spacing w:after="0" w:line="201" w:lineRule="exact"/>
              <w:rPr>
                <w:sz w:val="20"/>
                <w:szCs w:val="20"/>
                <w:color w:val="auto"/>
              </w:rPr>
            </w:pPr>
            <w:r>
              <w:rPr>
                <w:rFonts w:ascii="Times New Roman" w:cs="Times New Roman" w:eastAsia="Times New Roman" w:hAnsi="Times New Roman"/>
                <w:sz w:val="18"/>
                <w:szCs w:val="18"/>
                <w:color w:val="auto"/>
              </w:rPr>
              <w:t>Weighted average number of ordinary shares used in</w:t>
            </w: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240" w:type="dxa"/>
            <w:vAlign w:val="bottom"/>
          </w:tcPr>
          <w:p>
            <w:pPr>
              <w:ind w:left="160"/>
              <w:spacing w:after="0" w:line="271" w:lineRule="exact"/>
              <w:rPr>
                <w:sz w:val="20"/>
                <w:szCs w:val="20"/>
                <w:color w:val="auto"/>
              </w:rPr>
            </w:pPr>
            <w:r>
              <w:rPr>
                <w:rFonts w:ascii="Times New Roman" w:cs="Times New Roman" w:eastAsia="Times New Roman" w:hAnsi="Times New Roman"/>
                <w:sz w:val="18"/>
                <w:szCs w:val="18"/>
                <w:color w:val="auto"/>
              </w:rPr>
              <w:t>computing income per ordinary share</w:t>
            </w:r>
            <w:r>
              <w:rPr>
                <w:rFonts w:ascii="Times New Roman" w:cs="Times New Roman" w:eastAsia="Times New Roman" w:hAnsi="Times New Roman"/>
                <w:sz w:val="30"/>
                <w:szCs w:val="30"/>
                <w:color w:val="auto"/>
                <w:vertAlign w:val="superscript"/>
              </w:rPr>
              <w:t>(2)</w:t>
            </w: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8,953,565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8,969,588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24,633,369</w:t>
            </w: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30,562,255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33,574,147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9,880,049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10,446,329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26,458,584</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31,732,532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33,574,147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5,329</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18,464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22,789</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18,629</w:t>
            </w:r>
          </w:p>
        </w:tc>
        <w:tc>
          <w:tcPr>
            <w:tcW w:w="0" w:type="dxa"/>
            <w:vAlign w:val="bottom"/>
          </w:tcPr>
          <w:p>
            <w:pPr>
              <w:spacing w:after="0"/>
              <w:rPr>
                <w:sz w:val="1"/>
                <w:szCs w:val="1"/>
                <w:color w:val="auto"/>
              </w:rPr>
            </w:pPr>
          </w:p>
        </w:tc>
      </w:tr>
      <w:tr>
        <w:trPr>
          <w:trHeight w:val="257"/>
        </w:trPr>
        <w:tc>
          <w:tcPr>
            <w:tcW w:w="45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9"/>
                <w:szCs w:val="29"/>
                <w:color w:val="auto"/>
                <w:vertAlign w:val="superscript"/>
              </w:rPr>
              <w:t>(3)</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12,811</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460" w:type="dxa"/>
            <w:vAlign w:val="bottom"/>
          </w:tcPr>
          <w:p>
            <w:pPr>
              <w:spacing w:after="0"/>
              <w:rPr>
                <w:sz w:val="22"/>
                <w:szCs w:val="22"/>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65,455</w:t>
            </w:r>
          </w:p>
        </w:tc>
        <w:tc>
          <w:tcPr>
            <w:tcW w:w="26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68,651</w:t>
            </w:r>
          </w:p>
        </w:tc>
        <w:tc>
          <w:tcPr>
            <w:tcW w:w="3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63,907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31,627</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34,714</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123,352</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140,046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178,374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1,839</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15,608</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19,351</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100,262</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107,188</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150,699</w:t>
            </w:r>
          </w:p>
        </w:tc>
        <w:tc>
          <w:tcPr>
            <w:tcW w:w="0" w:type="dxa"/>
            <w:vAlign w:val="bottom"/>
          </w:tcPr>
          <w:p>
            <w:pPr>
              <w:spacing w:after="0"/>
              <w:rPr>
                <w:sz w:val="1"/>
                <w:szCs w:val="1"/>
                <w:color w:val="auto"/>
              </w:rPr>
            </w:pPr>
          </w:p>
        </w:tc>
      </w:tr>
      <w:tr>
        <w:trPr>
          <w:trHeight w:val="432"/>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(1) Includes share-based compensation expense as follows: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w:t>
            </w: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8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2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1,259</w:t>
            </w: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7"/>
        </w:trPr>
        <w:tc>
          <w:tcPr>
            <w:tcW w:w="3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8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vMerge w:val="continue"/>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9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4,411</w:t>
            </w:r>
          </w:p>
        </w:tc>
        <w:tc>
          <w:tcPr>
            <w:tcW w:w="0" w:type="dxa"/>
            <w:vAlign w:val="bottom"/>
          </w:tcPr>
          <w:p>
            <w:pPr>
              <w:spacing w:after="0"/>
              <w:rPr>
                <w:sz w:val="1"/>
                <w:szCs w:val="1"/>
                <w:color w:val="auto"/>
              </w:rPr>
            </w:pPr>
          </w:p>
        </w:tc>
      </w:tr>
      <w:tr>
        <w:trPr>
          <w:trHeight w:val="21"/>
        </w:trPr>
        <w:tc>
          <w:tcPr>
            <w:tcW w:w="3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earnings per ordinary share is computed based on the basic and diluted weighted average number of ordinary shares outstanding during each period. For additional information, see notes 2z and 11 to our consolidated financial statements included in ITEM 18. Financial Statements.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total current assets minus total current liabilities. In November 2015, the Financial Accounting Standards Board, or the FASB, issued Accounting Standards Update No. 2015-17, Income Taxes (Topic 740): Balance Sheet Classification of Deferred Taxes (ASU 2015-17), which simplifies the presentation of deferred income taxes by requiring deferred tax assets and liabilities to be classified as noncurrent on the balance sheet. We early adopted this standard in 2015 retrospectively and reclassified all of our current deferred tax assets to noncurrent deferred tax assets which has resulted in a change to previously published working capital amounts for the years ended December 31, 2013 and 2014.</w:t>
      </w:r>
    </w:p>
    <w:p>
      <w:pPr>
        <w:spacing w:after="0" w:line="179" w:lineRule="exact"/>
        <w:rPr>
          <w:rFonts w:ascii="Times New Roman" w:cs="Times New Roman" w:eastAsia="Times New Roman" w:hAnsi="Times New Roman"/>
          <w:sz w:val="18"/>
          <w:szCs w:val="18"/>
          <w:color w:val="auto"/>
        </w:rPr>
      </w:pPr>
    </w:p>
    <w:p>
      <w:pPr>
        <w:ind w:left="660" w:right="8280" w:hanging="328"/>
        <w:spacing w:after="0" w:line="501" w:lineRule="auto"/>
        <w:tabs>
          <w:tab w:leader="none" w:pos="6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ind w:left="660" w:right="7520" w:hanging="328"/>
        <w:spacing w:after="0" w:line="501" w:lineRule="auto"/>
        <w:tabs>
          <w:tab w:leader="none" w:pos="6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ind w:left="660" w:hanging="328"/>
        <w:spacing w:after="0"/>
        <w:tabs>
          <w:tab w:leader="none" w:pos="6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Please carefully consider the risks we describe below in addition to the other information set forth in this annual report and in our other filings with the SEC. These risks could materially and adversely affect our business, financial condition and results of operations. See “Cautionary Note Regarding Forward-Looking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 w:name="page8"/>
    <w:bookmarkEnd w:id="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for digital textile printing does not develop as we anticipate, our sales may not grow as quickly as expected and our share price could decline.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global printed textile industry is currently dominated by analog printing processes, the most common of which are screen printing and carousel printing. If the global printed textile industry does not more broadly accept digital printing as an alternative to analog printing, our revenues may not grow as quickly as expected, or may decline, and our share price could suffer. Widespread adoption of digital textile printing depends on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not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use alternative ink and consumables and/or alternative spare parts in our systems, our gross margin could decline significantly, and our business could be harmed.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model benefits significantly from recurring sales of our ink and other consumables and spare parts for our existing and growing installed base of systems. Third parties could try to sell, and purchasers of our systems can seek to buy, alternative versions of our ink and other consumables or alternative spare parts. We have encountered limited instances of these activities by third parties in specific regions. Third-party ink and other consumables and spare parts might be less expensive or otherwise more appealing to our customers than our ink and other consumables. Significant sales of third-party inks and other consumables and spare parts to our customers could adversely impact our revenues and would have a more significant effect on our gross margins and overall profitability.</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Given the sensitivity of our systems and, in particular, print heads to lower quality ink, which may cause our print heads to clog or otherwise malfunction, our systems are setup to operate at the highest throughput level only when using our original ink and other consumables in order to protect them from damage. In addition, since we are unable to control the impact of third-party inks, their use and the use of third-party spare parts voids the warranty that comes with our systems. We have also sought to protect the proprietary technology underlying our ink through patents and other forms of intellectual property protections and include an RFID mechanism with our ink tanks. These steps that we have taken to ensure the smooth operation of our systems and our ability to fully invoke all our intellectual property rights may be challenged. Any reduction in our ability to market and sell our ink and other consumables and spare parts for use in our systems may adversely impact our future revenues and our overall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increased competition and if we do not compete successfully, our revenues and demand for our solutions could decline.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principal competition for our digital printing systems comes from manufacturers of analog screen printing systems, textile printers and ink. Our principal competitor in the high throughput digital direct-to -garment market is Aeoon Technologies GmbH. We also face competition in this market from Brother International Corporation, Seiko Epson Corporation, Ricoh and a number of smaller competitors with respect to our entry level system. Our competitors in the R2R market include: Dover Corporation through its MS Printing Solutions S.r.l. subsidiary, Durst Phototechnik AG; Electronics for Imaging, Inc. through its Reggiani Macchine SpA subsidiary; Mimaki Engineering Co., Ltd.; and a number of smaller competitors. Some of our current and potential competitors have larger overall installed bases, longer operating histories and greater name recognition than we have. In addition, many of these competitors have greater sales and marketing resources, more advanced manufacturing operations, broader distribution channels and greater customer support resources than we have. Some of our competitors in the R2R market have become increasingly interested in moving from rotary screen printing to digital printing and have broadened their product offering by merging with or acquiring other companies in the R2R market. Current and future competitors may be able to respond more quickly to changes in customer demands and devote greater resources to the development, promotion and sale of their printers and ink and other consumables than we can. Our current and potential competitors in both the direct-to -garment and roll-to-roll markets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 w:name="page9"/>
    <w:bookmarkEnd w:id="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sales is concentrated among one of our independent distributors and a small number of customers, and our business would be adversely affected by a decline in sales to, or the loss of, this distributor or these customers.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primary distributor in the United States, Hirsch International Corporation, accounted for approximately 21% and 18% of our revenues in 2016 and 2017, respectively. We have entered into a non-exclusive distributor agreement with Hirsch with a term that ends in April 2018 subject to automatic renewal for successive one-year periods unless one party notifies the other party that it does not wish to renew the agreement. Hirsch may fail to devote the same level of attention to our solutions as it currently does, elect to distribute competitors’ products or be less successful than distributors of competitors’ products in their territories and, as a result, sales of our solutions may suffer. In addition, our relationship with Hirsch could be terminated with little or no notice if Hirsch becomes subject to bankruptcy or other similar proceedings or otherwise becomes unable or unwilling to continue its business relationship with us, and we may not be able to find a qualified and successful replacement in a timely manner. Additionally, a default by Hirsch at a time that it has a significant receivables balance with us could harm our financial condition. For the year ended December 31, 2016 and 2017, Amazon Corporate LLC, a subsidiary of Amazon.com, Inc., accounted for approximately 16% and 13% of our revenues, respectively. During 2017, we experienced delays in delivery of systems to Amazon due to delays in obtaining certain regulatory permits for an Amazon site, which negatively affected our revenues and profitability. Our ten largest customers accounted for approximately 55% of our revenues for the year ended December 31, 2017. The loss of either this distributor or customer, or another one of our significant customers, or variability in their order flows could materially adversely affect our revenues. Due to the concentration of our revenues with this distributor and customer, any such event could have a material adverse effect on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subject to seasonal variations, which could cause the price of our ordinary shares to decline.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seasonal. Either the third or fourth quarter has historically been our strongest quarter in terms of revenues and the first quarter has been our weakest. This seasonality coincides with spending in anticipation of the holidays towards the end of the year, especially in the United States and Europe. In the last three fiscal years, we have continuously increased our operating expenses throughout the year, and as such, the expense run rate at which we have ended each year is significantly higher than where we started the given year. The carryover of such costs into the first quarter of the following year results in downward pressure on operating margins, which is compounded by seasonally lower revenue in the first quarter compared to other quarters.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during the third and fourth quarter, when customer spending is at its highest levels, we enjoy a more favorable revenue mix, generating greater revenues from the sales of ink and other consumables than in the first quarter. Since sales of ink and other consumables generate higher gross margins than systems sales, gross margin in the third or fourth quarter tends to be higher than gross margin in the first quarter, when our customers typically reduce their system utilization rates significantly, and thereby purchase less ink and other consumables. This impact leads to a reduction in overall operating margins. As we continue to focus our sales efforts on larger accounts, and as we continue to invest in the growth of our business, the impact of this seasonal decline in revenues generated from sales of ink and other consumables has had and may continue to have a more pronounced impact on gross margins and operating margins.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have fluctuated in the past and may fluctuate in the future due to variability in our revenues.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of our systems. Customers that we expect to purchase our systems may delay doing so due to timing of obtaining regulatory permits or a change in their priorities or business plans, including as a result of adverse general economic conditions that may disproportionately impact the ability of the small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Our Allegro and Vulcan systems are offered at a higher average selling price than our other systems and, as a result, have longer sales cycles. The closing of one or more large transactions in a particular quarter may make it more difficult for us to meet market expectations in subsequent quarters, and our failure to close one or more large transactions in a particular quarter could adversely impact our revenues for that quarter. In addition, we may experience slower growth in our gross margins as our new systems gain commercial acceptance. Our gross margins may also fluctuate based on the regions in which sales of these systems occur.</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sufficient to cover our average sales for one quarter. These inventories may not match customers’ demands for any given quarter, which could cause shortages or excesses in our inventory of ink and other consumables and result in fluctuations of our quarterly revenues. To the extent that we have excess inventory of ink and consumables that we are unable to sell due to spoilage or otherwise, we may have to write off such inventory. These inventory requirements may also limit our ability to profit from economies of scale in the production and marketing of our ink and other consumables.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we base our current and future expense levels on our revenue forecasts and operating plans, and our costs are relatively fixed in the short term, due in part to long lead times required for ordering certain components of our systems and ordering assembly of our systems by third-party manufacturers. Accordingly, we would likely not be able to reduce our costs sufficiently to compensate for an unexpected shortfall in revenues during a particular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contractual arrangements with Amazon, a significant customer, contain a number of material undertakings by us and other agreements the impact of which cannot be fully predicted in advance.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2017, we entered into a master purchase agreement with an affiliate of Amazon.com, Inc. governing sales of our systems and ink and other consumables at agreed upon prices that vary based on sales volumes. We also agreed to provide maintenance services and extended warranties to Amazon at agreed prices. The term of the agreement is five years beginning on May 1, 2016 and extends automatically for additional one year periods unless terminated by Amazon. According to the agreement we were required to issue to an affiliate of Amazon warrants to purchase up to 2,932,176 of our ordinary shares which vest based on payments made by Amazon in connection with the purchase of goods and services from us.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contractual agreements with Amazon contain a number of material undertakings and other arrangements: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are presented net of the relative value of the warrants in each particular period related to the revenues recognized. Since the value of the warrants depends, in part, on the price of our shares and their volatility, our net revenues may fluctuate due to the non-cash impact of the value of the warrant on our gross revenues.</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provide a rebate to Amazon based on the number of systems and amount of ink and other consumables Amazon orders in a given 12 month period. The timing and scale of any such rebate may be difficult to predict, particularly in light of the fact that such 12 month periods are not concurrent with our reporting periods, and may cause fluctuations in our quarterly and annual revenues, gross profit and operating profit.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notify Amazon 12 months in advance if we intend to stop supporting one of the products or services that we supply to Amazon and to continue to manufacture the product or provide such service during such 12-month period. Subject to certain exceptions, we are required to continue to supply ink in such quantities as Amazon requires for at least 36 months after the earlier of (1) the end of the term of the master purchase agreement or (2) 18 months following the purchase of the last product sold pursuant to the agreement.</w:t>
      </w:r>
    </w:p>
    <w:p>
      <w:pPr>
        <w:spacing w:after="0" w:line="180"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deliver our products and services to Amazon and to comply with a service level agreement. If we fail to meet the requirements under such service level agreement Amazon will receive credits against its cost for those delayed products or services.</w:t>
      </w:r>
    </w:p>
    <w:p>
      <w:pPr>
        <w:spacing w:after="0" w:line="37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impact of the provisions listed above cannot be fully predicted in advance and could, in certain circumstances, adversely impact our business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relationships with suppliers, especially with single source suppliers of components, were to terminate, our business could be harmed.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and other consumables, such as our print heads and certain chemicals included in our inks, are only available from single or limited sources as described below.</w:t>
      </w:r>
    </w:p>
    <w:p>
      <w:pPr>
        <w:spacing w:after="0" w:line="176" w:lineRule="exact"/>
        <w:rPr>
          <w:sz w:val="20"/>
          <w:szCs w:val="20"/>
          <w:color w:val="auto"/>
        </w:rPr>
      </w:pPr>
    </w:p>
    <w:p>
      <w:pPr>
        <w:jc w:val="both"/>
        <w:ind w:left="980" w:hanging="324"/>
        <w:spacing w:after="0" w:line="255"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 heads for our systems are supplied by a sole supplier, FujiFilm Dimatix, Inc., or FDMX. We entered into an agreement with FDMX in 2015, pursuant to which FDMX is continuing to sell us certain off-the-shelf print heads and additional products, all of which FDMX regularly sells to providers of inkjet systems. The agreement provides that beginning with the start of the first one-year renewal period, FDMX may increase the prices of the products that we purchase from it upon 90-days’ prior notice, subject to certain conditions. The agreement renews automatically for successive one-year periods, but FDMX or we can terminate the agreement upon 90 days’ notice prior to the end of the then current term. Our current agreement terminates in December 2019 and provides for one three-year renewal period and for further one-year renewal periods thereafter. Our agreement further provides that FDMX may, at its option, discontinue products supplied under the agreement, provided that we are given one year notice of the planned discontinuance and are provided with an end of life purchase program.</w:t>
      </w:r>
    </w:p>
    <w:p>
      <w:pPr>
        <w:spacing w:after="0" w:line="18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chemical used in some of our inks is supplied by B.G. (Israel) Technologies Ltd., or BG Bond, a subsidiary of Ashtrom Ltd., a large public Israeli industrial company. We entered into an agreement with BG Bond in December 2016 pursuant to which we agree to purchase and BG Bond agrees to produce this chemical at set prices. In exchange for an upfront payment, which is refundable upon the purchase of the chemical, BG Bond agreed to install additional equipment dedicated to the production of the chemical. The agreement is for a term of five years or until we purchase a certain agreed upon minimum quantity and cannot be terminated by us other than in case of material breach by BG Bond. For some of our inks, this chemical is supplied by The Dow Chemical Company, a multinational producer of chemicals and other compounds. We currently purchase these chemicals from the Dow Chemical Company on a purchase order basis.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loss of any of these suppliers, or of a supplier for which there are limited other sources, could result in the delay of the manufacture and delivery of our systems or inks and other consumables. For instance, FDMX has from time to time indicated that it may discontinue manufacturing the print head that we currently source from it and use in our systems, although it has never provided notice that it is actually doing so. In the event FDMX discontinues manufacturing the print head, we would be required to qualify a new print head for our systems. In order to minimize the risk of any impact from a disruption or discontinuation in the supply of print heads, raw materials or other components from limited source suppliers, we maintain an additional inventory of such components, in addition to the end of life purchase program that would be available to us if the products we purchase from FDMX were discontinued. Nevertheless, such inventory may not be sufficient to enable us to continue supplying our products should we need to locate and qualify a new supplier.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risks stemming from our reliance on suppliers include:</w:t>
      </w:r>
    </w:p>
    <w:p>
      <w:pPr>
        <w:spacing w:after="0" w:line="225"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an increase in demand for our solutions, our suppliers may be unable to provide us with the components that we need in order to meet that increased demand in a timely manner;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may encounter financial hardships unrelated to our demand for components, which could inhibit their ability to fulfill our orders and meet our requirements;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production delays related to the evaluation and testing of products from alternative suppliers;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price fluctuations due to a lack of long-term supply arrangements for key components;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suppliers may lose access to critical services and components, resulting in an interruption in the manufacture, assembly and shipment of our systems or inks and other consumables;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components that our suppliers manufacture for others may affect their ability or willingness to deliver components to us in a timely manner.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of these risks materialize,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find that we are unable to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 of operations at our manufacturing site or those of third-party manufacturers could prevent us from filling customer orders on a timely basis.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manufacture our ink and other consumables at our facility in Kiryat Gat, Israel. We also rely on contract manufacturing services provided by Flex Israel Ltd. and ITS Industrial Techno Logic Solutions Ltd., which are also in Israel, to assemble our systems. We expect that almost all of our revenues in the near term will be derived from the systems and ink and other consumables manufactured at these facilities and at the facilities of a new provider with which we have an initial agreement and are currently negotiating a manufacturing services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loss of any of these contract manufacturers could result in the delay of the assembly and delivery of our systems. If that occurs or these contract manufacturers cease to provide manufacturing services for any reason, the costs associated with developing alternative sources of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 In addition, at any given moment we have only a limited inventory of our systems and ink and other consumables that we can supply to our customers in the event that our manufacturing is disrupted.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Systems we introduced during the past three years or that are in development may not achieve market acceptance or gain adequate market share and may otherwise affect our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2015, we introduced several new systems to the market. We began selling our Allegro system commercially in the R2R market in the second quarter of 2015. During 2016, we commercially launched a new DTG system, the Vulcan, which is a digital alternative for carousel screen printing within the direct-to-garment segment. In January 2018, we launched new systems as part of our Avalanche line which incorporate certain advanced hardware, software and consumables. We cannot ensure that the significant investments that we have made in distribution, sales and customer service teams to launch the new systems will enable us to successfully market, sell and distribute the systems as planned. Market acceptance of the new systems will depend on, among other things, the systems demonstrating a real advantage over existing printers, the success of our sales and marketing teams in creating awareness of the systems, the sales price and the return on investment of the systems relative to alternative printers, customer recognition of the value of our technology, the effectiveness of our marketing campaigns, and the general willingness of potential customers to try new technologies. In the event that we are unable to achieve market acceptance of our new systems, our growth and future prospects may be adversely affected. If we are successful in selling our new systems which provide greater efficiency and lower cost per print, sales of ink and other consumables per system may decrease, which may adversely affect our results of operations, including gross margin and overall profitability,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could decline further in the near-term if we fail to execute on our growth strategies.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operating margin was 1.3% in 2016 and we had an operating loss of 1.8% in 2017. Our growth strategies, many of which are aimed at achieving operating and net profit margins, include increasing sales to existing customers, acquiring new high volume customers, capitalizing on growth in our targeted markets and extending our serviceable addressable market by continuing to enhance our solutions. If we do not execute these strategies successfully, it could adversely impact our revenues and have a negative impact on our operating and net profit margins.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negatively affected if we fail to effectively manage our growth.</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experienced significant growth in a relatively short period of time and intend to continue to grow our business. Our revenues grew from $66.4 million in 2014 to $114.1 million in 2017. Our headcount increased from 251 as of December 31, 2014 to 412 as of December 31, 2017. We plan to hire additional employees across all areas of our company. Our rapid growth has placed significant demands on our management, sales and operational and financial infrastructure, and our growth will continue to place significant demands on these resources. Further, in order to manage our future growth effectively, we must continue to improve our IT and financial infrastructure, operating and administrative systems and controls and efficiently manage headcount, capital and processes. We may not be able to successfully implement these improvements in a timely or efficient manner, and our failure to do so may materially impact our projected growth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our information technology systems or breaches of our data security could adversely affect our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significant invasion, interruption, destruction or breakdown of our information technology, or IT, systems and/or infrastructure by persons with authorized or unauthorized access could negatively impact our business and operations. We could also experience business interruption, information theft and/or reputational damage from cyber attacks, which may compromise our systems and lead to data leakage either internally or at our third party suppliers. Both data that has been inputted into our main IT platform, which covers records of transactions, financial data and other data reflected in our results of operations, as well as data related to our proprietary rights (such as research and development, and other intellectual property- related data), are subject to material cyber security risks. Our IT systems have been, and are expected to continue to be, the target of malware and other cyber attacks. To date, we are not aware that we have experienced any loss of, or disruption to, material information as a result of any such malware or cyber attack.</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invested in advanced protective systems to reduce these risks, some of which have been installed and others that are still in the process of installation. Based on information provided to us by the suppliers of our protective systems, we believe that our level of protection is in keeping with the customary practices of peer technology companies. We also maintain back-up files for much of our information, as a means of assuring that a breach or cyber attack does not necessarily cause the loss of that information. We furthermore review our protections and remedial measures periodically in order to ensure that they are adequate.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Despite these protective systems and remedial measures, techniques used to obtain unauthorized access are constantly changing, are becoming increasingly more sophisticated and often are not recognized until after an exploitation of information has occurred. We may be unable to anticipate these techniques or implement sufficient preventative measures, and we therefore cannot assure you that our preventative measures will be successful in preventing compromise and/or disruption of our information technology systems and related data. We furthermore cannot be certain that our remedial measures will fully mitigate the adverse financial consequences of any cyber attack or incident.</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customers are subject to extensive environmental, health and safety laws and regulations which, if not met, could have a material adverse effect on our business, financial condition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In the future we may incur expenditure of significant amounts in the event of non-compliance and/or remediation. Furthermore, requirements of environmental laws have adversely affected and may continue to adversely affect the ability of our customers to install and use our systems in a timely manner.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In addition, our customers may encounter delays in obtaining or be unable to obtain regulatory permits to operate our systems in their facilities, which may result in cancellation or delay of orders of our systems.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export of our products internationally subjects us to environmental laws and regulations concerning the import and export of chemicals and hazardous substances such as the United States Toxic Substances Control Act, or TSCA, and the Registration, Evaluation, Authorization and Restriction of Chemical Substances, or REACH. These laws and regulations require the testing and registration of some chemicals that we ship along with, or that form a part of, our systems and other products. If we fail to comply with these or similar laws and regulations, we may be required to make significant expenditures to reformulate the chemicals that we use in our products and materials or incur costs to register such chemicals to gain and/or regain compliance. Additionally, we could be subject to significant fines or other civil and criminal penalties should we not achieve such compliance.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Israeli shekel, the Euro and other non-U.S. currencies may negatively affect our earnings.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To protect against an increase the dollar-denominated value of expenses paid in NIS during the year, we have instituted a foreign currency cash flow hedging program, which seeks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will be successful in protecting us in full from adverse impacts from currency exchange rate fluctuations since we only plan to hedge a portion of our foreign currency exposure, and we cannot predict any future trends in the rate of inflation in Israel or the rate of devaluation (if any) of the NIS against the dollar For example, based on annual average exchange rates, the dollar appreciated 8.6% against the NIS in 2015, depreciated by 1.1% and 6.3% against the NIS in 2016 and 2017, respectively. During these periods, there was deflation in Israel of 1.0% and 0.2% in 2015 and 2016, respectively, and inflation of 0.4% in 2017. If the dollar cost of our operations increases, our dollar-measured results of operations will be adversely affected. See “ITEM 11. Quantitative and Qualitative Disclosures about Market Risk—Foreign Currency Risk.”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we are unable to attract and retain key employees.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growth and success also depend on our ability to attract and retain additional highly qualified scientific, technical, sales, managerial, operational, HR, marketing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competitively develop and commercialize our solutions or new applications for our existing systems. Further, any failure to effectively integrate new personnel could prevent us from successfully growing our company.</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 worldwide sales, marketing and support infrastructure that is comprised of independent distributors and value added resellers, and our own personnel resulting in a sales, marketing and support presence in over 100 countries, including markets in North America, Western and Eastern Europe, the Asia Pacific region and Latin America. We expect to continue to increase our sales headcount, our applications development headcount, our field support headcount, our marketing headcount and our engineering headcount and, in some cases, establish new relationships with distributors, particularly in markets where we currently do not have a sales or customer support presence. As we continue to expand our international sales and operations, we are subject to a number of risks, including the following:</w:t>
      </w:r>
    </w:p>
    <w:p>
      <w:pPr>
        <w:spacing w:after="0" w:line="188"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accounts receivable collection, as well as longer collection periods;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incurred in establishing and maintaining office space and equipment for our international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between the U.S. dollar and foreign currencies in markets where we do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recruiting local experienced personnel, and the costs and expenses associated with such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these foreign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around the world;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and geographic dispersion;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unexpected changes in regulatory practices, tariffs, and tax laws and treaties;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a failure of employees to comply with both U.S. and foreign laws, including antitrust regulations, the U.S. Foreign Corrupt Practices Act (FCPA), and any trade regulations ensuring fair trade practices;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of these risks could adversely affect our international operations, reduce our revenues from outside the United States or increase our operating costs, adversely affecting our business, results of operations and financial condition and growth prospects. There can be no assurance that all of our employees and channel partners will comply with the formal policies we have and will implement, or applicable laws and regulations. Violations of laws or key control policies by our employees and channel partners could result in delays in revenue recognition, financial reporting misstatements, fines, penalties or the prohibition of the importation or exportation of our software and services and could have a material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patent protection for our solutions or otherwise protect our intellectual property rights, our business could suffer.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2017, we owned fourteen (14) issued patents in the United States and twenty-two (22) provisional or pending U.S. patent applications, along with twenty-seven (27) pending non-U.S. patent applications. We also had eleven (11) patents issued in non-U.S. jurisdictions, and ten</w:t>
      </w:r>
    </w:p>
    <w:p>
      <w:pPr>
        <w:jc w:val="both"/>
        <w:ind w:firstLine="8"/>
        <w:spacing w:after="0" w:line="251" w:lineRule="auto"/>
        <w:tabs>
          <w:tab w:leader="none" w:pos="3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Cooperation Treaty patent applications, which are counterparts of our U.S. patent applications. The non-U.S. jurisdictions in which we have issued patents or pending applications are China, the European Union or European countries of the European Union, Hong Kong, Israel, Canada, Australia, Republic of Korea, South Africa, Vietnam, Philippines, Thailand, Brazil, El Salvador, Dominican Republic and India. We may file additional patent applications in the future. The process of obtaining patent protection is expensive, time-consuming, and uncertain, and we may not be able to prosecute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insufficient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 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you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2017 report on intellectual property rights protection and enforcement published by the Office of the United States Trade Representative, such countries included Argentina, Chile, China, India, Indonesia, Russia, Thailand and Ukraine (designated as priority watch list countries).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trademarks from infringement, our business prospects may be harmed.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own trademarks that identify “Kornit” “NeoPigment” and the “K” logo among others, and have registered these trademarks in certain key markets. Although we take steps to monitor the possible infringement or misuse of our trademarks, third parties may violate our trademark rights. In addition, we may not have trademark rights in all of the markets in which we may sell our products. Any unauthorized use of our trademarks could harm our reputation or commercial interests. In addition, efforts to enforce our trademarks may be expensive and time-consuming, and may not effectively prevent infringement.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of intellectual property infringement by third parties or may be required to indemnify our distributors or other third parties against such claims, which, regardless of their merit, could result in litigation, distract our management and materially adversely affect our business, results of operations or financial condition.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third-party claims that assert that our solutions, services and intellectual property infringe, misappropriate or otherwise violate third-party intellectual property or other proprietary rights.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Intellectual property disputes can be costly and disruptive to our business operations by diverting the attention and energies of management and key technical personnel, and by increasing our costs of doing business. Even if a claim is not directly against us, our agreements with distributors generally require us to indemnify them against losses from claims that our products infringe third-party intellectual property rights and entitle us to assume the defense of any claim as part of the indemnification undertaking. Our assumption of the defense of such a claim may result in similar costs, disruption and diversion of management attention to that of a claim that is asserted directly against us. We may not prevail in any such dispute or litigation, and an adverse decision in any legal action involving intellectual property rights could harm our intellectual property rights and the value of any related technology or limit our ability to execute our business.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Adverse outcomes in intellectual property disputes could:</w:t>
      </w:r>
    </w:p>
    <w:p>
      <w:pPr>
        <w:spacing w:after="0" w:line="22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redesign our technology or force us to enter into costly settlement or license agreements on terms that are unfavorable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manufacturing, importing, using, or selling some or all of our solutions;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 our operations or the markets in which we compete;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damage awards;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indemnify our distributors and customers;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royalties.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proprietary rights. The Patent Law also provides under Section 134 that if there is no agreement between an employer and an employee as to whether the employee is entitled to consideration for service inventions, and to what extent and under which conditions, the Israeli Compensation and Royalties Committee, or the Committee, a body constituted under the Patent Law, shall determine these issues. Section 135 of the Patent law provides criteria for assisting the Committee in making its decisions. According to case law handed down by the Committee, an employee’s right to receive consideration for service inventions is a personal right and is entirely separate from the proprietary rights in such invention. Therefore, this right must be explicitly waived by the employee. A decision handed down in May 2014 by the Committee clarifies that the right to receive consideration under Section 134 can be waived and that such waiver can be made orally, in writing or by behavior like any other contract. The Committee will examine, on a case by case basis, the general contractual framework between the parties, using interpretation rules of the general Israeli contract laws. Further, the Committee has not yet determined one specific formula for calculating this remuneration, nor the criteria or circumstances under which an employee’s waiver of his right to remuneration will be disregarded. Similarly, it remains unclear whether waivers by employees in their employment agreements of the alleged right to receive consideration for service inventions should be declared as void being a depriving provision in a standard contract.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service inventions beyond their regular salary and benefits, we may face claims demanding remuneration in consideration for assigned inventions.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Undetected defects in the design or manufacturing of our products may harm our business and results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systems, ink and other consumables, and associated software may contain undetected errors or defects when first introduced or as new versions are released. We have experienced these errors or defects in the past during the introduction of new systems and system upgrades. We expect that these errors or defects will be found from time to time in new or enhanced systems after commencement of commercial distribution or upon software upgrades. These problems may cause us to incur significant warranty and repair costs, divert the attention of our engineers from our product development and customer service efforts and harm our reputation. We may experience a delay in revenue recognition or collection of due payments from relevant customers as a result of our systems’ inability to meet agreed performance metrics. In addition, the use of third-party inks may harm the operation of our systems and reduce customer satisfaction with them, which could harm our reputation and adversely affect sales of our systems. We may also be subject to liability claims for damages related to system errors or defects. Although we carry insurance policies covering this type of liability, these policies may not provide sufficient protection should a claim be asserted against us. Any product liability claim brought against us could force us to incur significant expenses, divert management time and attention, and harm our reputation and business. In addition, costs or payments made in connection with warranty and product liability claims and system recalls could materially affect our financial condition and results of operations.</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reduce or cease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Based on our current business plan, we believe our cash flows from operating activities and our existing cash resources will be sufficient to meet our currently anticipated cash requirements through the next 12 months without drawing on our lines of credit or using significant amounts of the net proceeds from our initial public offering and follow-on offering. Nevertheless, to the extent our anticipated cash requirements change, we may seek additional funding in the future. This funding may consist of equity offerings, debt financings or any other means to expand our sales and marketing capabilities, develop our future solutions or pursue other general corporate purposes. Securing additional financing may divert our management from our day-to-day activities, which may adversely affect our ability to market our current solutions and develop and sell future solutions. Additional funding may not be available to us on acceptable terms, or at all.</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extent that we raise additional capital through, for example, the sale of equity or convertible debt securities, your ownership interest will be diluted, and the terms may include liquidation or other preferences that adversely affect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ordinary shares to decline.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acquired businesses and may acquire other businesses and/or companies, which could require significant management attention, disrupt our business, dilute shareholder value, and adversely affect our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and in order to remain competitive, we have acquired businesses and may acquire or make investments in other complementary companies, products or technologies. However, we have only made small acquisitions and our experience in acquiring and integrating other companies, products or technologies is limited. We may not be able to find suitable acquisition candidates, and we may not be able to complete such acquisitions on favorable terms, if at all. If we complete other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9" w:name="page20"/>
    <w:bookmarkEnd w:id="1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ordinary shares were first offered publicly in our initial public offering in April 2015 at a price of $10.00 per share, and our ordinary shares have subsequently traded as high as $22.40 and as low as $8.10 through March 15, 2018. The market price of our ordinary shares could be highly volatile and may fluctuate substantially as a result of many factors, including:</w:t>
      </w:r>
    </w:p>
    <w:p>
      <w:pPr>
        <w:spacing w:after="0" w:line="176"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and/or our competitors’ results of operations and financial condition;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the expectations of market analysts;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changes in service provider relationships, acquisitions, strategic relationships or expansion plans;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prices of our solutions;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of ordinary shares or other securities in the future;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estimation of the future size and growth rate of our markets;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 Furthermore, share price volatility may impact the fair value of the warrants granted to Amazon and as a result may impact revenues and profits.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Fortissimo Capital has a significant influence over matters requiring shareholder approval, which could delay or prevent a change of control.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February 28, 2018, Fortissimo Capital beneficially owns approximately 13.3% of our ordinary shares and three of its principals are members of our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this shareholder could exert significant influence over our operations and business strategy with respect to matters such as:</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rejecting a merger, consolidation or other business combination;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future capital;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our articles, which govern the rights attached to our ordinary shares.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cash dividends on our share capital, and we do not anticipate paying any cash dividends in the foreseeable future.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whose shares are listed on the NASDAQ Global Select Market, we may follow certain home country corporate governance practices instead of otherwise applicable SEC and NASDAQ requirements, which may result in less protection than is accorded to investors under rules applicable to domestic U.S. issuers.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foreign private issuer whose shares are listed on the NASDAQ Global Select Market, we are permitted to follow certain home country corporate governance practices instead of those otherwise required under the corporate governance standards for U.S. domestic issuers. We currently follow Israeli home country practices with regard to the (i) quorum requirement for shareholder meetings, (ii) independent director oversight requirement for director nominations and (iii) independence requirement for the board of directors. See “ITEM 16G. Corporate Governance.” Furthermore, we may in the future elect to follow Israeli home country practices with regard to other matters such as separate executive sessions of independent directors or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“ITEM 16G. Corporate Governance.”</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not subject to the provisions of Regulation FD or U.S. proxy rules and are exempt from filing certain Exchange Act reports.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foreign private issuer, we are exempt from a number of requirements under U.S. securities laws that apply to public companies that are not foreign private issuers. In particular,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and current reports and financial statements with the SEC as frequently or as promptly as U.S. domestic companies whose securities are registered under the Exchange Act and we are generally exempt from filing quarterly reports with the SEC under the Exchange Act. We are also exempt from the provisions of Regulation FD, which prohibits issuers from making selective disclosure of material nonpublic information to, among others, broker-dealers and holders of a company’s securities under circumstances in which it is reasonably foreseeable that the holder will trade in the company’s securities on the basis of the information. These exemptions and leniencies will reduce the frequency and scope of information and protections to which you are entitled as an investor.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on an aggregate, basis. Nevertheless, the Companies Law requires us to disclose in the notice of convening an annual general meeting the annual compensation of our five most highly compensated office holders on an individual basis, rather than on an aggregate basis, as was previously permitted for Israeli public companies listed overseas. This disclosure is not as extensive as that required of a U.S. domestic issuer.</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ordinary shares less attractive to investors.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effective on April 5, 2012, or the JOBS Act, and we may take advantage of certain exemptions from various requirements that are applicable to other public companies that are not emerging growth companies. Most of such requirements relate to disclosures that we would only be required to make if we cease to be a foreign private issuer in the future. Nevertheless, as a foreign private issuer that is an emerging growth company, we are not required to comply with the auditor attestation requirements of Section 404 of the Sarbanes-Oxley Act for up to five fiscal years after April 2, 2015, the date of our initial public offering. We will remain an emerging growth company until the earliest of: (a) the last day of our fiscal year during which we have total annual gross revenues of at least $1.0 billion; (b) the last day of our fiscal year following the fifth anniversary of the completion of our initial public offering; (c) the date on which we have, during the previous three-year period, issued more than $1.0 billion in non-convertible debt; or (d) the date on which we are deemed to be a “large accelerated filer” under the Exchange Act.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could be negatively affected by future sales of our ordinary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 Shares held by our pre-IPO shareholders are now eligible for sale under Rule 144 of the Securities Act, which could cause additional downward pressure on the market price of our ordinary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Fortissimo Capital is entitled to require that we conduct underwritten offerings under the U.S. Securities Act of 1933 with respect to the resale of its shares into the public markets. In addition, Amazon is also entitled to certain registration rights starting on January 10, 2018. All shares sold pursuant to an offering covered by a registration statement will be freely transferable except if purchased by an affiliate. See “ITEM 7.B — Related Party Transactions — Investors’ Rights Agreement.” and “ITEM 10.C – Material Contracts – Agreements with Amazon.”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2017, options to purchase 887,913 ordinary shares granted to employees and office holders were vested and exercisable and no RSUs were vested</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color w:val="auto"/>
        </w:rPr>
        <w:t xml:space="preserve"> We have filed registration statements on Form S-8 under the Securities Act registering ordinary shares that we may issue under our share incentive plans, of which as of December 31, 2017 there were options to purchase 2,360,647 shares and 88,759 RSUs outstanding. Shares included in such registration statements may be freely sold in the public market upon issuance, except for shares held by affiliates who have certain restrictions on their ability to sell.</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Section 404 of the Sarbanes-Oxley Act and as an emerging growth company, we are currently not required to obtain an auditor attestation regarding our internal control over financial reporting.</w:t>
      </w:r>
    </w:p>
    <w:p>
      <w:pPr>
        <w:spacing w:after="0" w:line="15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We are required to comply with the evaluation and certification requirements of Section 404 of the Sarbanes-Oxley Act with respect to internal control over financial reporting as of this annual report. Once we no longer qualify as an “emerging growth company” under the JOBS Act and lose the ability to rely on the exemptions related thereto discussed above, our independent registered public accounting firm will need to attest to the effectiveness of our internal control over financial reporting under Section 404. To maintain the effectiveness of our disclosure controls and procedures and our internal control over financial reporting, we may need to continue enhancing existing, and implement new, financial reporting and management systems, procedures and controls to manage our business effectively and support our growth in the future. Irrespective of compliance with Section 404, any failure of our internal controls could have a material adverse effect on our stated results of operations and harm our reputation. If any such failure were to occur, we may be required to take remedial actions and make required changes to our internal control over financial reporting and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Based on historic and certain estimates of our gross income, gross assets and market capitalization (which may fluctuate from time to time) and the nature of our business, we believe we were not a PFIC for the taxable year ending 2017 and we do not expect that we will be classified as a PFIC for the taxable year ending December 31, 2018. Because PFIC status is based on our income, assets and activities for the entire taxable year, it is not possible to determine whether we will be characterized as a PFIC for our 2018 taxable year until after the close of the year.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“ITEM 10.E Taxation and Government Programs—U.S. Federal Income Taxation”), and having interest charges apply to distributions by us and the proceeds of sales of our ordinary shares. Certain elections exist that may alleviate some of the adverse consequences of PFIC status and would result in an alternative treatment (such as mark-to-market treatment) of our ordinary shares. For a more detailed discussion, see “ITEM 10.E Taxation and Government Programs—U.S. Federal Income Taxation—Passive Foreign Investment Company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effects of the Tax Act and the refinement of provisional estimates could make our results difficult to predict.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effective tax rate may fluctuate in the future as a result of the recent United States tax law changes pursuant to H.R. 1, originally known as the 2017 Tax Cuts and Jobs Act, or the Tax Act, which was enacted on December 22, 2017. The Tax Act introduces significant changes to U.S. income tax law that will have a meaningful impact on our provision for income taxes. Accounting for the income tax effects of the Tax Act requires significant judgments and estimates in the interpretation and calculations of the provisions of the Tax Act.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Due to the timing of the enactment and the complexity involved in applying the provisions of the Tax Act, we made reasonable estimates of the effects and recorded provisional amounts in our financial statements for the year ended December 31, 2017. The U.S. Treasury Department, the Internal Revenue Service (IRS), and other standard-setting bodies may issue guidance on how the provisions of the Tax Act will be applied or otherwise administered that is different from our interpretation. As we collect and prepare necessary data, and interpret the Tax Act and any additional guidance issued by the IRS or other standard-setting bodies, we may make adjustments to the provisional amounts that could materially affect our financial position and results of operations as well as our effective tax rate in the period.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holders of our common shares may suffer adverse tax consequences if we or any of our non-U.S. subsidiaries are characterized as a “controlled foreign corporation”, or a CFC, under Section 957(a) of the Internal Revenue Code of 1986, as amended, or the Code.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non-U.S. corporation is considered a CFC if more than 50 percent of (1) the total combined voting power of all classes of stock of such corporation entitled to vote, or (2) the total value of the stock of such corporation, is owned, or is considered as owned by applying certain constructive ownership rules, by United States shareholders who own stock representing 10% or more of the vote or, for the taxable year of a non-U.S. corporation beginning after December 31, 2017 and for taxable years of shareholders with or within which such taxable years of such non-U.S. corporation ends, 10% or more of the value on any day during the taxable year of such non-U.S. corporation (“10% U.S. Shareholder”). Generally, 10% U.S. Shareholders of a CFC are required to include currently in gross income such 10% U.S. Shareholder’s share of the CFC’s “Subpart F income”, a portion of the CFC’s earnings to the extent the CFC holds certain U.S. property, and certain other new items under the Tax Act. Such 10%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Certain changes to the CFC constructive ownership rules introduced by the Tax Act may cause one or more of our non-U.S. subsidiaries to be treated as CFCs, may also impact our CFC status and, thus, may affect holders of our common shares that are United States shareholders. For 10% U.S. Shareholders, this may result in negative U.S. federal income tax consequences, such as current U.S. taxation of Subpart F income and of any such shareholder’s share of our accumulated non-U.S. earnings and profits (regardless of whether we make any distributions), taxation of amounts treated as global intangible low-taxed income under Section 951A of the Code with respect to such shareholder, and being subject to certain reporting requirements with the U.S. Internal Revenue Service. Any 10% U.S. Shareholder should consult its own tax advisors regarding the U.S. tax consequences of acquiring, owning, or disposing our common shares and the impact of the Tax Act, especially the changes to the rules relating to CFCs.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headquarters, research and development and manufacturing facility, and the primary manufacturing facilities of our third-party manufacturers, are located in Israel. In addition, the majority of our key employees,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addition, Israel faces threats from more distant neighbors, in particular, Iran.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While we have commenced implementation of a business continuity plan which provides for alternative sites outside of Israel, there can be no assurance that such plan will be successful. Any armed conflict involving Israel could adversely affect our operations and results of operations.</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our operations could be disrupted by the obligations of personnel to perform military service. As of December 31, 2017, we had 267 employees based in Israel, certain of whom may be called upon to perform up to 54 days in each three year period (and in the case of non-officer commanders or officers, up to 70 or 84 days, respectively, in each three year period) of military reserve duty until they reach the age of 40 (and in some cases, depending on their specific military profession up to 45 or even 49 years of age) and, in certain emergency circumstances, may be called to immediate and unlimited active duty. Our operations could be disrupted by the absence of a significant number of employees related to military service, which could materially adversely affect our business and results of operations.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If delivery and installation of our products is delayed or prevented by any such events, our revenues could be materially and adversely impacted.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4" w:name="page25"/>
    <w:bookmarkEnd w:id="2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government tax benefits that we currently receive require us to meet several conditions and may be terminated or reduced in the future, which would increase our costs.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our wholly-owned Israeli subsidiary, Kornit Digital Technologies Ltd., or Kornit Technologies, are entitled to various tax benefits under the Israeli Law for the Encouragement of Capital Investments, 1959, or the Investment Law. As a result of this status, we expect to have a reduced tax rate for our taxable income generated in Israel in 2018. However, if we do not meet the requirements for maintaining these benefits, the tax benefits may be reduced or cancelled and the relevant operations would be subject to Israeli corporate tax at the standard rate, which was 26.5% in 2015, 25% in 2016, 24% for 2017 and is currently set for 23% for 2018 and thereafter. In addition to being subject to the standard corporate tax rate, we could be required to refund any tax benefits that we have already received, as adjusted by the Israeli consumer price index, plus interest and penalties thereon. Even if we continue to meet the relevant requirements, the tax benefits that our current beneficiary enterprises receive may not be continued in the future at their current levels or at all. If these tax benefits would be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via acquisitions, our increased activities may not be eligible for inclusion in Israeli tax benefit programs. See “ITEM 5. Operating and Financial Review and Prospects - Taxation and Israeli Government Programs Applicable to our Company — Law for the Encouragement of Capital Investments, 5719-1959.”</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received Israeli government grants for certain research and development activities. The terms of those grants restrict our ability to transfer manufacturing operations or technology outside of Israel.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research and development efforts were financed in part through grants from the Israeli National Authority for Technological Innovation, or the Innovation Authority (previously known as the Israeli Office of the Chief Scientist), which we repaid in full in 2015. Even though we have fully repaid our Innovation Authority grants, we must nevertheless continue to comply with the requirements of the Encouragement of Research, Development and Technological Innovation in the Industry Law, 5744-1984 (formerly known as the Law for the Encouragement of Research and Development in Industry 5744-1984), and related regulations, or collectively, the Innovation Law.</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a company develops know-how, technology or products and related services using grants provided by the Innovation Authority, the terms of these grants and the Innovation Law, among others, restrict the transfer outside of Israel of such Innovation Authority-supported know-how (including by a way of license for research and development purposes), the transfer inside Israel of such know-how and the transfer of manufacturing or manufacturing rights of such products, and technologies outside of Israel, without the prior approval of the Innovation Authority. We may not receive those approvals.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Although we have repaid our grants in full, we remain subject to the restrictions set forth under the Innovation Law, including:</w:t>
      </w:r>
    </w:p>
    <w:p>
      <w:pPr>
        <w:spacing w:after="0" w:line="223" w:lineRule="exact"/>
        <w:rPr>
          <w:sz w:val="20"/>
          <w:szCs w:val="20"/>
          <w:color w:val="auto"/>
        </w:rPr>
      </w:pPr>
    </w:p>
    <w:p>
      <w:pPr>
        <w:jc w:val="both"/>
        <w:ind w:left="980" w:hanging="324"/>
        <w:spacing w:after="0" w:line="261" w:lineRule="auto"/>
        <w:tabs>
          <w:tab w:leader="none" w:pos="98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Transfer of know-how outside of Israel</w:t>
      </w:r>
      <w:r>
        <w:rPr>
          <w:rFonts w:ascii="Times New Roman" w:cs="Times New Roman" w:eastAsia="Times New Roman" w:hAnsi="Times New Roman"/>
          <w:sz w:val="18"/>
          <w:szCs w:val="18"/>
          <w:color w:val="auto"/>
        </w:rPr>
        <w:t>. Transfer of the know-how that was developed with the funding of the Innovation Authority outside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Israel requires prior approval of the Innovation Authority, and, if approved will require, the payment of a redemption fee, which cannot exceed 600% of the grant amount plus interest. Upon payment of such fee, the know-how and the production rights for the products supported by such funding cease to be subject to the Innovation Law.</w:t>
      </w:r>
    </w:p>
    <w:p>
      <w:pPr>
        <w:spacing w:after="0" w:line="180" w:lineRule="exact"/>
        <w:rPr>
          <w:rFonts w:ascii="Times New Roman" w:cs="Times New Roman" w:eastAsia="Times New Roman" w:hAnsi="Times New Roman"/>
          <w:sz w:val="18"/>
          <w:szCs w:val="18"/>
          <w:i w:val="1"/>
          <w:iCs w:val="1"/>
          <w:color w:val="auto"/>
        </w:rPr>
      </w:pPr>
    </w:p>
    <w:p>
      <w:pPr>
        <w:jc w:val="both"/>
        <w:ind w:left="980" w:hanging="324"/>
        <w:spacing w:after="0" w:line="259" w:lineRule="auto"/>
        <w:tabs>
          <w:tab w:leader="none" w:pos="98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Local manufacturing obligation. </w:t>
      </w:r>
      <w:r>
        <w:rPr>
          <w:rFonts w:ascii="Times New Roman" w:cs="Times New Roman" w:eastAsia="Times New Roman" w:hAnsi="Times New Roman"/>
          <w:sz w:val="18"/>
          <w:szCs w:val="18"/>
          <w:color w:val="auto"/>
        </w:rPr>
        <w:t>The terms of the grants under the Innovation Law require that the manufacturing of products resulting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Innovation Authority funded programs are carried out in Israel, unless a prior written approval of the Innovation Authority is obtained. Such approval may be given in special circumstances and upon the fulfillment of certain conditions set forth in the Innovation Law, including payment of increased royalties. Such approval is not required for the transfer of less than 10% of the manufacturing capacity in the aggregate, and in such event, a notice to the Innovation Authority is required.</w:t>
      </w:r>
    </w:p>
    <w:p>
      <w:pPr>
        <w:spacing w:after="0" w:line="179"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8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Certain reporting obligations</w:t>
      </w:r>
      <w:r>
        <w:rPr>
          <w:rFonts w:ascii="Times New Roman" w:cs="Times New Roman" w:eastAsia="Times New Roman" w:hAnsi="Times New Roman"/>
          <w:sz w:val="18"/>
          <w:szCs w:val="18"/>
          <w:color w:val="auto"/>
        </w:rPr>
        <w:t>. A recipient of a grant or a benefit under the Innovation Law is required to notify the Innovation Authority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enumerated in the Innovation Law.</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restrictions and requirements for payment may impair our ability to sell our technology assets outside of Israel or to outsource or transfer manufacturing activities with respect to any product or technology outside of Israel; however, they do not restrict the export of our products that incorporate know how funded by the Innovation Authority. Furthermore, the consideration available to our shareholders in a sale transaction involving the actual transfer outside of Israel of technology or know-how developed with funding by the Innovation Authority pursuant to a merger or similar transaction may be reduced by any amounts that we are required to pay to the Innovation Authority. Failure to comply with the requirements under the Innovation Law may subject us to mandatory repayment of grants received by us, together with interest and penalties, as well as expose us to criminal proceedings.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5" w:name="page26"/>
    <w:bookmarkEnd w:id="2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Israeli law and our articles may delay, prevent or otherwise impede a merger with, or an acquisition of, our company, even when the terms of such a transaction are favorable to us and our shareholders.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“ITEM 10.B — Articles of Association — Acquisitions under Israeli Law.”</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articles provide that our directors (other than external directors) are elected on a staggered basis, such that a potential acquirer cannot readily replace our entire board of directors at a single annual general shareholder meeting.</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judgment of a U.S. court against us or our officers and directors, to assert U.S. securities laws claims in Israel or to serve process on our officers and directors.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incorporated in Israel. The majority of our directors and executive officers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It may be difficult to enforce a judgment of a U.S. court against us, our officers and directors or the Israeli experts named in this prospectus supplement in Israel or the United States, to assert U.S. securities laws claims in Israel or to serve process on our officers and directors and these experts.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and responsibilities as a shareholder are governed by Israeli law, which differs in some material respects from the rights and responsibilities of shareholders of U.S. companies.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rights and responsibilities of the holders of our ordinary shares are governed by our articles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6" w:name="page27"/>
    <w:bookmarkEnd w:id="2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Information on the Company.</w:t>
      </w:r>
    </w:p>
    <w:p>
      <w:pPr>
        <w:spacing w:after="0" w:line="225" w:lineRule="exact"/>
        <w:rPr>
          <w:sz w:val="20"/>
          <w:szCs w:val="20"/>
          <w:color w:val="auto"/>
        </w:rPr>
      </w:pPr>
    </w:p>
    <w:p>
      <w:pPr>
        <w:ind w:right="7520" w:firstLine="332"/>
        <w:spacing w:after="0" w:line="503" w:lineRule="auto"/>
        <w:tabs>
          <w:tab w:leader="none" w:pos="648"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 Our History</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legal name is Kornit Digital Ltd. and we were incorporated under the laws of the State of Israel on January 16, 2002.</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2015, we completed our initial public offering, or IPO, pursuant to which we sold 8.165 million ordinary shares for aggregate gross proceeds (before underwriting discounts, commissions and expenses) of $81.65 million. Our ordinary shares began trading on the NASDAQ Global Select Market, under the symbol “KRNT,” on April 2, 2015. On January 31, 2017, we completed a follow-on offering pursuant to which we sold 2.3 million ordinary shares for aggregate gross proceeds (before underwriting discounts, commissions and expenses) of $38.0 million.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provisions of the Israeli Companies Law, 5759-1999. Our principal executive offices are located at 12 Ha’Amal Street, Rosh Ha’Ayin 4809246, Israel, and our telephone number is +972-3-908-5800. Our website address is </w:t>
      </w:r>
      <w:r>
        <w:rPr>
          <w:rFonts w:ascii="Times New Roman" w:cs="Times New Roman" w:eastAsia="Times New Roman" w:hAnsi="Times New Roman"/>
          <w:sz w:val="18"/>
          <w:szCs w:val="18"/>
          <w:u w:val="single" w:color="auto"/>
          <w:color w:val="auto"/>
        </w:rPr>
        <w:t>www.kornit.com</w:t>
      </w:r>
      <w:r>
        <w:rPr>
          <w:rFonts w:ascii="Times New Roman" w:cs="Times New Roman" w:eastAsia="Times New Roman" w:hAnsi="Times New Roman"/>
          <w:sz w:val="18"/>
          <w:szCs w:val="18"/>
          <w:color w:val="auto"/>
        </w:rPr>
        <w:t xml:space="preserve"> (the information contained therein or linked thereto shall not be considered incorporated by reference in this annual report). Our agent for service of process in the United States is Kornit Digital North America Inc., located at 10541-10601 North Commerce Street, Mequon, Wisconsin 53092, and its telephone number is (262) 518-0200.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Capital Expenditures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Capital expenditures for purchase of property, plant and equipment and the digital direct to garment printing assets of SPSI Inc., were $2.9 million and $14.7 million in the years ended December 31, 2015 and 2016, respectively. Capital expenditures in the year ended December 31, 2017 included $5.7 million in property, plant and equipment. Our current capital expenditures relate primarily to investment in our new headquarters in the United States and in our manufacturing facility for our ink and other consumables in Kiryat Gat, Israel. We plan on financing these capital expenditures from cash on hand.</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Business Overview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global textile and garment industry, including textile, clothing, footwear and luxury fashion, was nearly $3 trillion in 2015 and is projected to grow between 2% and 5% annually through 2020, according to a 2016 Digital Textile Printing Industry Forecast 2015-2020 report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and accessories, household, technical and display end markets.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is a diverse ecosystem of businesses that utilize textile printing processes, such as custom decorators, online businesses, brand owners and contract printers. Custom decorators of varying sizes use their own manufacturing facilities to print promotional, sports, educational and souvenir products. In recent years the global retail market for apparel has transitioned to an online business model while brick and mortar “physical” stores have been constantly shutting down around the world. This trend, dubbed by many is a “retail meltdown” has led Credit Suisse to estimate that up to 25% of US shopping malls will be shut down by 2022. There is also an abundance of online businesses which use textile printing in a “produce to order” business model through online platforms that facilitate the rapid printing and shipping of customized and personalized goods to consumers. Brand owners typically use contract printers for textile production and printing and are increasingly aware of the benefits of various printing processes, which influences their choice of contract printer.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7" w:name="page28"/>
    <w:bookmarkEnd w:id="2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the vast majority of the output of the global printed textile industry in 2016, which was projected to be approximately 32 to 33 billion square meters, was produced using analog print methods, specifically screen printing, carousels for printing on garments and rotary screen printers for printing on rolls of fabric. Our assessment is based on data provided in a 2016 report by Smithers Pira, a provider of market intelligence on the printed textile industry. The Pira report provides digital printing output estimates for 2016 and projects the analog printing output for 2016 as well as the annual digital textile printing growth rate through 2021, which we used to calculate a projected digital output of approximately 870 million square meters for 2016, representing 2.9% of total projected annual global printed textile output in 2016. According to the Pira report, initial growth rates in the digital textile printing market were more than 45% between 2004 and 2009, declining to an average CAGR of 25% between 2009 and 2012, an average CAGR of 18.8% between 2012 and 2014 and an average CAGR of 15.6% for 2014 to 2016 as the market became more mature and, in part, due to the impact of the global economic slowdown. Digital textile printing output is forecasted to grow at a 17.5% CAGR globally from 2016 to 2021 driven by projected CAGR over the same period of approximately 16.5% in North America, 15.0% in Western Europe, 13.5% in Eastern Europe and 20.1% in Asia according to the Pira report. Within digital textile printing, clothing applications represent the greatest amount of digital printed textile output and are projected to grow at a faster rate than household, technical and display applications.</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estimate that global revenue from digital textile printing equipment and ink will grow at a 15.7% CAGR between 2016 and 2021 based on the estimate of such revenue for 2016 and the projection for 2021, in each case, contained in the Pira report. There is currently a global installed base of approximately 42,000 digital textile printers.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Impacting Digital Textile Printing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Evolving consumer behavior is driving the growth in digital printing as well as the shift to online retail. This behavior is motivated by increased demand for variety and complexity of images and designs as well as increased desire for customization and personalization. In order to distinguish themselves from the masses, consumers demand, and brand owners seek to supply, a wide range of styles that are innovative and diverse.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Apparel represents the largest segment of the online retail market and sales are highly influenced by rapidly changing consumer trends. We believe that several key trends are currently driving growth in both the online retail market and the demand for digital printing solutions:</w:t>
      </w:r>
    </w:p>
    <w:p>
      <w:pPr>
        <w:spacing w:after="0" w:line="160" w:lineRule="exact"/>
        <w:rPr>
          <w:sz w:val="20"/>
          <w:szCs w:val="20"/>
          <w:color w:val="auto"/>
        </w:rPr>
      </w:pPr>
    </w:p>
    <w:p>
      <w:pPr>
        <w:jc w:val="both"/>
        <w:ind w:left="980" w:hanging="324"/>
        <w:spacing w:after="0" w:line="256" w:lineRule="auto"/>
        <w:tabs>
          <w:tab w:leader="none" w:pos="98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Immediate Gratification. </w:t>
      </w:r>
      <w:r>
        <w:rPr>
          <w:rFonts w:ascii="Times New Roman" w:cs="Times New Roman" w:eastAsia="Times New Roman" w:hAnsi="Times New Roman"/>
          <w:sz w:val="18"/>
          <w:szCs w:val="18"/>
          <w:color w:val="auto"/>
        </w:rPr>
        <w:t>According to a 2017 report by Consumer Intelligence Research Partners, the number of Amazon customers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willing to pay more in order to receive products faster, through its Amazon Prime service, stood at 90 million as of September 2017. This change in consumer behavior is causing retailers to evaluate ways to alter their approach towards inventory management in order to retain the business of discrete shoppers. In addition to retooling their internal fulfillment capabilities, many retail brands have begun to leverage the capacity of third party online stores in order to meet customer demands for delivery speed and product quality. We believe that the industry will see an increase in proximity decoration, whereby traditional retailers will use more localized digital printing capacity in order to satisfy consumer demands.</w:t>
      </w:r>
    </w:p>
    <w:p>
      <w:pPr>
        <w:spacing w:after="0" w:line="183" w:lineRule="exact"/>
        <w:rPr>
          <w:rFonts w:ascii="Times New Roman" w:cs="Times New Roman" w:eastAsia="Times New Roman" w:hAnsi="Times New Roman"/>
          <w:sz w:val="18"/>
          <w:szCs w:val="18"/>
          <w:i w:val="1"/>
          <w:iCs w:val="1"/>
          <w:color w:val="auto"/>
        </w:rPr>
      </w:pPr>
    </w:p>
    <w:p>
      <w:pPr>
        <w:jc w:val="both"/>
        <w:ind w:left="980" w:hanging="324"/>
        <w:spacing w:after="0" w:line="257" w:lineRule="auto"/>
        <w:tabs>
          <w:tab w:leader="none" w:pos="98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Personal Expression. </w:t>
      </w:r>
      <w:r>
        <w:rPr>
          <w:rFonts w:ascii="Times New Roman" w:cs="Times New Roman" w:eastAsia="Times New Roman" w:hAnsi="Times New Roman"/>
          <w:sz w:val="18"/>
          <w:szCs w:val="18"/>
          <w:color w:val="auto"/>
        </w:rPr>
        <w:t>We believe consumers are increasingly seeking the ability to customize products by choosing preferred features from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menu of options, or the ability to personalize products by adding an individualized pattern. We believe this trend is driving a shift to digital printing and online retail in both our DTG and R2R end markets. While in the past personalization was primarily a result of individuals loading their own particular designs to be printed on garments, today shoppers can take advantage of web stores which offer huge variety of designs for which shoppers will pay a premium under the assumption that they will be unique when wearing such garment or at the very least be one of a few and not many.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8" w:name="page29"/>
    <w:bookmarkEnd w:id="2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980" w:hanging="324"/>
        <w:spacing w:after="0" w:line="259" w:lineRule="auto"/>
        <w:tabs>
          <w:tab w:leader="none" w:pos="98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Influence of Social Media. </w:t>
      </w:r>
      <w:r>
        <w:rPr>
          <w:rFonts w:ascii="Times New Roman" w:cs="Times New Roman" w:eastAsia="Times New Roman" w:hAnsi="Times New Roman"/>
          <w:sz w:val="18"/>
          <w:szCs w:val="18"/>
          <w:color w:val="auto"/>
        </w:rPr>
        <w:t>The means through which customers gather information to inform purchase decisions has also evolved in today’s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world. According to a study by PwC, 74% of consumers were influenced by social media in making online shopping decisions in 2017. We believe this trend further promotes the shift to the online retail channel. Personal expression today is also associated with subscribing to certain interest groups which promote ideas, concepts, designs, etc. Such affiliation drives significant on demand printing, many times creating short term huge surges in demand</w:t>
      </w:r>
    </w:p>
    <w:p>
      <w:pPr>
        <w:spacing w:after="0" w:line="179" w:lineRule="exact"/>
        <w:rPr>
          <w:rFonts w:ascii="Times New Roman" w:cs="Times New Roman" w:eastAsia="Times New Roman" w:hAnsi="Times New Roman"/>
          <w:sz w:val="18"/>
          <w:szCs w:val="18"/>
          <w:i w:val="1"/>
          <w:iCs w:val="1"/>
          <w:color w:val="auto"/>
        </w:rPr>
      </w:pPr>
    </w:p>
    <w:p>
      <w:pPr>
        <w:jc w:val="both"/>
        <w:ind w:left="980" w:hanging="324"/>
        <w:spacing w:after="0" w:line="259" w:lineRule="auto"/>
        <w:tabs>
          <w:tab w:leader="none" w:pos="98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Consumer Preference. Today’s consumer is leveraging the online channel for apparel purchases at a pace that far exceeds traditional brick and mortar purchases. According to a report by Internet Retailer, the online channel represented 30.0% of U.S. apparel sales in 2017, up from 17.0% in 2015. The market share gain corresponds to apparel revenue growth of 19.7% in the online channel and only 1.1% growth in the brick and mortar channel. We believe our installed base reflects the convergence of the growth in online apparel retail and the growth in digital printing.</w:t>
      </w:r>
    </w:p>
    <w:p>
      <w:pPr>
        <w:spacing w:after="0" w:line="179" w:lineRule="exact"/>
        <w:rPr>
          <w:rFonts w:ascii="Times New Roman" w:cs="Times New Roman" w:eastAsia="Times New Roman" w:hAnsi="Times New Roman"/>
          <w:sz w:val="18"/>
          <w:szCs w:val="18"/>
          <w:i w:val="1"/>
          <w:iCs w:val="1"/>
          <w:color w:val="auto"/>
        </w:rPr>
      </w:pPr>
    </w:p>
    <w:p>
      <w:pPr>
        <w:jc w:val="both"/>
        <w:ind w:left="980" w:right="20" w:hanging="324"/>
        <w:spacing w:after="0" w:line="267" w:lineRule="auto"/>
        <w:tabs>
          <w:tab w:leader="none" w:pos="98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Sustainability</w:t>
      </w:r>
      <w:r>
        <w:rPr>
          <w:rFonts w:ascii="Times New Roman" w:cs="Times New Roman" w:eastAsia="Times New Roman" w:hAnsi="Times New Roman"/>
          <w:sz w:val="18"/>
          <w:szCs w:val="18"/>
          <w:color w:val="auto"/>
        </w:rPr>
        <w:t>. Shoppers are constantly becoming more conscious of environmental impact of what they consume. The textile production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is notorious for pollution and negative impact on the environment. Our proprietary process of digital printing is more eco-friendly than current analog printing and as such can win the favor of shoppers to whom environmental impact is a priority.</w:t>
      </w:r>
    </w:p>
    <w:p>
      <w:pPr>
        <w:spacing w:after="0" w:line="173" w:lineRule="exact"/>
        <w:rPr>
          <w:rFonts w:ascii="Times New Roman" w:cs="Times New Roman" w:eastAsia="Times New Roman" w:hAnsi="Times New Roman"/>
          <w:sz w:val="18"/>
          <w:szCs w:val="18"/>
          <w:i w:val="1"/>
          <w:iCs w:val="1"/>
          <w:color w:val="auto"/>
        </w:rPr>
      </w:pPr>
    </w:p>
    <w:p>
      <w:pPr>
        <w:jc w:val="both"/>
        <w:ind w:left="980" w:hanging="324"/>
        <w:spacing w:after="0" w:line="267"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Proximity decoration. </w:t>
      </w:r>
      <w:r>
        <w:rPr>
          <w:rFonts w:ascii="Times New Roman" w:cs="Times New Roman" w:eastAsia="Times New Roman" w:hAnsi="Times New Roman"/>
          <w:sz w:val="18"/>
          <w:szCs w:val="18"/>
          <w:color w:val="auto"/>
        </w:rPr>
        <w:t>Retailers and apparel manufacturers need to respond quickly to daily changes in market trends coupled with the move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or next day delivery cycle times. This has precipitated a move to proximity decoration, whereby digital printers, which have no environmental footprint, are placed in densely populated areas to execute demand of online shoppers.</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business models have developed in response to the evolution of these consumer trends and the rapid growth of the online retail market.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enable this category of “web-to-print” businesses to fulfill consumer demand more quickly and cost-effectively in a manner that is differentiated from traditional brick and mortar businesses.</w:t>
      </w:r>
    </w:p>
    <w:p>
      <w:pPr>
        <w:spacing w:after="0" w:line="17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number of large scale web-to-print platforms have emerged. </w:t>
      </w:r>
      <w:r>
        <w:rPr>
          <w:rFonts w:ascii="Times New Roman" w:cs="Times New Roman" w:eastAsia="Times New Roman" w:hAnsi="Times New Roman"/>
          <w:sz w:val="18"/>
          <w:szCs w:val="18"/>
          <w:color w:val="auto"/>
        </w:rPr>
        <w:t>These platforms often leverage digital printing solutions to facilitate business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variety of content creators. The ecosystem of web-to-print businesses which we currently serve includes</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Self-Fulfillment</w:t>
      </w:r>
      <w:r>
        <w:rPr>
          <w:rFonts w:ascii="Times New Roman" w:cs="Times New Roman" w:eastAsia="Times New Roman" w:hAnsi="Times New Roman"/>
          <w:sz w:val="18"/>
          <w:szCs w:val="18"/>
          <w:color w:val="auto"/>
        </w:rPr>
        <w:t>. Companies manufacturing and selling their own designs which are advertised on their own websites and through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means.</w:t>
      </w:r>
    </w:p>
    <w:p>
      <w:pPr>
        <w:spacing w:after="0" w:line="158"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8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Hybrid Printers. </w:t>
      </w:r>
      <w:r>
        <w:rPr>
          <w:rFonts w:ascii="Times New Roman" w:cs="Times New Roman" w:eastAsia="Times New Roman" w:hAnsi="Times New Roman"/>
          <w:sz w:val="18"/>
          <w:szCs w:val="18"/>
          <w:color w:val="auto"/>
        </w:rPr>
        <w:t>Companies who both manufacture in-house and outsource manufacturing to third party fulfillment providers, who are often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our customers.</w:t>
      </w:r>
    </w:p>
    <w:p>
      <w:pPr>
        <w:spacing w:after="0" w:line="158"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8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Third Party Fulfillment Centers. </w:t>
      </w:r>
      <w:r>
        <w:rPr>
          <w:rFonts w:ascii="Times New Roman" w:cs="Times New Roman" w:eastAsia="Times New Roman" w:hAnsi="Times New Roman"/>
          <w:sz w:val="18"/>
          <w:szCs w:val="18"/>
          <w:color w:val="auto"/>
        </w:rPr>
        <w:t>Companies serving as third party fulfillment for other businesses. Demand for these businesses is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online through other web retailers.</w:t>
      </w:r>
    </w:p>
    <w:p>
      <w:pPr>
        <w:spacing w:after="0" w:line="1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Proximity to the consumer is a key factor for these businesses since it minimizes shipping costs and enables them to offer rapid turnaround. In many cases, retailers have asked us for assistance in identifying our local customers to help with their fulfillment.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characteristics of digital textile printing have enabled these new business models and are driving the shift from analog to digital textile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printing:</w:t>
      </w:r>
    </w:p>
    <w:p>
      <w:pPr>
        <w:spacing w:after="0" w:line="205" w:lineRule="exact"/>
        <w:rPr>
          <w:sz w:val="20"/>
          <w:szCs w:val="20"/>
          <w:color w:val="auto"/>
        </w:rPr>
      </w:pPr>
    </w:p>
    <w:p>
      <w:pPr>
        <w:jc w:val="both"/>
        <w:ind w:left="980" w:hanging="324"/>
        <w:spacing w:after="0" w:line="267" w:lineRule="auto"/>
        <w:tabs>
          <w:tab w:leader="none" w:pos="98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Manufacturing flexibility. </w:t>
      </w:r>
      <w:r>
        <w:rPr>
          <w:rFonts w:ascii="Times New Roman" w:cs="Times New Roman" w:eastAsia="Times New Roman" w:hAnsi="Times New Roman"/>
          <w:sz w:val="18"/>
          <w:szCs w:val="18"/>
          <w:color w:val="auto"/>
        </w:rPr>
        <w:t>Digital textile printing allows a full image or design to be printed on a garment or cut fabric in one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step compared to multiple steps in an analog printing process. Digital textile printing gives manufacturers the ability to print small runs, with personalization capabilities, in a cost-effective manner with a minimum order quantity of one unit.</w:t>
      </w:r>
    </w:p>
    <w:p>
      <w:pPr>
        <w:spacing w:after="0" w:line="173"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8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Design flexibility</w:t>
      </w:r>
      <w:r>
        <w:rPr>
          <w:rFonts w:ascii="Times New Roman" w:cs="Times New Roman" w:eastAsia="Times New Roman" w:hAnsi="Times New Roman"/>
          <w:sz w:val="18"/>
          <w:szCs w:val="18"/>
          <w:color w:val="auto"/>
        </w:rPr>
        <w:t>. Digital textile printing enables a larger variety of artwork to be imprinted, without limitations on number of colors per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high-resolution imaging.</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9" w:name="page30"/>
    <w:bookmarkEnd w:id="2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line="284" w:lineRule="auto"/>
        <w:tabs>
          <w:tab w:leader="none" w:pos="9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Reduced time between design and production. </w:t>
      </w:r>
      <w:r>
        <w:rPr>
          <w:rFonts w:ascii="Times New Roman" w:cs="Times New Roman" w:eastAsia="Times New Roman" w:hAnsi="Times New Roman"/>
          <w:sz w:val="18"/>
          <w:szCs w:val="18"/>
          <w:color w:val="auto"/>
        </w:rPr>
        <w:t>The digital textile printing process allows for samples to be quickly produced, evaluated,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modified, which permits brand owners to increase the frequency and variety of replenishment cycles in response to fashion trends.</w:t>
      </w:r>
    </w:p>
    <w:p>
      <w:pPr>
        <w:spacing w:after="0" w:line="158" w:lineRule="exact"/>
        <w:rPr>
          <w:rFonts w:ascii="Times New Roman" w:cs="Times New Roman" w:eastAsia="Times New Roman" w:hAnsi="Times New Roman"/>
          <w:sz w:val="18"/>
          <w:szCs w:val="18"/>
          <w:i w:val="1"/>
          <w:iCs w:val="1"/>
          <w:color w:val="auto"/>
        </w:rPr>
      </w:pPr>
    </w:p>
    <w:p>
      <w:pPr>
        <w:jc w:val="both"/>
        <w:ind w:left="980" w:hanging="324"/>
        <w:spacing w:after="0" w:line="259" w:lineRule="auto"/>
        <w:tabs>
          <w:tab w:leader="none" w:pos="9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Decreased risk of excess inventory. </w:t>
      </w:r>
      <w:r>
        <w:rPr>
          <w:rFonts w:ascii="Times New Roman" w:cs="Times New Roman" w:eastAsia="Times New Roman" w:hAnsi="Times New Roman"/>
          <w:sz w:val="18"/>
          <w:szCs w:val="18"/>
          <w:color w:val="auto"/>
        </w:rPr>
        <w:t>The costly and time-consuming upfront setup required in analog production methods is avoided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digital printing technologies. Therefore, digital printing enables the cost efficient production of a smaller quantity of garments which mitigates excess inventory risk and improves profitability. Stocking blank garments or fabric and decorating them only when demand is identified significantly reduces the amount of inventory at risk. This reduction in working capital requirements has enabled the emergence of numerous online businesses which are focused on the sales of printed textiles.</w:t>
      </w:r>
    </w:p>
    <w:p>
      <w:pPr>
        <w:spacing w:after="0" w:line="179" w:lineRule="exact"/>
        <w:rPr>
          <w:rFonts w:ascii="Times New Roman" w:cs="Times New Roman" w:eastAsia="Times New Roman" w:hAnsi="Times New Roman"/>
          <w:sz w:val="18"/>
          <w:szCs w:val="18"/>
          <w:i w:val="1"/>
          <w:iCs w:val="1"/>
          <w:color w:val="auto"/>
        </w:rPr>
      </w:pPr>
    </w:p>
    <w:p>
      <w:pPr>
        <w:jc w:val="both"/>
        <w:ind w:left="980" w:hanging="324"/>
        <w:spacing w:after="0" w:line="256" w:lineRule="auto"/>
        <w:tabs>
          <w:tab w:leader="none" w:pos="9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Reduced labor and physical space requirements. </w:t>
      </w:r>
      <w:r>
        <w:rPr>
          <w:rFonts w:ascii="Times New Roman" w:cs="Times New Roman" w:eastAsia="Times New Roman" w:hAnsi="Times New Roman"/>
          <w:sz w:val="18"/>
          <w:szCs w:val="18"/>
          <w:color w:val="auto"/>
        </w:rPr>
        <w:t>Digital textile printing requires significantly less labor to print an equivalent output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reduction in process steps. The unique Kornit proprietary process of digital textile printing process also reduces the need for floor space for manufacturing equipment by eliminating certain process steps and by consolidating multiple process steps into a single printing system. The combination of labor savings and smaller shop floor footprint, coupled with lower energy consumption and a lack of environmental impact, enables manufacturers to move production closer to consumers in a cost-effective manner. Textile business is very seasonal and the need to retain employees bares a heavy financial burden. The move to digital printing significantly reduces the need for manpower and allows for a more flexible cost structure.</w:t>
      </w:r>
    </w:p>
    <w:p>
      <w:pPr>
        <w:spacing w:after="0" w:line="183"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Ability to fulfill orders on one by one basis. </w:t>
      </w:r>
      <w:r>
        <w:rPr>
          <w:rFonts w:ascii="Times New Roman" w:cs="Times New Roman" w:eastAsia="Times New Roman" w:hAnsi="Times New Roman"/>
          <w:sz w:val="18"/>
          <w:szCs w:val="18"/>
          <w:color w:val="auto"/>
        </w:rPr>
        <w:t>Unlike screen printing, digital printing cost remains the same when printing a single unit or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This allows printers to execute orders one by one without needing to accumulate large demand for a particular design before printing</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these consumer driven trends, the textile printing industry is being impacted by environmental considerations. Regulatory bodies and consumers are increasingly focused on social responsibility and eco-friendly manufacturing, demanding that custom decorators, online businesses, brand owners and contract printers reduce the negative environmental impact of textile treatment and dyeing, which represents a significant portion of total industrial waste water. Digital textile printing significantly reduces industrial water consumption and discharge of toxic chemicals by eliminating the need to wash screens for color changes and repeated use. We believe that this results in reduced environmental impact and, in turn, enables manufacturers to comply with regulatory and brand guidelines at a location of their choosing, in many cases in populated areas which are not industrial in nature.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Textile Printing Processes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154940</wp:posOffset>
            </wp:positionV>
            <wp:extent cx="5102860" cy="2195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0286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0" w:name="page31"/>
    <w:bookmarkEnd w:id="3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Analog Printing Processes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Screen printing is the most commonly used printing process for textiles. The two primary methods of screen printing are rotary screen printing and automated carousel screen printing.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154940</wp:posOffset>
            </wp:positionV>
            <wp:extent cx="5351145" cy="788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5114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980" w:hanging="324"/>
        <w:spacing w:after="0" w:line="256" w:lineRule="auto"/>
        <w:tabs>
          <w:tab w:leader="none" w:pos="98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Rotary screen printing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Rotary screen printing is commonly used to print on outerwear, underwear, sportswear, upholstery and linens.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involves multiple, time-consuming process steps. Rolls of fabric pass through rotating 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chart depicts the analog rotary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154940</wp:posOffset>
            </wp:positionV>
            <wp:extent cx="2160905" cy="2092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0905"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980" w:hanging="324"/>
        <w:spacing w:after="0" w:line="254" w:lineRule="auto"/>
        <w:tabs>
          <w:tab w:leader="none" w:pos="98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Automated carousel screen printing</w:t>
      </w:r>
      <w:r>
        <w:rPr>
          <w:rFonts w:ascii="Times New Roman" w:cs="Times New Roman" w:eastAsia="Times New Roman" w:hAnsi="Times New Roman"/>
          <w:sz w:val="18"/>
          <w:szCs w:val="18"/>
          <w:color w:val="auto"/>
        </w:rPr>
        <w:t>. Automated carousel screen printing is commonly used to print on finished garments and cut pieces.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 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1" w:name="page32"/>
    <w:bookmarkEnd w:id="3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chart depicts the automated carousel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154940</wp:posOffset>
            </wp:positionV>
            <wp:extent cx="2178050" cy="2478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7805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Printing Processes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time-consuming steps, such as screen preparation or cylinder engraving, preparation of pastes or inks, and screen or cylinder alignment.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digital textile printing market principally includes two types of printing processes:</w:t>
      </w:r>
    </w:p>
    <w:p>
      <w:pPr>
        <w:spacing w:after="0" w:line="221" w:lineRule="exact"/>
        <w:rPr>
          <w:sz w:val="20"/>
          <w:szCs w:val="20"/>
          <w:color w:val="auto"/>
        </w:rPr>
      </w:pPr>
    </w:p>
    <w:p>
      <w:pPr>
        <w:jc w:val="both"/>
        <w:ind w:left="980" w:hanging="324"/>
        <w:spacing w:after="0" w:line="268" w:lineRule="auto"/>
        <w:tabs>
          <w:tab w:leader="none" w:pos="98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Direct-to-Garment (DTG)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DTG printing, an inkjet printer prints directly on the textile. DTG printing allows for printing images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designs onto finished textiles, such as t-shirts that have already been sewn and dyed. The following chart summarizes the key steps involved in the DTG printing process:</w:t>
      </w: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345" w:lineRule="exact"/>
        <w:rPr>
          <w:rFonts w:ascii="Times New Roman" w:cs="Times New Roman" w:eastAsia="Times New Roman" w:hAnsi="Times New Roman"/>
          <w:sz w:val="18"/>
          <w:szCs w:val="18"/>
          <w:b w:val="1"/>
          <w:bCs w:val="1"/>
          <w:i w:val="1"/>
          <w:iCs w:val="1"/>
          <w:color w:val="auto"/>
        </w:rPr>
      </w:pPr>
    </w:p>
    <w:p>
      <w:pPr>
        <w:ind w:left="980" w:hanging="324"/>
        <w:spacing w:after="0" w:line="286" w:lineRule="auto"/>
        <w:tabs>
          <w:tab w:leader="none" w:pos="98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Roll-to-Roll (R2R)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R2R printing, rolls of fabric pass in-line through wide-format inkjet printers that are utilized to directly print images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designs onto rolling fabric. The following chart summarizes the key steps involved in the R2R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-1044575</wp:posOffset>
            </wp:positionV>
            <wp:extent cx="3713480" cy="6089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13480" cy="60896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112395</wp:posOffset>
            </wp:positionV>
            <wp:extent cx="4450715" cy="582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5071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Recent technological developments in digital printing have supported the adoption of digital printing by the global printed textile industry, including by custom decorators, online businesses, brand owners and contract printers. As a result of consumer and macro trends impacting these businesses, we believe that the global printed textile industry offers a significant and rapidly growing market for digital printing solutions.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2" w:name="page33"/>
    <w:bookmarkEnd w:id="3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are a number of trends within the global printed textile industry that we believe are driving greater demand for our solutions. Consumers are continuing to seek to differentiate themselves by wearing customized and personalized garments with colorful and intricate images and designs. Consumers are also increasingly purchasing retail products online, with apparel representing the largest portion of this market.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As consumers increasingly shift to online retail channels, there is an increased need for brand owners and contract printers to improve efficiency, as consumers demand more varied product offerings and faster fulfillment of orders.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smaller quantities of customized products in a time efficient, cost-effective and environmentally friendly manner, effectively allowing them to transition from customary methods of supply and demand to demand and supply, a model by which decoration of fabric only takes place once a customer order has been issued.</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success of online apparel retail is dependent heavily on the ability to show large variety of designs. Since it is difficult to predict shopping preference, it is increasingly difficult to stock every possible design. Unlike the physical experience of shopping at a brick and mortar store, where a sales person has the opportunity to influence our buying decisions, we are free to move from one website to another with the simplicity of a mouse click. Online stores are concerned with the possibility that certain selected items not be in stock or carry a long lead time as such response will most likely lead a shopper to “churn” to another website. Having digital capacity available allows printers to offer unlimited design with minimal to no inventory risk and we believe we are well positioned to take advantage of this trend.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3" w:name="page34"/>
    <w:bookmarkEnd w:id="3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With throughputs ranging from 32 to 250 garments per hour, our entry level and high throughput DTG solutions are suited to the needs of a variety of customers, from smaller commercial operators with limited budgets to mass producers with mature operations and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 We also offer customers maintenance and support services as well as value added services aimed at optimizing the use of our systems.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Building on the expertise and capabilities we have accumulated in developing and offering differentiated solutions for the DTG market, we market a digital printing solution, the Allegro, targeting the R2R market. While the DTG market generally involves printing on finished garments, the R2R market is focused on printing on fabrics that are subsequently converted into finished garments, home or office décor and other items. The Allegro utilizes our proprietary wet-on-wet printing methodology and houses an integrated drying and curing system. It offers the first single-step eco-friendly, stand-alone R2R digital textile printing solution available on the market. We primarily market the Allegro to web-based businesses that require a high degree of variety and limited quantity orders, as well as to fabric converters, which source large quantities of fabric and convert untreated fabrics into finished materials to be sold to garment and home décor manufacturers. We believe that with the Allegro we are well positioned to take advantage of the growing trend towards customized home décor and on-demand fabric printing. We began selling the Allegro commercially in the second quarter of 2015.</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were founded in 2002 in Israel, shipped our first system in 2005 and, as of December 31, 2017, had over 1,100 customers globally. As of December 31, 2017, we had 412 employees located across four regions: Israel, the United States, Europe and the Asia Pacific region. In the year ended December 31, 2017, we generated revenues of $114.1 million, representing an increase of 5.0% over the prior fiscal year. In the year ended December 31, 2017, we generated 53.1% of our revenues from the Americas, 8.1% from EMEA, 14.1% from the Asia Pacific and 4.7% from other regions.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our key competitive strengths:</w:t>
      </w:r>
    </w:p>
    <w:p>
      <w:pPr>
        <w:spacing w:after="0" w:line="221" w:lineRule="exact"/>
        <w:rPr>
          <w:sz w:val="20"/>
          <w:szCs w:val="20"/>
          <w:color w:val="auto"/>
        </w:rPr>
      </w:pPr>
    </w:p>
    <w:p>
      <w:pPr>
        <w:jc w:val="both"/>
        <w:ind w:left="980" w:hanging="324"/>
        <w:spacing w:after="0" w:line="255" w:lineRule="auto"/>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Leading player in fast-growing digital DTG market</w:t>
      </w:r>
      <w:r>
        <w:rPr>
          <w:rFonts w:ascii="Times New Roman" w:cs="Times New Roman" w:eastAsia="Times New Roman" w:hAnsi="Times New Roman"/>
          <w:sz w:val="18"/>
          <w:szCs w:val="18"/>
          <w:color w:val="auto"/>
        </w:rPr>
        <w:t>. We are a leading player in the fast-growing digital DTG market based on our sales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over 1,100 customers globally. We estimate that global revenue from digital textile printing equipment and ink will grow at a 15.7% CAGR between 2016 and 2021 based on the estimate of such revenue for 2016 and the projection for 2021, in each case, contained in the Pira report. In 2016, we grew our revenues 25.8% compared to 2015 and, in 2017, we grew our revenues 5% compared to 2016. We believe that high throughput DTG applications in the textile printing market are positioned to grow at a rate greater than the 15.7% overall industry growth rate projected between 2016 and 2021. We have outperformed the industry growth rate over the past several years, growing our revenue at a 26.7% CAGR from the 12 months ended June 30, 2014 to the 12 months ended June 30, 2016, versus an industry CAGR of 15.6% for the same period, as estimated in the Pira report. The Pira report estimates that the DTG market has an addressable opportunity of six to 10 billion garments a year. According to a prior Smithers Pira report published in 2014, over 300,000 sites globally print primarily t-shirts and other apparel.</w:t>
      </w:r>
    </w:p>
    <w:p>
      <w:pPr>
        <w:spacing w:after="0" w:line="181" w:lineRule="exact"/>
        <w:rPr>
          <w:rFonts w:ascii="Times New Roman" w:cs="Times New Roman" w:eastAsia="Times New Roman" w:hAnsi="Times New Roman"/>
          <w:sz w:val="18"/>
          <w:szCs w:val="18"/>
          <w:b w:val="1"/>
          <w:bCs w:val="1"/>
          <w:color w:val="auto"/>
        </w:rPr>
      </w:pPr>
    </w:p>
    <w:p>
      <w:pPr>
        <w:jc w:val="both"/>
        <w:ind w:left="980" w:hanging="324"/>
        <w:spacing w:after="0" w:line="255" w:lineRule="auto"/>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Well positioned to disrupt the R2R market with our unique single-step manufacturing solution</w:t>
      </w:r>
      <w:r>
        <w:rPr>
          <w:rFonts w:ascii="Times New Roman" w:cs="Times New Roman" w:eastAsia="Times New Roman" w:hAnsi="Times New Roman"/>
          <w:sz w:val="18"/>
          <w:szCs w:val="18"/>
          <w:color w:val="auto"/>
        </w:rPr>
        <w:t>. We believe we are well positioned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 on the growing trend toward customized home décor with our unique R2R solution. Our Allegro system combined with our proprietary process was designed to offer a single-step manufacturing solution which is especially suited for businesses which don’t have a vertically integrated textile mill. Unlike other digital textile printers, the Allegro does not require multiple pre-processing and post-processing steps which are customarily used in vertically integrated textile mills and which utilize high levels of energy and space and have a negative environmental impact. Given its architecture, it is perfectly suited for short and micro runs. Allegro is compact in size and requires a single person to operate and fits very well in an urban and non-industrial setting. Allegro is unique in its ability to print on multiple fabric types without the need for different inks and consumables, while generally other systems and technologies for R2R digital printing require dedication of discrete printers to specific fabric types.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4" w:name="page35"/>
    <w:bookmarkEnd w:id="3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left="980" w:hanging="324"/>
        <w:spacing w:after="0" w:line="256" w:lineRule="auto"/>
        <w:tabs>
          <w:tab w:leader="none" w:pos="9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Disruptive technology that enables our customers to adopt new or improve existing business models</w:t>
      </w:r>
      <w:r>
        <w:rPr>
          <w:rFonts w:ascii="Times New Roman" w:cs="Times New Roman" w:eastAsia="Times New Roman" w:hAnsi="Times New Roman"/>
          <w:sz w:val="18"/>
          <w:szCs w:val="18"/>
          <w:color w:val="auto"/>
        </w:rPr>
        <w:t>. Our digital printing solutions allow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customers to develop new or improve existing business models by enabling them to produce short to medium runs of high-quality customized garments efficiently. This also facilitates “web to print” business models that manufacture on a “produce to order” basis and allows brand owners to produce garments in house. With a constantly growing worldwide customer base of over 1,100 customers, we are witnessing the creation of a global fulfillment network of printing specialists which are leveraged by large numbers of websites that offer customizable garment printing services. As demand from these customers continues to grow so does utilization of our systems which in turn consume more ink and once used to their full capacity require purchasing of more systems.</w:t>
      </w:r>
    </w:p>
    <w:p>
      <w:pPr>
        <w:spacing w:after="0" w:line="183" w:lineRule="exact"/>
        <w:rPr>
          <w:rFonts w:ascii="Times New Roman" w:cs="Times New Roman" w:eastAsia="Times New Roman" w:hAnsi="Times New Roman"/>
          <w:sz w:val="18"/>
          <w:szCs w:val="18"/>
          <w:b w:val="1"/>
          <w:bCs w:val="1"/>
          <w:color w:val="auto"/>
        </w:rPr>
      </w:pPr>
    </w:p>
    <w:p>
      <w:pPr>
        <w:jc w:val="both"/>
        <w:ind w:left="980" w:hanging="324"/>
        <w:spacing w:after="0" w:line="253" w:lineRule="auto"/>
        <w:tabs>
          <w:tab w:leader="none" w:pos="9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Attractive business model</w:t>
      </w:r>
      <w:r>
        <w:rPr>
          <w:rFonts w:ascii="Times New Roman" w:cs="Times New Roman" w:eastAsia="Times New Roman" w:hAnsi="Times New Roman"/>
          <w:sz w:val="18"/>
          <w:szCs w:val="18"/>
          <w:color w:val="auto"/>
        </w:rPr>
        <w:t>. We currently offer a broad portfolio of differentiated digital printing solutions for the digital DTG market.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and growing installed base of systems results in recurring sales of ink and other consumables, which are specially formulated to enable our systems to operate at the highest throughput level. These recurring sales are generated at attractive gross margins. Recurring sales of ink and other consumables have historically offered us a degree of visibility into a significant component of our results of operations. We believe that our recurring sales model also enables us to foster close customer relationships as it facilitates ongoing engagement with our customers, which positions us to provide tailored solutions and expands our ability to provide value added services to our customers. Our customer relationships are further strengthened by a trend towards ownership of multiple systems, as the number of customers with at least two systems has grown from 155 as of December 31, 2014, to 246as of December 31, 2017 and the number of customers with at least 10 systems has grown from nine as of December 31, 2014, to 17 as of December 31, 2017. We anticipate revenue from services to increase over time as we reach upgrade cycles across our growing installed base. Additionally, sales of ink and other consumables are generally higher in high throughput systems such as the Vulcan, Avalanche and Allegro systems. Large accounts typically run at high utilization rates and can consume up to five times as much ink per year compared to other accounts. By developing and implementing proprietary end-to-end solutions for our customers, we believe our business model is differentiated from more commoditized solutions serving the same end markets. We have proven our ability to grow revenues while maintaining an attractive margin profile and we intend to continue investing in our business to drive profitable growth in the future.</w:t>
      </w:r>
    </w:p>
    <w:p>
      <w:pPr>
        <w:spacing w:after="0" w:line="186" w:lineRule="exact"/>
        <w:rPr>
          <w:rFonts w:ascii="Times New Roman" w:cs="Times New Roman" w:eastAsia="Times New Roman" w:hAnsi="Times New Roman"/>
          <w:sz w:val="18"/>
          <w:szCs w:val="18"/>
          <w:b w:val="1"/>
          <w:bCs w:val="1"/>
          <w:color w:val="auto"/>
        </w:rPr>
      </w:pPr>
    </w:p>
    <w:p>
      <w:pPr>
        <w:jc w:val="both"/>
        <w:ind w:left="980" w:hanging="324"/>
        <w:spacing w:after="0" w:line="256" w:lineRule="auto"/>
        <w:tabs>
          <w:tab w:leader="none" w:pos="9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Robust intellectual property portfolio driven by an innovation-based culture</w:t>
      </w:r>
      <w:r>
        <w:rPr>
          <w:rFonts w:ascii="Times New Roman" w:cs="Times New Roman" w:eastAsia="Times New Roman" w:hAnsi="Times New Roman"/>
          <w:sz w:val="18"/>
          <w:szCs w:val="18"/>
          <w:color w:val="auto"/>
        </w:rPr>
        <w:t>. Our intellectual property portfolio reflects over a decade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investments in digital textile printing, which we believe creates significant barriers to entry. We have developed a strong base of technology know-how, backed by our portfolio of intellectual property, which includes 25 issued patents and 22 provisional or pending US applications, 27 pending non-US patent applications and 10 pending PCT applications that cover wet-on-wet printing methodology, ink formulations, printing processes and related methods and systems. Our team of over 122 researchers and developers, including chemists, electrical engineers, system engineers and mechanical engineers, ensures that our systems remain technologically advanced, and are well engineered, user-friendly and highly reliable.</w:t>
      </w:r>
    </w:p>
    <w:p>
      <w:pPr>
        <w:spacing w:after="0" w:line="183" w:lineRule="exact"/>
        <w:rPr>
          <w:rFonts w:ascii="Times New Roman" w:cs="Times New Roman" w:eastAsia="Times New Roman" w:hAnsi="Times New Roman"/>
          <w:sz w:val="18"/>
          <w:szCs w:val="18"/>
          <w:b w:val="1"/>
          <w:bCs w:val="1"/>
          <w:color w:val="auto"/>
        </w:rPr>
      </w:pPr>
    </w:p>
    <w:p>
      <w:pPr>
        <w:jc w:val="both"/>
        <w:ind w:left="980" w:hanging="324"/>
        <w:spacing w:after="0" w:line="257" w:lineRule="auto"/>
        <w:tabs>
          <w:tab w:leader="none" w:pos="9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Extensive product portfolio and strong new product pipeline</w:t>
      </w:r>
      <w:r>
        <w:rPr>
          <w:rFonts w:ascii="Times New Roman" w:cs="Times New Roman" w:eastAsia="Times New Roman" w:hAnsi="Times New Roman"/>
          <w:sz w:val="18"/>
          <w:szCs w:val="18"/>
          <w:color w:val="auto"/>
        </w:rPr>
        <w:t>. With throughputs ranging from 32 to 250 garments per hour, our DTG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are suited for smaller industrial operators with limited budgets, as well as mass producers with mature operations and complex needs. Since 2015, we have commercialized two new solutions in the market: the Allegro, a one-step, integrated R2R printing, drying and curing system, and the Vulcan, a cost-effective digital substitution for carousel screen printing. Our future roadmap remains focused on the continued development of proprietary processes, continuously expanding the breadth of applications upon which we can print while pushing the envelope of cost efficient manufacturing further as a means to expand our servable addressable markets.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5" w:name="page36"/>
    <w:bookmarkEnd w:id="3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both"/>
        <w:ind w:left="980" w:hanging="324"/>
        <w:spacing w:after="0" w:line="256" w:lineRule="auto"/>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Taking advantage of a digital revolution. </w:t>
      </w:r>
      <w:r>
        <w:rPr>
          <w:rFonts w:ascii="Times New Roman" w:cs="Times New Roman" w:eastAsia="Times New Roman" w:hAnsi="Times New Roman"/>
          <w:sz w:val="18"/>
          <w:szCs w:val="18"/>
          <w:color w:val="auto"/>
        </w:rPr>
        <w:t>Every digital printing revolution starts with printing small quantities of particular designs where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advantages of digital technology are most pronounced. The ability to expand the addressable market of digital printing relies heavily on constant reduction of cost per printed unit (CPP). Given our deep technological foundations, we have been able to constantly reduce CPP by increasing system output as well as increasing the efficiency of our inks, allowing customers to consume less ink while achieving excellent results. Given this progression, we are now able to offer a cost effective alternative to screen printing for runs of up to 500 garments, making our products a viable printing solution for large scale retailers who now seek to move to quick inventory replenishment and are constantly moving to shorter and shorter runs of production.</w:t>
      </w:r>
    </w:p>
    <w:p>
      <w:pPr>
        <w:spacing w:after="0" w:line="183" w:lineRule="exact"/>
        <w:rPr>
          <w:rFonts w:ascii="Times New Roman" w:cs="Times New Roman" w:eastAsia="Times New Roman" w:hAnsi="Times New Roman"/>
          <w:sz w:val="18"/>
          <w:szCs w:val="18"/>
          <w:b w:val="1"/>
          <w:bCs w:val="1"/>
          <w:color w:val="auto"/>
        </w:rPr>
      </w:pPr>
    </w:p>
    <w:p>
      <w:pPr>
        <w:jc w:val="both"/>
        <w:ind w:left="980" w:hanging="324"/>
        <w:spacing w:after="0" w:line="268" w:lineRule="auto"/>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upgrade strategy</w:t>
      </w:r>
      <w:r>
        <w:rPr>
          <w:rFonts w:ascii="Times New Roman" w:cs="Times New Roman" w:eastAsia="Times New Roman" w:hAnsi="Times New Roman"/>
          <w:sz w:val="18"/>
          <w:szCs w:val="18"/>
          <w:color w:val="auto"/>
        </w:rPr>
        <w:t>. In 2016 we started implementing a long-term strategy for supporting our installed base with upgrade paths to newer,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advanced, systems. The goal of this strategy is to allow our customers to extend the return on their investment in Kornit systems, and in return, we enjoy growth in capacity.</w:t>
      </w:r>
    </w:p>
    <w:p>
      <w:pPr>
        <w:spacing w:after="0" w:line="170" w:lineRule="exact"/>
        <w:rPr>
          <w:rFonts w:ascii="Times New Roman" w:cs="Times New Roman" w:eastAsia="Times New Roman" w:hAnsi="Times New Roman"/>
          <w:sz w:val="18"/>
          <w:szCs w:val="18"/>
          <w:b w:val="1"/>
          <w:bCs w:val="1"/>
          <w:color w:val="auto"/>
        </w:rPr>
      </w:pPr>
    </w:p>
    <w:p>
      <w:pPr>
        <w:jc w:val="both"/>
        <w:ind w:left="980" w:hanging="324"/>
        <w:spacing w:after="0" w:line="255" w:lineRule="auto"/>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Environmentally friendly printing processes</w:t>
      </w:r>
      <w:r>
        <w:rPr>
          <w:rFonts w:ascii="Times New Roman" w:cs="Times New Roman" w:eastAsia="Times New Roman" w:hAnsi="Times New Roman"/>
          <w:sz w:val="18"/>
          <w:szCs w:val="18"/>
          <w:color w:val="auto"/>
        </w:rPr>
        <w:t>. A significant portion of global industrial water pollution comes from textile dyeing, printing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finishing.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to conventional printing methods. In addition, our inks are biodegradable and certified by leading industry groups as being safe for system operators, consumers and the environment. Finally, our systems offer energy saving processes that result in the use of significantly less power compared to traditional printing processes. We believe that these environmental benefits will further drive market penetration of our solutions and enable manufacturers to move production closer to the consumer in a cost-effective manner.</w:t>
      </w:r>
    </w:p>
    <w:p>
      <w:pPr>
        <w:spacing w:after="0" w:line="181" w:lineRule="exact"/>
        <w:rPr>
          <w:rFonts w:ascii="Times New Roman" w:cs="Times New Roman" w:eastAsia="Times New Roman" w:hAnsi="Times New Roman"/>
          <w:sz w:val="18"/>
          <w:szCs w:val="18"/>
          <w:b w:val="1"/>
          <w:bCs w:val="1"/>
          <w:color w:val="auto"/>
        </w:rPr>
      </w:pPr>
    </w:p>
    <w:p>
      <w:pPr>
        <w:jc w:val="both"/>
        <w:ind w:left="980" w:hanging="324"/>
        <w:spacing w:after="0" w:line="256" w:lineRule="auto"/>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Strong management team</w:t>
      </w:r>
      <w:r>
        <w:rPr>
          <w:rFonts w:ascii="Times New Roman" w:cs="Times New Roman" w:eastAsia="Times New Roman" w:hAnsi="Times New Roman"/>
          <w:sz w:val="18"/>
          <w:szCs w:val="18"/>
          <w:color w:val="auto"/>
        </w:rPr>
        <w:t>. Our Chief Executive Officer, Gabi Seligsohn, and our Chief Financial Officer, Guy Avidan, bring extensive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of managing publicly traded companies. Our management team’s industry expertise, history with our company and extensive experience in running global publicly traded companies will enable us to execute our growth strategy. Our management infrastructure also includes executives who are experienced in the management of people, large scale business, innovation and product development in larger organizations including Intel, HP, KLA Tencor and Stratasys. Over the past three years, we have also invested heavily in human resources to support our growth. Since 2013, our workforce has more than doubled from 190 to 412 as of December 31, 2017. Additionally, more than 150 of our employees are in the field, enabling us to provide more localized service for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the key elements of our growth strategy:</w:t>
      </w:r>
    </w:p>
    <w:p>
      <w:pPr>
        <w:spacing w:after="0" w:line="221" w:lineRule="exact"/>
        <w:rPr>
          <w:sz w:val="20"/>
          <w:szCs w:val="20"/>
          <w:color w:val="auto"/>
        </w:rPr>
      </w:pPr>
    </w:p>
    <w:p>
      <w:pPr>
        <w:jc w:val="both"/>
        <w:ind w:left="980" w:hanging="324"/>
        <w:spacing w:after="0" w:line="255" w:lineRule="auto"/>
        <w:tabs>
          <w:tab w:leader="none" w:pos="9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Increase sales to existing customers</w:t>
      </w:r>
      <w:r>
        <w:rPr>
          <w:rFonts w:ascii="Times New Roman" w:cs="Times New Roman" w:eastAsia="Times New Roman" w:hAnsi="Times New Roman"/>
          <w:sz w:val="18"/>
          <w:szCs w:val="18"/>
          <w:color w:val="auto"/>
        </w:rPr>
        <w:t>. We are focused on increasing sales to existing customers by introducing new digital printing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developing new features and functionality of our systems, offering new system upgrade products, increasing sales of software and services, selling systems from our additional product families and enabling our customers to increase utilization of systems by improving productivity and reliability. We also intend to actively refer business to our customers by connecting them with online businesses that seek fulfillment partners, which will enhance customer intimacy. Our direct sales and marketing teams and application development professionals play an active role in customer education and this referral process. Our objective is to help customers operate their businesses more efficiently and to increase utilization of their systems, thereby requiring more ink and other consumables purchases as well as potential investment in new systems as our customers require additional capacity.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6" w:name="page37"/>
    <w:bookmarkEnd w:id="3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left="980" w:hanging="324"/>
        <w:spacing w:after="0" w:line="256" w:lineRule="auto"/>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Acquire new high volume customers</w:t>
      </w:r>
      <w:r>
        <w:rPr>
          <w:rFonts w:ascii="Times New Roman" w:cs="Times New Roman" w:eastAsia="Times New Roman" w:hAnsi="Times New Roman"/>
          <w:sz w:val="18"/>
          <w:szCs w:val="18"/>
          <w:color w:val="auto"/>
        </w:rPr>
        <w:t>. Our technology is ideally positioned to enable business models focused on mass customization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personalization. We plan to continue growing our customer base by targeting customers with growth business models and demand for our high throughput solutions, including multiple systems or fleets of our systems. An example of this strategy is the Master Purchase Agreement, signed on January 10, 2017, with an affiliate of Amazon.com, Inc. To date we have supplied several systems, large quantities of inks and consumables and have been providing paid service to multiple facilities. During the years 2016 and 2017, Amazon related revenues were $17.9 million and $14.4 million, respectively. We expect that our relationship with Amazon will continue to expand in the future and that they will remain a significant customer.</w:t>
      </w:r>
    </w:p>
    <w:p>
      <w:pPr>
        <w:spacing w:after="0" w:line="183" w:lineRule="exact"/>
        <w:rPr>
          <w:rFonts w:ascii="Times New Roman" w:cs="Times New Roman" w:eastAsia="Times New Roman" w:hAnsi="Times New Roman"/>
          <w:sz w:val="18"/>
          <w:szCs w:val="18"/>
          <w:b w:val="1"/>
          <w:bCs w:val="1"/>
          <w:color w:val="auto"/>
        </w:rPr>
      </w:pPr>
    </w:p>
    <w:p>
      <w:pPr>
        <w:jc w:val="both"/>
        <w:ind w:left="980" w:hanging="324"/>
        <w:spacing w:after="0" w:line="253" w:lineRule="auto"/>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Capitalize on growth in our targeted markets</w:t>
      </w:r>
      <w:r>
        <w:rPr>
          <w:rFonts w:ascii="Times New Roman" w:cs="Times New Roman" w:eastAsia="Times New Roman" w:hAnsi="Times New Roman"/>
          <w:sz w:val="18"/>
          <w:szCs w:val="18"/>
          <w:color w:val="auto"/>
        </w:rPr>
        <w:t>. Evolving consumer behavior is driving the growth in digital printing as well as the shift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online retail. Since the online shopping experience relies heavily on the display of large varieties of designs as well as short cycle times from order to delivery, webstores are faced with a need to carefully manage inventories, which requires the new paradigm of demand and supply. Our solutions enable our customers to print in smaller, customized quantities in a time efficient, cost-effective and environmentally-friendly manner, effectively leading them to move from customary methods of supply and demand to this new paradigm. Digital textile printing allows retailers to establish new fulfillment centers (or re-task existing ones) in different parts of the world to support consumers’ demand for variety, while shortening lead times from order to delivery and protecting against excess or obsolete inventory risks. With over 1,100 customers globally, many of which operate as fulfillment centers, we believe we are well positioned to play an enabling role for this trend. Our high throughput systems and proprietary inks ensure replicable quality and maximum uptime, which in turn, allow our customers to address the demands of online retail. We will continue tailoring our solutions to meet the needs of our customers in this evolving consumer environment through the ongoing development of our technology and the continued investment in the development of new ink formulas for our systems in order to expand the range of fabrics on which we can print and further improve the quality of our high resolution images and designs.</w:t>
      </w:r>
    </w:p>
    <w:p>
      <w:pPr>
        <w:spacing w:after="0" w:line="190" w:lineRule="exact"/>
        <w:rPr>
          <w:rFonts w:ascii="Times New Roman" w:cs="Times New Roman" w:eastAsia="Times New Roman" w:hAnsi="Times New Roman"/>
          <w:sz w:val="18"/>
          <w:szCs w:val="18"/>
          <w:b w:val="1"/>
          <w:bCs w:val="1"/>
          <w:color w:val="auto"/>
        </w:rPr>
      </w:pPr>
    </w:p>
    <w:p>
      <w:pPr>
        <w:jc w:val="both"/>
        <w:ind w:left="980" w:hanging="324"/>
        <w:spacing w:after="0" w:line="253" w:lineRule="auto"/>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Extend our serviceable addressable market (SAM) by continuing to enhance our solutions</w:t>
      </w:r>
      <w:r>
        <w:rPr>
          <w:rFonts w:ascii="Times New Roman" w:cs="Times New Roman" w:eastAsia="Times New Roman" w:hAnsi="Times New Roman"/>
          <w:sz w:val="18"/>
          <w:szCs w:val="18"/>
          <w:color w:val="auto"/>
        </w:rPr>
        <w:t>. We will continue to expand our SAM as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introduce new features and functionality that enhance the capabilities of our systems and inks, and enable our systems to print on new types of media. We are also continuing to drive adoption of digital DTG printing solutions by customers who primarily use screen printing carousels, which is how the majority of DTG printing jobs are currently performed. While we have started to penetrate this market by offering standalone DTG solutions, such as our Avalanche and Storm II systems, we plan to deepen our penetration and further transition users of these analog systems to digital printing technologies through our Vulcan system. Given Vulcan’s ease of setup, lower cost per print, and high throughput levels, we are seeking to disrupt the core screen printed textile industry and target replacement of a significant installed base of automated carousels. We have also begun to expand our SAM by selectively targeting the digital R2R market through our Allegro system, which offers customers the ability to produce limited quantity orders with a high degree of variety and uniquely supports multiple fabric types in a single-step R2R printing process. We believe that our technology portfolio and the industry expertise of our employees and partners will allow us to continue to deliver a broad base of textile solutions to our customers that meet the challenges of printing on textile substrates. Continuing to respond to these challenges will enable us to further expand our SAM as we produce higher quality prints on a wider set of fabrics. This will enable us to expand into areas such as the $97 billion “athleisure” market, where clothing designed for workouts and other athletic activities is worn in other settings.</w:t>
      </w:r>
    </w:p>
    <w:p>
      <w:pPr>
        <w:spacing w:after="0" w:line="186" w:lineRule="exact"/>
        <w:rPr>
          <w:rFonts w:ascii="Times New Roman" w:cs="Times New Roman" w:eastAsia="Times New Roman" w:hAnsi="Times New Roman"/>
          <w:sz w:val="18"/>
          <w:szCs w:val="18"/>
          <w:b w:val="1"/>
          <w:bCs w:val="1"/>
          <w:color w:val="auto"/>
        </w:rPr>
      </w:pPr>
    </w:p>
    <w:p>
      <w:pPr>
        <w:jc w:val="both"/>
        <w:ind w:left="980" w:hanging="324"/>
        <w:spacing w:after="0" w:line="254" w:lineRule="auto"/>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Extend our leadership position through ongoing investments in research and development, acquisitions and strategic partnerships</w:t>
      </w:r>
      <w:r>
        <w:rPr>
          <w:rFonts w:ascii="Times New Roman" w:cs="Times New Roman" w:eastAsia="Times New Roman" w:hAnsi="Times New Roman"/>
          <w:sz w:val="18"/>
          <w:szCs w:val="18"/>
          <w:color w:val="auto"/>
        </w:rPr>
        <w: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seek to continue to differentiate ourselves and extend our leadership position by investing in research and development, acquisitions and strategic partnerships. We intend to leverage our customer relationships to identify emerging industry needs and innovate and develop new intellectual property and applications that address those needs. We are also developing new systems and intend to develop and introduce additional systems in the future. From time to time, we may also supplement our internal efforts with complementary inorganic initiatives such as acquisitions and strategic partnerships in order to enhance our positioning. For example, our acquisition of Polymeric Imaging in 2015 expanded our ink technology capabilities, and our acquisition of the digital DTG printing assets of SPSI in 2016 enabled us to strengthen our sales channel and gain access to a large screen printing customer base that we can now target for sales of digital solutions. Each of these acquisitions enhanced the positioning of our company. Future acquisitions may also allow us to strengthen our existing portfolio of solutions or add new capabilities. In an effort to better inform current and prospective customers about the capabilities of our solutions, we have also made investments in our direct sales and marketing teams and application development professionals.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7" w:name="page38"/>
    <w:bookmarkEnd w:id="3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Systems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industrial segment of the DTG market: entry level and high throughput. As our business and marketplace has evolved, we have shifted the mix of our system sales primarily to high throughput systems.</w:t>
      </w:r>
    </w:p>
    <w:p>
      <w:pPr>
        <w:spacing w:after="0" w:line="178" w:lineRule="exact"/>
        <w:rPr>
          <w:sz w:val="20"/>
          <w:szCs w:val="20"/>
          <w:color w:val="auto"/>
        </w:rPr>
      </w:pPr>
    </w:p>
    <w:p>
      <w:pPr>
        <w:jc w:val="both"/>
        <w:ind w:left="980" w:hanging="324"/>
        <w:spacing w:after="0" w:line="261" w:lineRule="auto"/>
        <w:tabs>
          <w:tab w:leader="none" w:pos="98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Entry Level</w:t>
      </w:r>
      <w:r>
        <w:rPr>
          <w:rFonts w:ascii="Times New Roman" w:cs="Times New Roman" w:eastAsia="Times New Roman" w:hAnsi="Times New Roman"/>
          <w:sz w:val="18"/>
          <w:szCs w:val="18"/>
          <w:color w:val="auto"/>
        </w:rPr>
        <w:t>. We currently have one entry level system, our Breeze system. This system reduces the need for floor space for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by eliminating certain process steps and by consolidating multiple process steps into a single printing system. The Breeze allows businesses to adopt digital technology with a limited upfront investment and use the same technology as our high throughput systems but with smaller garment printing areas and at lower throughput levels.</w:t>
      </w:r>
    </w:p>
    <w:p>
      <w:pPr>
        <w:spacing w:after="0" w:line="180" w:lineRule="exact"/>
        <w:rPr>
          <w:rFonts w:ascii="Times New Roman" w:cs="Times New Roman" w:eastAsia="Times New Roman" w:hAnsi="Times New Roman"/>
          <w:sz w:val="18"/>
          <w:szCs w:val="18"/>
          <w:i w:val="1"/>
          <w:iCs w:val="1"/>
          <w:color w:val="auto"/>
        </w:rPr>
      </w:pPr>
    </w:p>
    <w:p>
      <w:pPr>
        <w:jc w:val="both"/>
        <w:ind w:left="980" w:hanging="324"/>
        <w:spacing w:after="0" w:line="257" w:lineRule="auto"/>
        <w:tabs>
          <w:tab w:leader="none" w:pos="98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Industrial Direct to Garment. </w:t>
      </w:r>
      <w:r>
        <w:rPr>
          <w:rFonts w:ascii="Times New Roman" w:cs="Times New Roman" w:eastAsia="Times New Roman" w:hAnsi="Times New Roman"/>
          <w:sz w:val="18"/>
          <w:szCs w:val="18"/>
          <w:color w:val="auto"/>
        </w:rPr>
        <w:t>We offer a wide range of high throughput systems. We market a hybrid platform, the Paradigm II,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connects to existing screen printing carousels for customers who want to combine short runs of multicolor images into their ongoing screen printing operations. Our mid-level platform, the Storm, which employs one axis of print heads and two pallets, consists of four models (Storm 2, Storm Hexa, Storm Duo and Storm 1000). Our next level of high throughput systems is based on the Avalanche platform which employs two print head axis with two pallets and also comes in four different models (Avalanche, Avalanche DC, Avalanche 1000, Avalanche Hexa, Avalanche 1000R, Avalanche HexaR).</w:t>
      </w:r>
    </w:p>
    <w:p>
      <w:pPr>
        <w:spacing w:after="0" w:line="184" w:lineRule="exact"/>
        <w:rPr>
          <w:rFonts w:ascii="Times New Roman" w:cs="Times New Roman" w:eastAsia="Times New Roman" w:hAnsi="Times New Roman"/>
          <w:sz w:val="18"/>
          <w:szCs w:val="18"/>
          <w:i w:val="1"/>
          <w:iCs w:val="1"/>
          <w:color w:val="auto"/>
        </w:rPr>
      </w:pPr>
    </w:p>
    <w:p>
      <w:pPr>
        <w:jc w:val="both"/>
        <w:ind w:left="98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2017, we introduced a significant product improvement on the Avalanche platform in the form of the new R-Series systems. Incorporating a new print heads technology and ink delivery system architecture, we introduced an advanced system for ink waste management, improving our customers profitability. The Avalanche 1000-R and the Avalanche Hexa-R systems replaced the former Avalanche 1000 and Avalanche Hexa systems respectively. In alignment with our products upgrade strategy an upgrade path from existing installed systems was also added to our product offering, allowing us to gain revenues from existing systems.</w:t>
      </w:r>
    </w:p>
    <w:p>
      <w:pPr>
        <w:spacing w:after="0" w:line="181"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8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Direct to Garment Mass Production</w:t>
      </w:r>
      <w:r>
        <w:rPr>
          <w:rFonts w:ascii="Times New Roman" w:cs="Times New Roman" w:eastAsia="Times New Roman" w:hAnsi="Times New Roman"/>
          <w:sz w:val="18"/>
          <w:szCs w:val="18"/>
          <w:color w:val="auto"/>
        </w:rPr>
        <w:t>. During 2016, we successfully commercially launched our new high throughput platform, the Vulcan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geared towards addressing the needs of mass production at a significantly lower cost per print relative to our other systems.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systems vary in throughput and productivity, applications of use, breadth of color gamut and cost per print. The underlying strategy behind our system lineup is to accommodate a variety of customer needs with a variety of capabilities and at a variety of price points. All of our DTG systems utilize our patented wet-on-wet printing methodology that involves spraying a wetting solution on the fabric before applying our proprietary pigment-based inks. 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methodology eliminates the common practice of separately coating and drying textiles prior to printing and allows for printing on a wide range of untreated fabrics.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8" w:name="page39"/>
    <w:bookmarkEnd w:id="3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Vulcan system is designed to enable mass production of customized garments with high and consistent printing quality. It is designed to run at throughputs higher than any of our existing systems. The system’s architecture takes a different ergonomic approach to the sequence of loading and unloading of garments than that of our existing systems, enabling higher throughputs. The system utilizes state of the art print head technology and specially designed inks which allow for significant reduction in cost per print due to an increase in color intensity which allows for use of less ink per printed area as well as a reduction in wasted ink as a result of a transition to recirculating print heads. We achieved initial sales of Vulcan in the fourth quarter of 2016. Given the Vulcan’s ease of setup and high throughput levels, we are seeking to disrupt the core screen printed textile industry and target replacement of a significant installed base of automated carousels. The Vulcan also capitalizes on our advanced print head and ink technology to limit waste, allowing for installation in locations where carousels cannot be installed due to environmental, health and safety laws and regulations.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Allegro system is the first R2R printing system to allow for one-step R2R printing. It combines a printing system and a drying and curing module so that a full end to end manufacturing process is enabled. Unlike the Allegro, all other R2R printers require additional steps. The Allegro takes advantage of our patented wet-on-wet methodology to allow for in-line printing on various fabrics, without requiring a separate pre-treatment process, thereby avoiding the need to use textiles that are specifically pre-treated for digital printing. The Allegro is designed to achieve high throughputs and does not require water or steam for any part of the printing process, making it friendly to the environment. By using our proprietary pigment-based ink, Allegro can print on a variety of natural and synthetic fabrics providing customers with a significant level of flexibility. Other dye-based systems are specifically designed to print on specific fabric types and cannot be used with other types of fabric as the processes and consumables used vary considerably from one to the other.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systems range in price from $60,000 to over $800,000 and consume an average of $5,000 to $300,000 of ink and consumables annually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DTG Systems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key aspects of our DTG systems, all of which are compatible with a wide range of fabrics, including cotton, wool, polyester, lycra and denim and print at maximum resolutions ranging from 600 to 1,200 DPI. Our systems are currently unable to print at a level of quality acceptable for large scale manufacturing on dyed polyester or nylon. However, we are in advanced stages of developing the capability to print on dyed polyester, giving us the opportunity to penetrate the $97 billion athleisure market.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Effective Throughput</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8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System</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Target Customer</w:t>
            </w:r>
          </w:p>
        </w:tc>
        <w:tc>
          <w:tcPr>
            <w:tcW w:w="2380" w:type="dxa"/>
            <w:vAlign w:val="bottom"/>
            <w:gridSpan w:val="2"/>
          </w:tcPr>
          <w:p>
            <w:pPr>
              <w:jc w:val="center"/>
              <w:ind w:right="120"/>
              <w:spacing w:after="0" w:line="275" w:lineRule="exact"/>
              <w:rPr>
                <w:sz w:val="20"/>
                <w:szCs w:val="20"/>
                <w:color w:val="auto"/>
              </w:rPr>
            </w:pPr>
            <w:r>
              <w:rPr>
                <w:rFonts w:ascii="Times New Roman" w:cs="Times New Roman" w:eastAsia="Times New Roman" w:hAnsi="Times New Roman"/>
                <w:sz w:val="18"/>
                <w:szCs w:val="18"/>
                <w:b w:val="1"/>
                <w:bCs w:val="1"/>
                <w:color w:val="auto"/>
                <w:w w:val="96"/>
              </w:rPr>
              <w:t>Light/Dark Garments</w:t>
            </w:r>
            <w:r>
              <w:rPr>
                <w:rFonts w:ascii="Times New Roman" w:cs="Times New Roman" w:eastAsia="Times New Roman" w:hAnsi="Times New Roman"/>
                <w:sz w:val="30"/>
                <w:szCs w:val="30"/>
                <w:b w:val="1"/>
                <w:bCs w:val="1"/>
                <w:color w:val="auto"/>
                <w:w w:val="96"/>
                <w:vertAlign w:val="superscript"/>
              </w:rPr>
              <w:t>(1)</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Colors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 Printing Area</w:t>
            </w:r>
          </w:p>
        </w:tc>
      </w:tr>
      <w:tr>
        <w:trPr>
          <w:trHeight w:val="216"/>
        </w:trPr>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Breeze</w:t>
            </w:r>
          </w:p>
        </w:tc>
        <w:tc>
          <w:tcPr>
            <w:tcW w:w="1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Entry Level</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CMYK + White</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 x 18 in</w:t>
            </w: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Storm II</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High Throughput</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120/65</w:t>
            </w:r>
          </w:p>
        </w:tc>
        <w:tc>
          <w:tcPr>
            <w:tcW w:w="100" w:type="dxa"/>
            <w:vAlign w:val="bottom"/>
          </w:tcPr>
          <w:p>
            <w:pPr>
              <w:spacing w:after="0"/>
              <w:rPr>
                <w:sz w:val="18"/>
                <w:szCs w:val="18"/>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CMYK + White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 x 28 in</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Storm 1000</w:t>
            </w:r>
          </w:p>
        </w:tc>
        <w:tc>
          <w:tcPr>
            <w:tcW w:w="2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High Throughput</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170/85</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CMYK + White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 x 28 in</w:t>
            </w: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Storm Hexa</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High Throughput</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170/85</w:t>
            </w:r>
          </w:p>
        </w:tc>
        <w:tc>
          <w:tcPr>
            <w:tcW w:w="100" w:type="dxa"/>
            <w:vAlign w:val="bottom"/>
          </w:tcPr>
          <w:p>
            <w:pPr>
              <w:spacing w:after="0"/>
              <w:rPr>
                <w:sz w:val="18"/>
                <w:szCs w:val="18"/>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CMYKRG + White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 x 28 in</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Storm Duo</w:t>
            </w:r>
          </w:p>
        </w:tc>
        <w:tc>
          <w:tcPr>
            <w:tcW w:w="2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High Throughput</w:t>
            </w:r>
          </w:p>
        </w:tc>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190/N.A</w:t>
            </w:r>
          </w:p>
        </w:tc>
        <w:tc>
          <w:tcPr>
            <w:tcW w:w="2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CMYK + White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 x 28 in</w:t>
            </w: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Avalanche</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High Throughput</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150/100</w:t>
            </w:r>
          </w:p>
        </w:tc>
        <w:tc>
          <w:tcPr>
            <w:tcW w:w="100" w:type="dxa"/>
            <w:vAlign w:val="bottom"/>
          </w:tcPr>
          <w:p>
            <w:pPr>
              <w:spacing w:after="0"/>
              <w:rPr>
                <w:sz w:val="18"/>
                <w:szCs w:val="18"/>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CMYK + White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23.5 x 35 in</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Avalanche DC Pro</w:t>
            </w:r>
          </w:p>
        </w:tc>
        <w:tc>
          <w:tcPr>
            <w:tcW w:w="2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High Throughput</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150/100</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CMYK + White + Discharge ink</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23.5 x 35 in</w:t>
            </w: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Avalanche 1000</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High Throughput</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220/160</w:t>
            </w:r>
          </w:p>
        </w:tc>
        <w:tc>
          <w:tcPr>
            <w:tcW w:w="100" w:type="dxa"/>
            <w:vAlign w:val="bottom"/>
          </w:tcPr>
          <w:p>
            <w:pPr>
              <w:spacing w:after="0"/>
              <w:rPr>
                <w:sz w:val="18"/>
                <w:szCs w:val="18"/>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CMYK + White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23.5 x 35 in</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Avalanche Hexa</w:t>
            </w:r>
          </w:p>
        </w:tc>
        <w:tc>
          <w:tcPr>
            <w:tcW w:w="2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High Throughput</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180/140</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CMYKRG + White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23.5 x 35 in</w:t>
            </w: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Paradigm II</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High Throughput</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120/120</w:t>
            </w:r>
          </w:p>
        </w:tc>
        <w:tc>
          <w:tcPr>
            <w:tcW w:w="100" w:type="dxa"/>
            <w:vAlign w:val="bottom"/>
          </w:tcPr>
          <w:p>
            <w:pPr>
              <w:spacing w:after="0"/>
              <w:rPr>
                <w:sz w:val="18"/>
                <w:szCs w:val="18"/>
                <w:color w:val="auto"/>
              </w:rPr>
            </w:pP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CMYK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15.5 x 19.5 in</w:t>
            </w: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Vulcan</w:t>
            </w:r>
          </w:p>
        </w:tc>
        <w:tc>
          <w:tcPr>
            <w:tcW w:w="2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High Throughput</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250/250</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CMYKRG + White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 x 39 in</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output for sellable product for dark and light garments. Output for all systems, except the Vulcan, is measured in High Productivity print mode using A4 size prints per hour with pretreatment included. Output for the Vulcan system is measured in Standard print mode using 12 x 12 in size prints per hour with pretreatment included.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9" w:name="page40"/>
    <w:bookmarkEnd w:id="3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Ink and Other Consumables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ink and other consumables consist of our patented NeoPigment ink, proprietary binding agent, priming fluid, wiping fluid, and flushing fluid. Our pigment based inks are available in ten colors and are formulated for optimal use exclusively in our systems. Our patented wet-on-wet printing methodology combines the use of pigments rather than dyes in conjunction with our proprietary binding agent, and allows us to print on a wide range of fabrics without the need for a separate pre-treatment process or system reconfiguration, resulting in minimal setup times for each run and high throughput levels. Given the proprietary nature of our printing methodology, our ink and consumables attachment rate is near 100%. We also continuously invest in the development of new ink formulas for our systems in order to expand the range of fabrics on which we can print, further increase the quality of our high resolution images and designs and improve color fastness.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the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 resolution images and designs without compromising the texture or feel of the garment.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Solutions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our DTG systems arrive with our QuickP Production software embedded. The software manages the system operation and prepares image files for print. QuickP Production is a simple to use solution that allows users to control key operating parameters, such as ink dots per inch, or DPI, perform maintenance and calibration procedures and import image files and prepare them for print.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of our customers also purchase our QuickP Designer standalone software. QuickP Designer is a software package that combines our own internally developed Raster Image Processing, or RIP, software with other print job management capabilities and includes an advanced ink consumption estimation tool. A single QuickP Designer license can be used to support multiple Kornit systems.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offer our QuickP Plus 2.0 software suite, which provides customers with a full workflow solution from design creation and acceptance of job orders through production and order management.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an effort to continually increase our customers’ productivity and ease of use, we initiated several collaborative efforts during 2017 with a few software companies. For example, we entered into a collaboration with Custom Gateway. As part of this collaboration, Custom Gateway provides a framework for enabling mass customization and on demand fulfilment and enables Kornit’s customers to sell customizable products online. We have also collaborated with ColorGate, which provides a professional RIP solution for our systems, allowing Kornit’s customers to gain both an outstanding print output and an optimized workflow experience.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40" w:name="page41"/>
    <w:bookmarkEnd w:id="4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services consist of maintenance and support, and professional services. We are seeking to increase the number of customers that rely on us to provide services for their systems by expanding our service capabilities. As of December 31, 2017, we had service contracts in place with approximately 13% of our installed base. Service revenues exceeded 10% of our overall revenues for the first time in 2017 and amounted to $12.1 million. In addition to driving gross margin improvement, we believe this will provide us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During 2016, we began to introduce hardware and software upgrades to our existing systems.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Maintenance and Support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typically provide a one-year warranty on our systems, which covers parts, labor and remote support. Our customers can also purchase an additional year of warranty coverage in conjunction with their initial purchase of our systems. Thereafter,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 In the United States, we provide maintenance and support directly to our customers. In EMEA, we provide maintenance and support to approximately half of our customers, depending on their location. In the Asia Pacific region, our independent distributors provide initial maintenance and support, and we provide second-line support when needed. Some of our printing systems include mandatory second year warranty which secures services revenue and ensures long terms relationship with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systems are designed such that customers can operate them without our assistance or that of our independent distributors. However, nearly all customers purchase our basic installation package and some take our advanced training program. Our advanced training program is an onsite tutorial ranging from three to five days, which includes customized consulting aimed at optimizing the use of our systems. Courses are also provided at our regional offices. We continuously seek to expand the number and content of the training programs. We provide professional services to customers in all regions both in person and through advanced web based learning systems.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diverse global customer base consisted of over 1,100 customers as of December 31, 2017.</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Throughout our growing installed base, our customers are able to serve a variety of different business models, particularly the new business models that have developed in response to the evolution of consumer trends and the rapid growth of the online retail market. Our solutions enable this category of “web-to-print” businesses to fulfill consumer demand more quickly and cost-effectively in a manner that is differentiated from traditional brick and mortar businesses. A number of large scale web-to-print platforms have emerged. These platforms often leverage digital printing solutions to facilitate business for other content providers.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ecosystem of web-to-print businesses which we currently serve includes:</w:t>
      </w:r>
    </w:p>
    <w:p>
      <w:pPr>
        <w:spacing w:after="0" w:line="223" w:lineRule="exact"/>
        <w:rPr>
          <w:sz w:val="20"/>
          <w:szCs w:val="20"/>
          <w:color w:val="auto"/>
        </w:rPr>
      </w:pPr>
    </w:p>
    <w:p>
      <w:pPr>
        <w:ind w:left="980" w:hanging="324"/>
        <w:spacing w:after="0" w:line="284" w:lineRule="auto"/>
        <w:tabs>
          <w:tab w:leader="none" w:pos="98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Self-Fulfillment</w:t>
      </w:r>
      <w:r>
        <w:rPr>
          <w:rFonts w:ascii="Times New Roman" w:cs="Times New Roman" w:eastAsia="Times New Roman" w:hAnsi="Times New Roman"/>
          <w:sz w:val="18"/>
          <w:szCs w:val="18"/>
          <w:color w:val="auto"/>
        </w:rPr>
        <w:t>. Companies manufacturing and selling their own designs which are advertised on their own websites and through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means.</w:t>
      </w:r>
    </w:p>
    <w:p>
      <w:pPr>
        <w:spacing w:after="0" w:line="158"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8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Hybrid Printers. </w:t>
      </w:r>
      <w:r>
        <w:rPr>
          <w:rFonts w:ascii="Times New Roman" w:cs="Times New Roman" w:eastAsia="Times New Roman" w:hAnsi="Times New Roman"/>
          <w:sz w:val="18"/>
          <w:szCs w:val="18"/>
          <w:color w:val="auto"/>
        </w:rPr>
        <w:t>Companies who both manufacture in-house and outsource manufacturing to third party fulfillment providers, who are often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our customers.</w:t>
      </w:r>
    </w:p>
    <w:p>
      <w:pPr>
        <w:spacing w:after="0" w:line="158"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8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Third Party Fulfillment Centers. </w:t>
      </w:r>
      <w:r>
        <w:rPr>
          <w:rFonts w:ascii="Times New Roman" w:cs="Times New Roman" w:eastAsia="Times New Roman" w:hAnsi="Times New Roman"/>
          <w:sz w:val="18"/>
          <w:szCs w:val="18"/>
          <w:color w:val="auto"/>
        </w:rPr>
        <w:t>Companies serving as third party fulfillment for other businesses. Third party fulfillment providers include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our customers. Demand for these businesses is typically generated online through other web retailers.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41" w:name="page42"/>
    <w:bookmarkEnd w:id="4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Proximity to the end customer is a key factor for these businesses since it minimizes shipping costs and enables them to offer rapid turnaround to consumers, which is a key factor in choosing where to buy online apparel. In many cases, retailers have asked us for assistance in identifying our local customers to help with their fulfillment.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10.D - Material Contracts - Agreements with Amazon.”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go to market strategy consists of a hybrid model of indirect and direct sales. We generate a significant portion of our sales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Some of our independent distributors have our systems available for tradeshows, product demonstrations at their facilities, and other promotional activities. As of December 31, 2017, our global network of channel partners consisted of approximately 70 independent distributors and resellers. Sales by our distributors accounted for approximately 49% of our revenues in 2017, approximately 47% of our revenues in 2016 and approximately 64% in 2015. In addition to working closely with our channel partners, our direct sales force engages in direct sales in certain geographies, and also with our largest customers, irrespective of their location. We continually evaluate our go to market strategy in the geographies we serve in an effort to best serve our direct or indirect customers. As our roadmap continues to evolve, the sophistication of our systems and our selling prices will require us to continue to advance the capabilities of our sales and marketing teams as well as those of our distributors.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substantial portion of our sales in North America are performed through independent distributors. Hirsch International Corporation and SPSI, Inc. were our top two independent distributors by revenues in 2015 and 2016, accounting for 18% and 21% of our revenues in each such period in the case of Hirsch, and 15% and 7% of our revenues in each such period in the case of SPSI. Hirsch was our top independent distributor in 2017, accounting for 18% of our revenues. We entered into a distributor agreement with Hirsch, dated April 1, 2014, with an initial term of three years, which renews automatically for successive one-year periods unless one party notifies the other party that it does not wish to renew the agreement, by providing 90 days’ notice prior to the end of the initial term of renewal period, as applicable. The agreement renewed automatically in April 2017. Our agreement with Hirsch is a non-exclusive distribution contract across North America, including 28 states concentrated on the East and West Coasts of the United States, as well as five Canadian provinces. We maintain projected sales plans for a number of different systems on a yearly basis and there is a minimum yearly sales requirement for systems and ink and other consumables.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2016 we acquired the digital direct to garment printing assets of SPSI. We had been partners with SPSI since 2004 and our agreement with SPSI was previously a non-exclusive distribution contract across the United States, including 20 states mainly in the Midwest, Northwest and Southwest regions. The decision to acquire the SPSI assets was made in light of the fact that the territory covered by SPSI had an increasing number of larger accounts which required a more direct relationship with such customers. By fostering direct relationships with these customers, we aim to deepen our technical relationship with them as well better align our product roadmap to meet their needs. Through the acquisition we attained access to over 5,000 screen printing customers of SPSI, who represent a market opportunity for us to potentially provide systems that will facilitate their transition to digital printing. During 2017, we increased our sales headcount in the United States and split the region into three sub-territories in order to increase our presence in the market. We also signed on two new distributors for the United States. As part of this effort we also decided to transition our US headquarters to New Jersey.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marketing strategy is aimed at positioning us as a global leader in digital textile printing. We are focused on increasing awareness of our brand and communicating the benefits of our disruptive technology and how it addresses market needs in order to develop leads and increase sales to existing customers. We market our systems as a comprehensive solution to the growing trend towards mass customization and personalization. We seek to execute our strategy by leveraging a combination of internal marketing professionals and a network of channel partners to communicate the value proposition and differentiation of our systems, generating qualified leads for our direct sales force and channel partners. By investing in analytics-driven lead development and through detailed interactions with key customers, we seek to create and update our product roadmaps and individual marketing plans to optimize distribution while helping facilitate the process of release, ramp-up and sales.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42" w:name="page43"/>
    <w:bookmarkEnd w:id="4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a variety of advanced inbound and outbound online marketing methods to reach and communicate with potential customers. Inbound methods include a variety of online marketing strategies comprised of search marketing (for example, search engine optimization and pay per click advertising), social media, blogs, syndication, webinars and white papers. Outbound channels include a fully automated e-mailer and web based customer nurturing and scoring process, as well as more traditional marketing methods such as print advertisements, direct mail and e-mail, tradeshows, newsletters and referrals. In addition, we have developed domestic and international onsite demonstration capabilities in our regional offices in the United States, Germany, Hong Kong and China and we also rely on demonstration facilities setup by our channel partners.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Inventory and Suppliers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systems are currently assembled by Flex Ltd., or Flex, at its facilities in Yavne, Israel and ITS Industrial Techno-logic Solutions Ltd., or ITS, at its facilities in Rosh Ha’Ayin, Israel. Aside from our print heads, we source many of the components of our systems directly, which we believe allows us to manage our material costs and take advantage of the overall volume of systems manufactured at both facilities without the overhead of having in house manufacturing.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entered into a manufacturing services agreement with Flex in May 2015, pursuant to which Flex manufactures our Avalanche, Storm, Breeze and Paradigm II systems and also manufactures our Vulcan system on a full turnkey basis in accordance with our bill of materials, drawings and designs. The initial term of the agreement is three years and it renews automatically for additional periods of 24 months unless notice of termination is given by either party at least 180 days prior to the end of the initial term or a renewal term. The agreement was automatically renewed in May 2017 for an addition 24-month period. We can terminate the agreement at any time upon 180 days’ notice and Flex may terminate the agreement at any time upon 365 days’ notice. Prices are set in advance for periods of 18 months but are subject to change based on certain enumerated circumstances set forth in the agreement or as agreed between Flex and us.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agreement with ITS for manufacture of certain of our systems terminated in November 2017. We are currently negotiating with ITS on an agreement pursuant to which ITS will continue to provide manufacturing services for one of our systems for a limited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entered into a letter of agreement with Sanmina SCI-Israel Medical Systems Ltd. on September 7, 2017, pursuant to which Sanmina will manufacture, assemble, test, inspect configure and ship our products. The letter of agreement is in effect for a period of six months and thereafter it shall be renewed automatically for additional 90 days, unless one party provides the other with 30 days’ notice before the automatic renewal date. The parties are negotiating the terms of a binding agreement.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produce and bottle our ink and other consumables at our facility in Kiryat Gat, Israel using raw materials purchased from various suppliers for milling pigments and mixing, bottling and packaging.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and Suppliers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purchase our print heads from FujiFilm Dimatix, Inc., or FDMX, and then customize them at our Kiryat Gat, Israel facility, for optimal use in our systems. We maintain an inventory of parts to facilitate the timely assembly of our systems and for servicing our installed base. Most components are available from multiple suppliers, although certain components used in our systems and consumables are only available from single or limited sources.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43" w:name="page44"/>
    <w:bookmarkEnd w:id="4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first entered into an agreement with FDMX in 2006. In December 2015, we entered into a new agreement with FDMX. Pursuant to this agreement, FDMX sells us print heads and additional by-products. Under the agreement, we are entitled to sell, lease and use the FDMX products and components subject to certain limitations, including the use of FDMX products or components for applications other than printing images and designs on textiles, reselling print heads other than as integral components of our systems, or as spare or replacement parts, and distributing in markets reserved by FDMX. The agreement with FDMX also provides that we are required to make an additional semi-annual payment to FDMX based on the amount of inks, other than inks and other consumables sold by FDMX, that we sell over a relevant period or, if we do not sell ink and other consumables, a payment based on sales of our systems. We have granted customary audit rights to FDMX to verify the amount of sales that we make. The agreement provides that beginning with the start of the first one-year renewal period, FDMX may increase the prices of the products that we purchase from it upon 90-days’ prior notice, subject to certain conditions. Our current agreement terminates in December 2019 and provides for one three-year renewal period and one-year renewal periods thereafter. Our agreement further provides that FDMX may, at its option, discontinue products supplied under the agreement, provided that we are given one year’s notice of the planned discontinuance and are provided with an end of life purchase program.</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chemical used in some of our inks is supplied by BG Bond. We entered into an agreement with BG Bond in December 2016 pursuant to which we agree to purchase and BG Bond agrees to produce this chemical at set prices. In exchange for an upfront payment, which is refundable upon the purchase of the chemical, BG Bond agreed to install additional equipment dedicated to the production of the chemical. The agreement is for a term of five years or until we purchase a certain agreed upon minimum quantity and cannot be terminated by us other than in case of material breach by BG Bond. For some of our other inks, this chemical is supplied by The Dow Chemical Corporation, a large multinational manufacturer of chemicals. We currently purchase the chemical from The Dow Chemical Corporation on a purchase order basis.</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component of our some of our systems is supplied by a sole supplier, Adelco Screen Process Ltd. We currently purchase this component on a purchase order basis.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consider our single and limited-source suppliers to be reliable, but the loss of any one of these suppliers could result in the delay of the manufacture and delivery of our systems. In order to minimize the risk of any impact from a disruption or discontinuation in the supply of print heads, emulsion or components from limited source suppliers, we maintain an additional inventory of such components. Nevertheless, such inventory may not be sufficient to enable us to continue supplying our products during the period that may be required to locate and qualify a new supplier. See “Risk Factors — If our relationships with suppliers, especially with single source suppliers of components, were to terminate, our business could be harmed.”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continued investment in research and development is important to position us as a global leader in digital textile printing. We conduct our research and development activities in Israel and we believe this provides us with access to world-class engineers and chemists. Our research and development efforts are focused on improving and enhancing our existing systems and services, as well as developing new systems, software, features and functionality. We are also focused on enhancing our current DTG systems with new features and functionality, improving system reliability and uptime and making our systems even more user-friendly, and investing in new chemistry for broadening our span of applications. Our research and development expenses were $12.0 million, $17.4 million and $20.8 million in the years ended December 31, 2015, 2016 and 2017,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consider our proprietary technology to be important to the development, manufacture, and sale of our systems and seek to protect such technology through a combination of patents, trade secrets, confidentiality agreements and other contractual arrangements with our employees, consultants, customers and manufacturers.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2017, we owned fourteen issued patents in the United States and twenty-two provisional or pending U.S. patent applications. We also had eleven patents issued in non-U.S. jurisdictions, along with twenty-seven pending non-U.S. applications, and have ten pending Patent Cooperation Treaty patent applications, which are counterparts of our U.S. patent applications. The non-U.S. jurisdictions in which we have issued patents or pending applications are China, the European Union or European countries of the European Union, Hong Kong, Israel, Canada, Australia, Republic of Korea, South Africa, Vietnam, Philippines, Thailand, Brazil, El Salvador, Dominican Republic and India. The principal granted patents relate to our wet-on-wet printing methodology, ink formulations, printing processes and related methods and systems, with expiration dates ranging from 2020 to 2035.</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44" w:name="page45"/>
    <w:bookmarkEnd w:id="4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 into confidentiality agreements with our employees, consultants, channel partners, customers and manufacturers and limit internal and external access to, and distribution of, our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we own the registered trademarks “KORNIT,” “NEOPIGMENT” and the “K” logo, in numerous jurisdictions and make use of a number of additional unregistered trademarks.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that our patents or other intellectual property rights will afford us a meaningful competitive advantage. We believe that our success depends primarily on our research and development, marketing, business development, applications know-how and service support teams and application experts as well as our ongoing relationships with our large customer base. Accordingly, we believe that the expiration or termination of any of our patents or patent licenses, or the failure of any of our patent applications to result in an issued patent, would not have a material adverse effect on our business or financial position.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Textile printing is most commonly conducted using automated carousel screen printing. In recent years, manufacturers of digital printers have increased their penetration of this market. As such, we compete with companies that manufacture automated carousel screen printers as well as those that manufacture digital printers. Our principal competitor in the high throughput digital DTG market is Aeoon Technologies GmbH. We also face competition from Brother International Corporation, Seiko Epson Corporation and a number of smaller competitors with respect to our entry level systems. Our technologies allow us to offer a wide spectrum of digital textile printing systems of varying features, capacities and price points. We believe that this strategy will enable us to effectively compete with the other textile printer and ink manufacturers in the digital DTG market.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Within the R2R market, we continue to see conversion from rotary screen printing to digital printing, as high throughput digital R2R systems are now increasingly capable of printing complex, customized images and designs. Our competitors in the R2R market include Dover Corporation, through its MS Printing Solutions S.r.l. subsidiary, Durst Phototechnik AG, Electronics for Imaging, Inc., through its Reggiani Macchine SpA subsidiary, Mimaki Engineering Co., Ltd., and a number of smaller competitors. Our digital R2R solutions offer customers the ability to produce limited quantity orders, with a high degree of variety, and allow us to uniquely support multiple fabric types in a single step R2R printing process, whereas competitive solutions require multiple pre-processing and post-processing steps. We believe our differentiated, end-to-end solutions will enable us to effectively compete with other textile printer and ink manufacturers in the digital R2R market.</w:t>
      </w:r>
    </w:p>
    <w:p>
      <w:pPr>
        <w:spacing w:after="0" w:line="18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corporate structure consists of Kornit Digital Ltd., our Israeli parent company, and five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(4) Kornit Digital Asia Pacific Limited, which was incorporated on November 18, 2009 under the laws of Hong Kong, and (5) Kornit Digital UK Ltd., which was incorporated on August 30, 2017 under the laws of England and Wales.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45" w:name="page46"/>
    <w:bookmarkEnd w:id="4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Property, Plants and Equipment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corporate headquarters are located in Rosh Ha’Ayin, Israel in an office and research and development facility consisting of approximately 82,000 square feet. The lease for this office expires in December 2020, with an option to extend the lease for an additional five years. We lease an additional facility of approximately 8,000 square feet near our corporate headquarters. The lease for this additional space expires in December 2020, with an option to extend the lease for an additional 18 months. In Israel, we also lease a manufacturing facility in Kiryat Gat, which consists of approximately 15,000 square feet. The lease for the Kiryat Gat manufacturing facility expires on May 31, 2021, and we have an option to lease this facility for an additional three years. We can terminate this lease by providing 180 days’ prior notice. The current utilization of the total production capacity at this facility would allow us to more than double our current output at the facility by increasing the number of shifts on the existing production lines by hiring additional manufacturing personnel and without requiring us to expand the physical structure of the facility. We have secured a location for a new, modern, manufacturing facility that we intend to build in Kiryat Gat with the goal of increasing operational efficiency and providing for improved safety and security. Construction is currently expected to begin in 2019 and to be completed by 2021. We currently expect to incur capital expenditures for the new facility in order to complete the acquisition of the property and building of this facility.</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U.S. offices are located in Mequon, Wisconsin, consisting of approximately 12,000 square feet. The lease for this office expires in June 2018. We intend to relocate our US offices to Englewood, New Jersey. We have entered into a lease for our new headquarters in the United States, which is comprised of approximately 15,845 square feet of offices and warehouse expiring in February 2028. The lease for this location expires in February 2028. We intend to maintain a smaller office in Mequon following such relocation. We maintain additional sales, support and marketing offices in Dusseldorf, Hong Kong, Shanghai and Florida.</w:t>
      </w:r>
    </w:p>
    <w:p>
      <w:pPr>
        <w:spacing w:after="0" w:line="18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u w:val="single" w:color="auto"/>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Operating and Financial Review and Prospects.</w:t>
      </w:r>
    </w:p>
    <w:p>
      <w:pPr>
        <w:spacing w:after="0" w:line="2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The information contained in this section should be read in conjunction with our financial statements for the year ended December 31, 2017 and related notes and the information contained elsewhere in this annual report. Our financial statements have been prepared in accordance with U.S. GAAP. This discussion contains forward-looking statements that are subject to known and unknown risks and uncertainties. As a result of many factors, such as those set forth under “ITEM 3.D. Risk Factors” and “Cautionary Note Regarding Forward-Looking Statements,” our actual results may differ materially from those anticipated in these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DTG and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46" w:name="page47"/>
    <w:bookmarkEnd w:id="4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Building on the expertise and capabilities we have accumulated in developing and offering differentiated solutions for the DTG market, we market a digital printing solution, the Allegro, targeting the R2R market. While the DTG market generally involves printing on finished garments, the R2R market is focused on printing on fabrics that are subsequently converted into finished garments, home or office décor and other items. The Allegro utilizes our proprietary wet-on-wet printing methodology and houses an integrated drying and curing system. We primarily market the Allegro to web-based businesses that require a high degree of variety and limited quantity orders, as well as to fabric converters, which source large quantities of fabric and convert untreated fabrics into finished materials to be sold to garment and home décor manufacturers. We believe that with the Allegro we are well positioned to take advantage of the growing trend towards customized home décor. We began selling the Allegro commercially in the second quarter of 2015.</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go to market strategy consists of a hybrid model of indirect and direct sales. We generate a significant portion of our sales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Maintenance and support for our systems is performed either by our own service organization or by service engineers employed by our distributors. This varies among the four regions that we currently serve, depending on the infrastructure we have established in each particular region. We provide professional services directly to some of our customers in all regions. Our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an attractive business model that results in recurring sales of ink and other consumables driven by our growing installed base of systems. Our ink and other consumables are specially formulated to enable our systems to operate at the highest throughput level while adhering to high print quality requirements.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intend to capitalize on the continued growth of the DTG market by expanding our diverse global customer base, with particular focus on the fast-growing web-to-print businesses. We also seek to increase our sales to existing customers, particularly sales of our ink and other consumables. At the same time, we look to acquire new high-volume customers, which drives higher sales of ink and other consumables. We are also seeking to extend our serviceable addressable market by introducing new features and functionality that enhance the capabilities of our systems and inks, and enable our systems to print on new types of media. We plan to accomplish these goals by investing in our direct sales force, developing new applications for our systems, introducing new solutions and growing our relationships with channel partners.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were founded in 2002 in Israel and shipped our first system in 2005. As of December 31, 2017, we had 412 employees located across four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Israel, the United States, Europe and the Asia Pacific region.</w:t>
      </w:r>
    </w:p>
    <w:p>
      <w:pPr>
        <w:spacing w:after="0" w:line="20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w:t>
        <w:tab/>
        <w:t>Operating Results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section should be read in conjunction with our audited financial statements for the years ended December 31, 2015, 2016 and 2017 and related notes and the information contained in ITEM 18. Financial Statements. Our financial statements have been prepared in accordance with GAAP</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Statement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Systems, Ink and Other Consumables, Value Added Services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Substantially all of our revenues are generated from sales of our systems and ink and other consumables. Prior to 2017, we derived, and in the near term we expect to continue to derive, a majority of our revenues from sales of our systems. However, in 2017, due to lower systems sales which resulted in large part from the delay in receipt of permits for a new site for one of our large customers in the United States, we derived a larger portion of our revenues from sales of ink and consumables. In the medium term, we are targeting an equal mix of revenues from our systems compared to ink and other consumable. We do not consider the period to period change in our total installed base to be a helpful metric in assessing our performance because we currently sell a number of different systems that have significantly different throughput characteristics and average selling prices. Accordingly, since we have not experienced material changes in the prices at which we sell ink and other consumables, we believe the best measure of the success of our strategy is the amount of the increase in revenues from ink and other consumables that is generated in each period.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47" w:name="page48"/>
    <w:bookmarkEnd w:id="4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generate the services portion of our revenues from the provision of spare parts to our distributors and customers, post-warranty service contracts, value added services consisting of time and material based support and system upgrades.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sell our products directly and through independent distributors who resell them to customers. Sales by our distributors accounted for approximately 47% of our revenues in 2016 and approximately 49% of our revenues during 2017. On July 1, 2016, we completed the acquisition of the DTG assets of one of our distributors in the United States, which increased our direct sales during 2016, however, our direct sales decreased in 2017 as we strengthened our relationships with our distributors and added more distributors in the United States.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 revenues from sales of our systems upon delivery, provided that all other revenue recognition criteria are met. In respect of sale of systems with installation and training, we consider the installation and training to be not essential to the functionality of the systems. Therefore, we recognize the revenues upon delivery in accordance with the agreed-upon delivery terms once all other revenue recognition criteria have been met. Revenues from provision of value added services are generally recognized at the time such support services are provided.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periodically provide customer incentive programs including product discounts, volume-based rebates and warrants, which are accounted for as reductions to revenue in the period in which the revenue is recognized. These reductions to revenue are made based upon reasonable and reliable estimates that are determined by historical experience and the specific terms and conditions of the incentive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“—Critical Accounting Policies—Revenue Recognition”.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Breakdown of Revenues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geographic breakdown of revenues from sales to customers located in the regions indicated below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42,528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63,656</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58.6%</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60,541</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21,600</w:t>
            </w:r>
          </w:p>
        </w:tc>
        <w:tc>
          <w:tcPr>
            <w:tcW w:w="26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24,720</w:t>
            </w:r>
          </w:p>
        </w:tc>
        <w:tc>
          <w:tcPr>
            <w:tcW w:w="28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32,015</w:t>
            </w:r>
          </w:p>
        </w:tc>
        <w:tc>
          <w:tcPr>
            <w:tcW w:w="28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16,042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11,963</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16,092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8,355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5,440</w:t>
            </w:r>
          </w:p>
        </w:tc>
        <w:tc>
          <w:tcPr>
            <w:tcW w:w="280" w:type="dxa"/>
            <w:vAlign w:val="bottom"/>
          </w:tcPr>
          <w:p>
            <w:pPr>
              <w:spacing w:after="0"/>
              <w:rPr>
                <w:sz w:val="19"/>
                <w:szCs w:val="19"/>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2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50"/>
        </w:trPr>
        <w:tc>
          <w:tcPr>
            <w:tcW w:w="2160" w:type="dxa"/>
            <w:vAlign w:val="bottom"/>
            <w:vMerge w:val="continue"/>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86,405</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vMerge w:val="continue"/>
            <w:shd w:val="clear" w:color="auto" w:fill="CCEEFF"/>
          </w:tcPr>
          <w:p>
            <w:pPr>
              <w:spacing w:after="0"/>
              <w:rPr>
                <w:sz w:val="21"/>
                <w:szCs w:val="21"/>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108,694</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114,088</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Shipping and handling fees that are charged to our customers are recognized as revenue in the period shipped and the related costs for providing these services are recorded as a cost of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shipping and handling fees and overhead for the manufacturing process of ink and other consumables. For 2016, cost of revenues also included the difference between the higher carrying cost of the acquired inventory from a distributor purchased on July 1, 2016 which was recorded at fair value. We expect cost of revenues to increase in absolute dollars due to increased revenues, but remain relatively constant or decrease as a percentage of total revenues, as we continue to improve our manufacturing processes and supply chain and as the costs related to our service infrastructure, which have a fixed component, are leveraged across a larger installed base.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48" w:name="page49"/>
    <w:bookmarkEnd w:id="4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to entry level systems. In addition, customers that purchase our high throughput systems generally use larger quantities of ink and other consumables, which generate higher margins than sales of systems. We expect that gross margins will increase due to improvements in economies of scale and improvements in services gross margin.</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provide maintenance and support for all of our systems sold in the United States even if the sale is made through a distributor. We are seeking to increase the number of customers that rely on us to provide maintenance and support for their systems by expanding our maintenance and support capabilities. In addition to driving gross margin improvement, we believe this will provide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Our service operations have not been profitable on a standalone basis. We are seeking to generate greater revenues from our service offering, and thereby leverage the fixed cost component associated with it, by increasing sales of post-warranty service contracts, selling upgrade kits and providing other professional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operating expenses are classified into three categories: research and development expenses, sales and marketing expenses, general and administrative expenses and restructuring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facility leases. We expect personnel and allocated costs to continue to increase at a controlled pace as we hire new employees to support growth of our business, but at a slower pace than in prior years. In the long term, we expect operating expenses to decrease as a percentage of revenues.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The largest component of our research and development expenses is salaries and related personnel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research and development employees. Research and development expenses also include purchases of laboratory supplies; expenses related to beta testing of our systems; and allocated overhead costs for facilities, including rent payments under our facilities leases. We record all research and development expenses as they are incurred. We expect research and development expenses to slightly increase in absolute terms as we continue to hire additional personnel for the development of upgrades to existing systems and additional systems that we develop. Our current research and development efforts are primarily focused on our next generation of R2R and DTG systems. We are also investing in the development of new ink formulas for our new systems and in order to expand the range of fabrics on which we can print and further improve color quality and diversification of our high resolution images and designs.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The largest component of our sales and marketing expenses is salaries and related personnel expenses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sales and other sales-support employees. Sales and marketing expenses also include trade shows, other advertising and promotions, including distributor open houses and media advertising; sales-based commissions and allocated overhead costs for facilities, including rent payments under our facilities leases. We market our solutions using a combination of internal marketing professionals and our network of channel partners. We expect sales and marketing expenses to continue to increase in absolute terms in the near term as we add sales and marketing personnel, including as a part of strengthening our relationships with our distributors.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The largest component of our general and administrative expenses is salaries and related personnel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executive officers, financial staff, information technology staff, and human resources staff. General and administrative costs also include fees for accounting and legal services and allocated overhead costs for facilities, including rent payments under our facilities leases. We expect our general and administrative expenses to increase in absolute terms in the near term, but at a slower pace than in prior years, as a result of additional personnel to support our growth and the relocation of our U.S. headquarters from Mequon, Wisconsin to Englewood, New Jersey.</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49" w:name="page50"/>
    <w:bookmarkEnd w:id="4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(expenses), Net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Finance income (expenses), net consists of interest income and foreign currency exchange gains or losses. Foreign currency exchange changes reflect gains or losses related to changes in the value of our non-U.S. dollar denominated financial assets, primarily cash and cash equivalents, and trade payables and receivables. As of December 31, 2017, we did not have any indebtedness for borrowed amounts. Interest income consists of interest earned on our cash, cash equivalents, short-term bank deposits and marketable securities, offset by amortization of premium on marketable securities. We expect interest income to vary depending on our average investment balances and market interest rates during each reporting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Income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corporate tax rate in Israel was 26.5% in 2015, 25% in 2016 and 24% in 2017. The corporate tax rate decreased to 23% beginning on January 1, 2018. However, as discussed in greater detail below under “Taxation and Israeli Government Programs Applicable To Our Company — Israeli Tax Considerations and Government Programs,” we and our wholly-owned Israeli subsidiary Kornit Technologies, are entitled to various tax benefits under the Israeli Law for the Encouragement of Capital Investments, 1959, or the Investment Law.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Starting from January 1, 2014, we consolidate the results of our Israeli operations for tax purposes such that net operating loss carryforwards of Kornit Technologies generated from 2014 onwards can be used to offset Israeli taxable income from us. Kornit Technologies currently generates sufficient net operating loss carryforwards to offset the taxable income of the parent. Accordingly, we were not subject to income tax in Israel in 2015, 2016 or 2017 and our effective tax rate was the blended rate of our Israeli tax and those of our non-Israeli subsidiaries in their respective jurisdictions of organization.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Investment Law and other Israeli legislation, we are entitled to certain additional tax benefits, including accelerated depreciation and amortization rates for tax purposes on certain assets, deduction of public offering expenses in three equal annual installments and amortization of other intangible property rights for tax purposes.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0" w:name="page51"/>
    <w:bookmarkEnd w:id="5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Comparison of Period to Period Results of Operations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0"/>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79,751</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100,818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101,953</w:t>
            </w:r>
          </w:p>
        </w:tc>
        <w:tc>
          <w:tcPr>
            <w:tcW w:w="0" w:type="dxa"/>
            <w:vAlign w:val="bottom"/>
          </w:tcPr>
          <w:p>
            <w:pPr>
              <w:spacing w:after="0"/>
              <w:rPr>
                <w:sz w:val="1"/>
                <w:szCs w:val="1"/>
                <w:color w:val="auto"/>
              </w:rPr>
            </w:pPr>
          </w:p>
        </w:tc>
      </w:tr>
      <w:tr>
        <w:trPr>
          <w:trHeight w:val="237"/>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6,654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12,135</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35,632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46,480</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10,188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13,497</w:t>
            </w:r>
          </w:p>
        </w:tc>
        <w:tc>
          <w:tcPr>
            <w:tcW w:w="0" w:type="dxa"/>
            <w:vAlign w:val="bottom"/>
          </w:tcPr>
          <w:p>
            <w:pPr>
              <w:spacing w:after="0"/>
              <w:rPr>
                <w:sz w:val="1"/>
                <w:szCs w:val="1"/>
                <w:color w:val="auto"/>
              </w:rPr>
            </w:pPr>
          </w:p>
        </w:tc>
      </w:tr>
      <w:tr>
        <w:trPr>
          <w:trHeight w:val="25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45,820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59,977</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40,585</w:t>
            </w: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49,410</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54,111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11,950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20,834</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21,279</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13,578</w:t>
            </w:r>
          </w:p>
        </w:tc>
        <w:tc>
          <w:tcPr>
            <w:tcW w:w="0" w:type="dxa"/>
            <w:vAlign w:val="bottom"/>
          </w:tcPr>
          <w:p>
            <w:pPr>
              <w:spacing w:after="0"/>
              <w:rPr>
                <w:sz w:val="1"/>
                <w:szCs w:val="1"/>
                <w:color w:val="auto"/>
              </w:rPr>
            </w:pPr>
          </w:p>
        </w:tc>
      </w:tr>
      <w:tr>
        <w:trPr>
          <w:trHeight w:val="250"/>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34,817</w:t>
            </w: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47,980</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56.194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 (expenses), net</w:t>
            </w:r>
          </w:p>
        </w:tc>
        <w:tc>
          <w:tcPr>
            <w:tcW w:w="16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Taxes on income</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spacing w:after="0" w:line="256" w:lineRule="exact"/>
              <w:rPr>
                <w:sz w:val="20"/>
                <w:szCs w:val="20"/>
                <w:color w:val="auto"/>
              </w:rPr>
            </w:pPr>
            <w:r>
              <w:rPr>
                <w:rFonts w:ascii="Times New Roman" w:cs="Times New Roman" w:eastAsia="Times New Roman" w:hAnsi="Times New Roman"/>
                <w:sz w:val="16"/>
                <w:szCs w:val="16"/>
                <w:color w:val="auto"/>
              </w:rPr>
              <w:t>(2,015</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7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0"/>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 of revenues)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37"/>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Pr>
          <w:p>
            <w:pPr>
              <w:spacing w:after="0"/>
              <w:rPr>
                <w:sz w:val="20"/>
                <w:szCs w:val="20"/>
                <w:color w:val="auto"/>
              </w:rPr>
            </w:pP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w:t>
            </w:r>
          </w:p>
        </w:tc>
        <w:tc>
          <w:tcPr>
            <w:tcW w:w="2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45.5</w:t>
            </w: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47.4</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40.3</w:t>
            </w:r>
          </w:p>
        </w:tc>
        <w:tc>
          <w:tcPr>
            <w:tcW w:w="2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w:t>
            </w: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Finance income (expenses), net</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60" w:type="dxa"/>
            <w:vAlign w:val="bottom"/>
          </w:tcPr>
          <w:p>
            <w:pPr>
              <w:spacing w:after="0"/>
              <w:rPr>
                <w:sz w:val="20"/>
                <w:szCs w:val="20"/>
                <w:color w:val="auto"/>
              </w:rPr>
            </w:pP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2016 and 2017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Revenues increased by $5.4 million, or 5.0%, to $114.1 million in 2017, which is net of $2.9 million fair value of the warrants associated with revenues recognized from Amazon, from $108.7 million in 2016, which is net of $2.0 million fair value of the warrants associated with revenues recognized from Amazon. The growth in revenues resulted from a 20.1% increase in ink and other consumables revenues to $51.5 million in 2017 from $42.8 million in 2016, a 54.1% increase in service revenues to $12.1 million in 2017 from $7.9 million in 2016 and a decrease of 12.9% in systems revenues from $58.0 million in 2016 to $50.5 million in 2017. The $8.7 million increase in ink and other consumables revenues was due to higher sales volumes of ink and other consumables and our larger installed base. The $7.5 million decrease in systems revenues was attributable to lower system sales in 2017,particularly in North America, with a significant impact coming from the delay in receipt of permits for a new site for one of our large customers in the US as well as longer sales cycle s for our Vulcan platform. The increase in our services revenues was primarily due to an increase in sales of spare parts and service contracts to our installed base as well as an increase in systems upgrades.</w:t>
      </w:r>
    </w:p>
    <w:p>
      <w:pPr>
        <w:sectPr>
          <w:pgSz w:w="11900" w:h="16838" w:orient="portrait"/>
          <w:cols w:equalWidth="0" w:num="1">
            <w:col w:w="11420"/>
          </w:cols>
          <w:pgMar w:left="240" w:top="220" w:right="239" w:bottom="252"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252" w:gutter="0" w:footer="0" w:header="0"/>
          <w:type w:val="continuous"/>
        </w:sectPr>
      </w:pPr>
    </w:p>
    <w:bookmarkStart w:id="51" w:name="page52"/>
    <w:bookmarkEnd w:id="5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and Gross Profit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revenues increased by $0.7 million, or 1.2%, to $60.0 million in 2017 from $59.3 million in 2016. Gross profit increased by $4.7 million, or 9.5%, to $54.1 million in 2017, as compared to $49.4 million in 2016. Gross margin was 47.4% in 2017 compared to 45.5% in 2016. Gross margin increased as a result of the shift in mix of revenues in favor of ink and consumables, which have a relatively higher gross margin percentage, from 39.4% of revenues in 2016 to 45.1% of revenues in 2017. The increase was also related to an increase in ink and consumables gross margin which resulted from economies of scale and increased ink and consumables sales and an increase in services gross margin which resulted from an increase in sales of systems upgrades to our wider install base and an increase in sales of service contracts. Such positive impact was offset by a decrease in systems gross margin which resulted from lower systems sales in 2017 compared to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21"/>
                <w:szCs w:val="21"/>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6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17,383</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20,834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18,338</w:t>
            </w:r>
          </w:p>
        </w:tc>
        <w:tc>
          <w:tcPr>
            <w:tcW w:w="14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21,279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2,941</w:t>
            </w:r>
          </w:p>
        </w:tc>
        <w:tc>
          <w:tcPr>
            <w:tcW w:w="34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12,259</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13,578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1,319</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w:t>
            </w:r>
          </w:p>
        </w:tc>
        <w:tc>
          <w:tcPr>
            <w:tcW w:w="340" w:type="dxa"/>
            <w:vAlign w:val="bottom"/>
          </w:tcPr>
          <w:p>
            <w:pPr>
              <w:spacing w:after="0"/>
              <w:rPr>
                <w:sz w:val="19"/>
                <w:szCs w:val="19"/>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CCEEFF"/>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50"/>
        </w:trPr>
        <w:tc>
          <w:tcPr>
            <w:tcW w:w="2640" w:type="dxa"/>
            <w:vAlign w:val="bottom"/>
            <w:vMerge w:val="continue"/>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47,980</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80" w:type="dxa"/>
            <w:vAlign w:val="bottom"/>
            <w:tcBorders>
              <w:right w:val="single" w:sz="8" w:color="CCEEFF"/>
            </w:tcBorders>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56,194</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8,214</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increased by 19.9% in 2017 compared to 2016. This resulted primarily from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$1.8 million in salaries and related personnel expenses and share based compensation due to the hiring of additional personnel in 2017 reflecting an increase in headcount compared to 2016, an increase of $1.6 million in costs due to increased research and development activity, which primarily includes $0.6 million in facilities costs in connection with the expansion of our headquarters in Rosh Ha’Ayin, Israel, and an increase of $1.0 million in expenses due to depreciation expenses relating to leasehold improvements made and capital equipment acquired as part of the expansion of our research and development capabilities. As a percentage of total revenues, our research and development expenses increased during this period from 16.0% in 2016 to 18.3% in 2017.</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16.0% in 2017 compared to 2016. This increase was primarily due to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 million in salaries and related personnel expenses and share based compensation expenses mainly due to a higher average number of employees during 2017 compared to 2016, higher cost per employee in 2017 increase in sales commission, and increase of $1.0 million in amortization of assets due to the purchase of the digital direct to garment printing assets of SPSI in 2016. As a percentage of total revenues, our sales and marketing expenses increased during this period from 16.9% in 2016 to 18.7% in 2017.</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10.8% in 2017 compared to 2016. This resulted primarily from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$1.9 million in salaries and related personnel expenses and share based compensation mainly due to the hiring of additional personnel reflecting an increase in headcount, an increase of $0.3 million in expenses related to upgrades of our IT infrastructure and an increase of $0.2 million of facilities costs due to expansion of our facilities. These increases were offset by a decrease of $0.5 million in acquisition related expense that occurred in 2016. As a percentage of total revenues, our general and administrative expenses increased from 11.3% in 2016 to 11.9% in 2017.</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2" w:name="page53"/>
    <w:bookmarkEnd w:id="5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During 2017, we determined to transition our US headquarters to New Jersey. As part of this transition, we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certain employees for early retirement or retention. We recorded an expense of $0.5 million in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Income (Expenses),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Finance income (expenses), net reflected income of $0.05 million in 2016 and an expense of $0.5 million in 2017. This change resulted primarily from the effects of exchange rates on our non-dollar denominated financial assets, specifically the exchange rate of the U.S. dollar to the NIS offset by interest accrued and received with respect to our cash investments and marketable securities in 2017.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Taxes on income decreased slightly from $0.6 million in 2016 to $0.4 million in 2017. The decrease is consisted of an increase in current tax in 2017 and a one-time expense for the change in deferred taxes in the U.S due to the new tax reform offset by the reversal of an accounting provision in the amount of $0.6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2015 and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Revenues increased by $22.3 million, or 25.8%, to $108.7 million in 2016 from $86.4 million in 2015. The growth in revenues resulted from a 27.2% increase in systems and services revenues to $65.9 million in 2016 from $51.8 million in 2015 and a 23.8% increase in sales of ink and other consumables to $42.8 million in 2016 from $34.6 million in 2015. The $14.1 million growth in systems and services revenues was attributable to a change in the mix of systems sold, specifically sales of higher throughput systems, which sell for higher average selling prices than our entry level systems, in 2016 compared to 2015. We believe that the increase in sales of high throughput systems was a result of the growing maturity of the web-to-print business model which calls for high throughput systems to meet the growing consumer demand. The $8.2 million increase in ink and other consumables revenues was due to higher sales volumes of ink and other consumables and our larger installed base. The improvements in system and services revenues and ink and consumables revenues was offset by the fair value of warrants associated with revenues recognized from Amazon of $2.0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and Gross Profit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 of revenues increased by $13.5 million, or 29.4%, to $59.3 million in 2016 from $45.8 million in 2015. Gross profit increased by $8.8 million, or 21.7%, to $49.4 million in 2016, as compared to $40.6 million in 2015. Gross margin was 45.5% in 2016 compared to 47.0% in 2015. The decrease in gross margin is related to an increase in systems and services gross margin which resulted from an increase in sales of higher margin high throughput systems, economies of scale and an increase in sales of service contracts. While gross margin was positively impacted by an increase in sales of higher margin high throughput systems and economies of scale during 2016 compared to 2015, such positive impact was offset by the impact of a non-recurring charge for the repurchase of inventory in connection with the acquisition of the digital printing assets of SPSI during 2016 of $2.5 million and the fair value of the warrants issued to Amazon of $2.0 million, which negatively affected gross profit and resulted in a slight decrease in gross margin. Ink and consumables gross margin remained flat from 2015 to 2016.</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3" w:name="page54"/>
    <w:bookmarkEnd w:id="5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6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17,383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5,433</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8"/>
              </w:rPr>
              <w:t>45.5%</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13,367</w:t>
            </w:r>
          </w:p>
        </w:tc>
        <w:tc>
          <w:tcPr>
            <w:tcW w:w="140" w:type="dxa"/>
            <w:vAlign w:val="bottom"/>
          </w:tcPr>
          <w:p>
            <w:pPr>
              <w:spacing w:after="0"/>
              <w:rPr>
                <w:sz w:val="18"/>
                <w:szCs w:val="18"/>
                <w:color w:val="auto"/>
              </w:rPr>
            </w:pPr>
          </w:p>
        </w:tc>
        <w:tc>
          <w:tcPr>
            <w:tcW w:w="12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18,338</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4,971</w:t>
            </w:r>
          </w:p>
        </w:tc>
        <w:tc>
          <w:tcPr>
            <w:tcW w:w="34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12,259</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2,759</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37"/>
        </w:trPr>
        <w:tc>
          <w:tcPr>
            <w:tcW w:w="2640" w:type="dxa"/>
            <w:vAlign w:val="bottom"/>
            <w:vMerge w:val="continue"/>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34,817</w:t>
            </w:r>
          </w:p>
        </w:tc>
        <w:tc>
          <w:tcPr>
            <w:tcW w:w="140" w:type="dxa"/>
            <w:vAlign w:val="bottom"/>
          </w:tcPr>
          <w:p>
            <w:pPr>
              <w:spacing w:after="0"/>
              <w:rPr>
                <w:sz w:val="20"/>
                <w:szCs w:val="20"/>
                <w:color w:val="auto"/>
              </w:rPr>
            </w:pP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5"/>
              </w:rPr>
              <w:t>40.3</w:t>
            </w:r>
          </w:p>
        </w:tc>
        <w:tc>
          <w:tcPr>
            <w:tcW w:w="220" w:type="dxa"/>
            <w:vAlign w:val="bottom"/>
            <w:vMerge w:val="continue"/>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47,980</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13,163</w:t>
            </w:r>
          </w:p>
        </w:tc>
        <w:tc>
          <w:tcPr>
            <w:tcW w:w="340" w:type="dxa"/>
            <w:vAlign w:val="bottom"/>
          </w:tcPr>
          <w:p>
            <w:pPr>
              <w:spacing w:after="0"/>
              <w:rPr>
                <w:sz w:val="20"/>
                <w:szCs w:val="20"/>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37.7</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increased by 45.5% in 2016 compared to 2015. This resulted primarily from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$3.3 million in salaries and related personnel expenses and share based compensation due to the hiring of additional personnel in 2016 reflecting an increase in headcount compared to 2015, an increase of $1.3 million in costs due to increased research and development activity, which primarily includes $0.7 million in facilities costs in connection with the expansion of our headquarters in Rosh Ha’Ayin, Israel, and an increase of $0.6 million in depreciation due to the purchase of the digital direct to garment printing assets of SPSI in 2016. As a percentage of total revenues, our research and development expenses increased during this period, from 13.8% in 2015 to 16.0% in 2016.</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37.2% in 2016 compared to 2015. This increase was primarily due to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million in salaries and related personnel expenses and share based compensation expenses due to the hiring of sales and marketing personnel in 2016 reflecting an increase in headcount in 2016 compared to 2015, an increase of $0.7 million in marketing activities, including trade shows and online marketing activities, an increase of $0.6 million in costs of shipping to subsidiaries and an increase of $0.5 million in amortization of assets due to the purchase of the digital direct to garment printing assets of SPSI in 2016. As a percentage of total revenues, our sales and marketing expenses increased during this period from 15.5% in 2015 to 16.9% in 2016.</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29.0% in 2016 compared to 2015. This resulted primarily from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$1.7 million in salaries and related personnel expenses and share based compensation due to the hiring of additional personnel reflecting an increase in headcount and compensation to executives compared to 2015, an increase of $0.4 million in expenses related to upgrades of our IT infrastructure, an increase of $0.3 million in legal expenses relating to settlement of a legal claim, an increase of $0.3 million in costs associated with being a publicly traded company and an increase of $0.2 million of facilities costs due to expansion of our facilities. These increases were offset by a decrease of $0.8 million due to a one-time payment in 2015 to Fortissimo Capital, our principal shareholder, in connection with the termination of our management services agreement with them and a decrease of $0.2 million due to one-time bonuses in 2015 in connection with our initial public offering. As a percentage of total revenues, our general and administrative expenses increased from 11.0% in 2015 to 11.2% in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Income (Expenses),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Finance income (expenses), net reflected expenses of $0.3 million in 2015 and income of $0.05M in 2016. This change resulted primarily from interest accrued and received with respect to our cash investments and marketable securities in 2016 offset by the effects of exchange rates on our non-dollar denominated financial assets, specifically the exchange rate of the U.S. dollar to the NIS.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Taxes on income decreased slightly from $0.7 million in 2015 to $0.6 million in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4" w:name="page55"/>
    <w:bookmarkEnd w:id="5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(U.S. GAAP). These accounting principles are more fully described in note 2 to our consolidated financial statements included elsewhere in this annual report and require us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following significant accounting policies are the basis for the most significant judgments and estimates used in the preparation of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generate revenues from the sale of our systems, ink and other consumables and value added services. We generate revenues from sale of our solutions directly to customers and indirectly through independent distributors. We recognize revenue when (1) persuasive evidence of a final agreement exists, (2) delivery has occurred or services have been rendered, (3) the selling price is fixed or determinable, and (4) collectability is reasonably assured. We recognize revenues from selling these products upon delivery, provided that all other revenue recognition criteria are met. In respect of sale of systems with installation and training, we consider the installation and training to be not essential to the functionality of the systems. Therefore, we recognized in accordance with the agreed-upon delivery terms once all other revenue recognition criteria have been met.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service are derived mainly from the sale of print heads, spear parts and sale of service contracts. Print heads and spear parts revenues are recognized upon delivery, provided that all other revenue recognition criteria are met. The service contracts are recognized ratably, on a straight-line basis, over the period of the service.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typically provide a one-year warranty on our systems. After the initial warranty period, we offer customers optional extended warranty contracts ranging generally from one to three years. Revenues from extended warranties are recognized ratably, on a straight-line basis, over the period of the service. Unearned revenues are derived mainly from these prepaid agreements. We classify the portion of unearned revenue not expected to be earned in the subsequent 12 months as long-term.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periodically provide customer incentive programs including product discounts, volume-based rebates and warrants, which are accounted for as reductions to revenue in the period in which the revenue is recognized. These reductions to revenue are made based upon reasonable and reliable estimates that are determined by historical experience and the specific terms and conditions of the incentive.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ink and other consumable products are generally recognized upon shipment assuming all other revenue recognition criteria have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cases in which old systems are traded in as part of sales of new printers, the fair value of the old printer is recorded as inventory, provided that such value can be determined.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assess collectability as part of the revenue recognition process. This assessment includes a number of factors such as an evaluation of the creditworthiness of the customer, past due amounts, past payment history, and current economic conditions. If it is determined that collectability cannot be reasonably assured, we defer recognition of revenue until collectability is assured.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5" w:name="page56"/>
    <w:bookmarkEnd w:id="5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Inventories are measured at the lower of cost or net realizable value. Cost is computed using weighted average cost, on a first-in, first-out basis. Inventory costs consist of material, direct labor and overhead. We periodically assess inventory for obsolescence and excess and reduce the carrying value by an amount equal to the difference between its cost and the estimated net realizable value based on assumptions about future demand and historical sales patterns. This valuation requires us to make judgments, based on currently available information, about the likely method of disposition, such as through sales and expected recoverable values of each disposition category. These assumptions about future disposition of inventory are inherently uncertain and changes in our estimates and assumptions may cause us to realize material write-downs in the future.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2017, we had $34.9 million of inventory of which $15.8 million consisted of raw materials and components and $19.1 million consisted of completed systems, ink and other consumables. We recorded inventory write-offs in a total amount of $0.8 million, $2.2 million and $3.0 million for the years ended December 31, 2015, 2016 and 2017,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U.S. GAAP, we account for share-based compensation for employees in accordance with the provisions of the FASB’s ASC Topic 718 “Compensation—Stock Based Compensation,” or ASC 718, which requires us to measure the cost of options and RSU’s based on the fair value of the award on the grant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each RSU is the market value as determined by the closing share price at the date of the grant.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selected the binomial option pricing model as the most appropriate method for determining the estimated fair value of options which requires the use of subjective assumptions, including the expected term of the award and the expected volatility of the price of our common stock. We recognize compensation expense over the vesting period using the straight-line method and classify these amounts in the consolidated financial statements based on the department to which the related employee reports. We will continue to use judgment in evaluating the assumptions related to our share-based compensation expense on a prospective basis. As we continue to accumulate additional data, we may have refinements to our estimates, which could materially impact our future share-based compensation expense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income taxes principally in Israel and the United States.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Although we believe we have adequately reserved for our uncertain tax positions, no assurance can be given that the final tax outcome of these matters will not be different. We adjust these reserves when facts and circumstances change, such as the closing of a tax audit, the refinement of an estimate or changes in tax laws. To the extent that the final tax outcome of these matters is different than the amounts recorded, such differences will impact the provision for income taxes in the period in which such determination is made. The provision for income taxes includes the effects of any reserves that are considered appropriate, as well as the related net interest and penalties.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regularly review our deferred tax assets for recoverability and establish a valuation allowance if it is more likely than not that some portion or all of the deferred tax assets will not be realized. To make this judgment, we must make predictions of the amount and category of taxable income from various sources and weigh all available positive and negative evidence about these possible sources of taxable income.</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we believe the resulting tax balances as of December 31, 2015, 2016 and 2017 are appropriately accounted for, the ultimate outcome of such matters could result in favorable or unfavorable adjustments to our consolidated financial statements and such adjustments could be material. We have filed or are in the process of filing local and foreign tax returns that may be audited by the respective tax authorities. We believe that we adequately provided for any reasonably foreseeable outcomes related to tax audits and settlement; however, our future results may include favorable or unfavorable adjustments to our estimated tax liabilities in the period the assessments are made or resolved, audits are closed or when statute of limitations on potential assessments expire.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6" w:name="page57"/>
    <w:bookmarkEnd w:id="5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typically grant a one-year warranty on our systems and record a provision for warranty at the time the product’s revenue is recognized. We estimate the liability of possible warranty claims based on our historical experience. We estimate the costs that may be incurred under our warranty arrangements and record a liability in the amount of such costs at the time product revenue is recognized. We periodically assess the adequacy of the recorded warranty liabilities and adjust the amounts as necessary.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Marketable securities currently are comprised of debt securities. We determine the appropriate classification of marketable securities at the time of purchase and re-evaluate such designation at each balance sheet date. In accordance with FASB ASC No. 320, “Investment Debt and Equity Securities,” we classify marketable securities as available-for-sale. Available-for-sale securities are stated at fair value, with unrealized gains and losses reported in accumulated other comprehensive income (loss), a separate component of shareholders’ equity, net of taxes. Realized gains and losses on sales of marketable securities, as determined on a specific identification basis, are included in finance income, net. The amortized cost of marketable securities is adjusted for amortization of premium and accretion of discount to maturity, both of which, together with interest, are included in finance income, net.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recognize an impairment charge when a decline in the fair value of our investments in debt securities below the cost basis of such securities is judged to be other-than-temporary. The determination of credit losses requires significant judgment and actual results may be materially different from our estimates. Factors considered in making such a determination include the duration and severity of the impairment, the reason for the decline in value, the ability of the issuer to meet payment obligations, the potential recovery period and our intent to sell, including whether it is more likely than not that we will be required to sell the investment before recovery of cost basis. For securities that are deemed other-than-temporarily impaired, the amount of impairment is recognized in the statement of operations and is limited to the amount related to credit losses, while impairment related to other factors is recognized in other comprehensive income (loss).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years ended December 31, 2016 and 2017, no other-than temporary impairment were recorded related to our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summary of recent accounting pronouncements applicable to our consolidated financial statements see Note 2, “Significant Accounting Policies” to the Consolidated Financial Statements included in Part III, Item 18 of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and Israeli Government Programs Applicable to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Tax Considerations and Government Programs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brief summary of the material Israeli tax laws applicable to us, and certain Israeli Government programs that benefit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Corporate Tax Structure in Israel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Israeli companies are generally subject to corporate tax on their taxable income. As of 2018, the corporate tax rate is 23% (in 2017, the corporate tax rate was 24% and in 2016, the corporate tax rate was 25%). However, the effective tax rate payable by a company that derives income from a Preferred Enterprise or a Benefited Enterprise (as discussed below) may be considerably less. Capital gains derived by an Israeli company are subject to the prevailing corporate tax rate.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7" w:name="page58"/>
    <w:bookmarkEnd w:id="5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Law for the Encouragement of Industry (Taxes), 5729-1969</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Law for the Encouragement of Industry (Taxes), 5729-1969, generally referred to as the Industry Encouragement Law, provides several tax benefits for “Industrial Companies.” We currently qualify as an Industrial Company within the meaning of the Industry Encouragement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Industry Encouragement Law defines an “Industrial Company” as a company resident in Israel, which was incorporated in Israel and of which 90% or more of its income in any tax year, other than income from certain government loans, is derived from an “Industrial Enterprise” located in Israel and owned by it. An “Industrial Enterprise” is defined as an enterprise whose principal activity in a given tax year is industrial production.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tax benefits, among others, are available to Industrial Companies:</w:t>
      </w:r>
    </w:p>
    <w:p>
      <w:pPr>
        <w:spacing w:after="0" w:line="225" w:lineRule="exact"/>
        <w:rPr>
          <w:sz w:val="20"/>
          <w:szCs w:val="20"/>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 of the cost of purchased know-how, patents and rights to use a patent and know-how which are used for the development or promotion of the Industrial Enterprise, over an eight-year period commencing on the year in which such rights were first exercised;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limited conditions, an election to file consolidated tax returns with related Israeli Industrial Companies controlled by it;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 public offering are deductible in equal amounts over three years. , commencing in the year of the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Eligibility for benefits under the Industry Encouragement Law is not subject to receipt of prior approval from any governmental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we will continue to qualify as an Industrial Company or that the benefits described above will be available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Law for the Encouragement of Capital Investments, 5719-1959</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Investment Law has been amended several times over the recent years, with the three most significant changes effective as of April 1, 2005, or the 2005 Amendment, as of January 1, 2011, or the 2011 Amendment and as of January 1, 2017, or the 2017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and the 2017 Amendment for our company, and for our Israeli subsidiary we elected to apply the benefit under the 2011 Amendment. The 2017 Amendment introduces new benefits for Technological Enterprises, alongside the existing tax benefits.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8" w:name="page59"/>
    <w:bookmarkEnd w:id="5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Benefits Subsequent to the 2005 Amendment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2005 Amendment applies to new investment programs and investment programs commencing after 2004, but does not apply to investment programs approved prior to April 1, 2005.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Israeli Authority for Investments and Development of the Industry and Economy, or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2005 Amendment provides that Approved Enterprise status will only be necessary for receiving cash grants. As a result, it was no longer necessary for a company to obtain the advance approval of the Investment Center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2005 Amendment. Companies or programs under the new provisions receiving these tax benefits are referred to as Benefited Enterprises. A company that has a Benefited Enterprise may, at its discretion, approach the Israel Tax Authority for a pre-ruling confirming that it is in compliance with the provisions of the Investment Law, as amended.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Tax benefits are available under the 2005 Amendment to production facilities (or other eligible facilities) which are generally required to derive more than 25% of their business income from export to specific markets with a population of at least 14 million in 2012 (such export criteria will further be increased in the future by 1.4% per annum). In order to receive the tax benefits, the 2005 Amendment states that a company must make an investment which meets certain conditions set forth in the amendment for tax benefits, including exceeding a minimum investment amount specified in the Investment Law. Such investment entitles a company to receive a “Benefited Enterprise” status with respect to the investment, and may be made over a period of no more than three years from the end of the year in which the company requested to have the tax benefits apply to its Benefited Enterprise. Where a company requests to have the tax benefits apply to an expansion of existing facilities, only the expansion will be considered to be a Benefited Enterprise and the company’s effective tax rate will be the weighted average of the applicable rates. In such case, the minimum investment required in order to qualify as a Benefited Enterprise must exceed a certain percentage of the value of the company’s production assets before the expansion.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extent of the tax benefits available under the 2005 Amendment to qualifying income of a Benefited Enterprise depends on, among other things, the geographic location in Israel of the Benefited Enterprise. The location will also determine the period for which tax benefits are available. Such tax benefits include an exemption from corporate tax on undistributed income for a period of between two to ten years, depending on the geographic location of the Benefited Enterprise in Israel, and a reduced corporate tax rate of between 10% to 25% for the remainder of the benefits period, depending on the level of foreign investment in the company in each year. The benefits period is limited to 12 or 14 years from the year the company first chose to have the tax benefits apply, depending on the location of the company.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company qualifying for tax benefits under the 2005 Amendment which pays a dividend out of income derived by its Benefited Enterprise during the tax exemption period will be subject to corporate tax in respect of the gross amount of the dividend distributed (grossed-up to reflect the pre-tax income that it would have had to earn in order to distribute the dividend) at the corporate tax rate which would have otherwise been applicable. Dividends paid out of income attributed to a Benefited Enterprise (or out of dividends received from a company whose income is attributed to a Benefited Enterprise) are generally subject to withholding tax at source at the rate of 15% or such lower rate as may be provided in an applicable tax treaty (subject to the receipt in advance of a valid certificate from the Israel Tax Authority allowing for a reduced tax rate). The reduced rate of 15% is limited to dividends and distributions out of income derived during the benefits period and actually paid at any time up to 12 years thereafter. After this period, the withholding tax is applied at a rate of up to 30%, or at a lower rate under an applicable tax treaty (subject to the receipt in advance of a valid certificate from the Israel Tax Authority allowing for a reduced tax rate). In the case of a Foreign Investors’ Company (as such term is defined in the Investment Law), the 12-year limitation on reduced withholding tax on dividends does not apply.</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benefits available to a Benefited Enterprise are subject to the fulfillment of conditions stipulated in the Investment Law and its regulations. If a company does not meet these conditions, it would be required to refund the amount of tax benefits, as adjusted by the Israeli consumer price index, and interest, or other monetary penalties.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9" w:name="page60"/>
    <w:bookmarkEnd w:id="5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have Benefited Enterprise programs under the Investments Law, which, we believe, entitle us to a tax exemption for undistributed income and a reduced tax rate. The benefits period for our company began in 2010. Our company is expected to enjoy these tax benefits until 2019. Our subsidiary Kornit Technologies is subject to the 2011 Amendment (as described below) and thus the tax benefits will not be subject to time limitations.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Benefits Under the 2011 Amendment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2011 Amendment canceled the availability of the benefits granted to companies in accordance with the provisions of the Investment Law prior to 2011 and, instead, introduced new benefits for income generated by a “Preferred Company” through its “Preferred Enterprise” (as such terms are defined in the Investment Law) as of January 1, 2011. The definition of a Preferred Company includes a company incorporated in Israel that is not wholly owned by a governmental entity, and that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and 2012, unless the Preferred Enterprise is located in a certain development zone, in which case the rate will be 10%. Such corporate tax rate reduced to 12.5% and 7%, respectively, in 2013 and increased to 16% and 9% in 2014 and through 2016. Pursuant to the 2017 Amendment, in 2017 and thereafter, the corporate tax rate for a Preferred Enterprise which is located in a specified development zone was decreased to 7.5%, while the reduced corporate tax rate for other development zones remains 16%.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 As of January 1, 2017, the definition of “Special Preferred Enterprise” includes less stringent conditions.</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Dividends paid out of preferred income attributed to a Preferred Enterprise or to a Special Preferred Enterprise are generally subject to withholding tax at source at the rate of 20% or such lower rate as may be provided in an applicable tax treaty (subject to the receipt in advance of a valid certificate from the Israel Tax Authority allowing for a reduced tax rate). However, if such dividends are paid to an Israeli company, no tax is required to be withheld (although, if subsequently distributed to individuals or a non-Israeli company, withholding of 20% or such lower rate as may be provided in an applicable tax treaty will apply). In 2017 through 2019 dividends paid out of preferred income attributed to a Special Preferred Enterprise directly to a foreign parent company are subject to withholding tax at source at the rate of 5% (temporary provisions).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 Kornit Technologies has filed a notification that it wishes to apply the new benefits under the 2011 Amendment.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Tax benefits under the 2017 Amendment that became effective on January 1, 2017.</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2017 Amendment was enacted as part of the Economic Efficiency Law that was published on December 29, 2016, and is effective as of January 1, 2017, The 2017 Amendment provides new tax benefits for two types of “Technology Enterprises”, as described below, and is in addition to the other existing tax beneficial programs under the Investment Law.</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These corporate tax rates shall apply only with respect to the portion of intellectual property developed in Israel.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Innovation Authority.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0" w:name="page61"/>
    <w:bookmarkEnd w:id="6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2017 Amendment further provides that a technology company satisfying certain conditions will qualify as a “Special Preferred Technology Enterprise” and will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an Israeli company or acquired from a foreign company on or after January 1, 2017, and the sale received prior approval from the Innovation Authority. A Special Preferred Technology Enterprise that acquires Benefitted Intangible Assets from a foreign company for more than NIS 500 million will be eligible for these benefits for at least ten years, subject to certain approvals as specified in the Investment Law.</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Dividends distributed by a Preferred Technology Enterprise or a Special Preferred Technology Enterprise, paid out of Preferred Technology Income, are generally subject to withholding tax at source at the rate of 20% or such lower rate as may be provided in an applicable tax treaty (subject to the receipt in advance of a valid certificate from the Israel Tax Authority allowing for a reduced tax rate). However, if such dividends are paid to an Israeli company, no tax is required to be withheld. If such dividends are distributed to a foreign parent company holding at least 90% of the shares of the distributing company and other conditions are met, the withholding tax rate will be 4%.</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qualify as a Preferred Technology Enterprise or Special Preferred Technology Enterprise, and we are considering whether to apply for benefits under the 2017 Amendment.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Tax Considerations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22, 2017, the U.S. enacted the Tax Cuts and Jobs Act (the “Act”), which among other provisions, reduced the U.S. corporate tax rate from 35% to 21%, effective January 1, 2018.</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made reasonable estimates of the effects on the existing deferred tax balances as of December 31, 2017, for which provisional amounts have been recorded. We re-measured certain of our U.S. deferred tax assets and liabilities, based on the rates at which we are expected to reverse in the future. The estimated tax expense recorded related to the re-measurement of the deferred tax balance was $355.</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2017, we had approximately $18.6 million in cash and cash equivalents, $4.5 million in short term deposits and $74.4 million in marketable securities totaling $97.5 million. We fund our operations with cash generated from operating activities and cash raised during the IPO and the secondary offering. In the past, we have also raised capital through the sale of equity securities to investors in private placements.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cash requirements have principally been for working capital, capital expenditures and acquisitions. Our working capital requirements reflect the growth in our business. Historically, we have funded our working capital (primarily inventory and accounts receivables) and capital expenditures from cash flows provided by our operating activities, investments in our equity securities and cash and cash equivalents on hand. We have funded our acquisitions from the proceeds of our initial public offering and cash on hand. Our current capital expenditures relate primarily to investment in our new headquarters in the United States and in our manufacturing facility for our ink and other consumables in Kiryat Gat, Israel. In addition to investments in those facilities, our capital investments have included improvements and expansion of our worldwide locations and corporate facilities to support our growth and investment and improvements in our information technology.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1" w:name="page62"/>
    <w:bookmarkEnd w:id="6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most significant elements of our working capital requirements are for inventory, accounts receivable and trade payables. We partially fund the procurement of the components of our systems that are assembled by our third-party manufacturers. Our inventory strategy includes maintaining inventory of systems and inks and other consumables at levels that we expect to sell during the successive months based on anticipated customer demand. Our accounts receivable significantly decreased due to the improvement in our days sales’ outstanding, or DSO. Our trade payables decreased due to the decrease in sales of systems.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2017, the Company has two lines of credit with Israeli banks for total borrowings of up to $3 million, all of which was undrawn as of December 31, 2017. These lines of credit are unsecured and available subject to the Company’s maintenance of a 30% ratio of total tangible shareholders’ equity to total tangible assets and that the total credit use will be less than 70% of the Company and its subsidiaries’ receivables. Interest rates across these credit lines varied from 0.2% to 2.3% as of December 31, 2017.</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our current business plans, we believe that our cash flows from operating activities and our existing cash resources will be sufficient to fund our projected cash requirements for at least the next 12 months without drawing on our lines of credit or using significant amounts of the net proceeds from our initial public offering or our follow-on offering. Our future capital requirements will depend on many factors, including our rate of revenue growth, the timing and extent of spending to support product development efforts, the expansion of our sales and marketing activities, and the timing of introductions of new solutions and the continuing market acceptance of our solutions as well as other business development efforts.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major components of net cash flows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956</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2,463</w:t>
            </w: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(46,744)</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74,601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36,437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2017</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 in the year ended December 31, 2017 was $6.0 million.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consisted of net loss of $2.0 million including 12 million from non-cash activities and a decrease of $9 million from accounts receivables due to lower revenues and higher payments received prior to the cutoff date. Our days sales’ outstanding, or DSO, for the year ended December 31, 2017 was 74 compared to 106 for the year ended December 31, 2016.</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period we had an increase of approximately $10.6 million in inventory from the year ended December 31, 2016 to the year ended December 31, 2017. This was primarily due to our strategy of increasing inventory levels to meet anticipated customer demand for our solutions. We also experienced a decrease of $3.6 million in trade payables due to a weaker fourth quarter 2017 compared to the fourth quarter of 2016.</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2" w:name="page63"/>
    <w:bookmarkEnd w:id="6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2016</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 in the year ended December 31, 2016 was $1.0 million.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consisted of net income of $0.8 million and an increase of approximately $6.1 million in inventory from the year ended December 31, 2015 to the year ended December 31, 2016. This was primarily due to our strategy of increasing inventory levels to meet anticipated customer demand for our solutions.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same period, we experienced an increase of $2.8 million in trade payables due to growth of our business and more favorable payment terms from our suppliers. In addition, trade receivables increased by $9.3 million due primarily to the growth of our business and better payment terms to our customers. Our days sales’ outstanding, or DSO, for the year ended December 31, 2016 was 106 compared to 95 for the year ended December 31, 2015 as a result of such better payment terms to our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$46.7 million for the year ended December 31, 2017, which was primarily attributable to our investment in short term bank deposits and marketable securities. Net cash provided by investing activities was $2.5 million for the year ended December 31, 2016, which was primarily attributable to our proceeds from short-term bank deposits of $22.0 million offset by our purchase of marketable securities of $11.5 million, our investment in property and equipment of $5.5 million and $9.2 million paid in connection with our acquisition of SPSI.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$36.4 million for the year ended December 31, 2017, which was primarily attributable to our secondary offering in which we have raised $35.1 million. Net cash provided by financing activities was $0.9 million for the year ended December 31, 2016, which was attributable to the exercise of share options.</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Research and development, patents and licenses, etc.</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description of our research and development programs and the amounts that we have incurred over the last three years pursuant to those programs, please see “ITEM 4.B Business Overview—Research and Development.”</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Trend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results of operations and financial condition may be affected by various trends and factors discussed in “ITEM 3.D Risk Factors,” including “If the market for digital textile printing does not develop as we anticipate, our sales may not grow as quickly as expected and our share price could decline.” and “ITEM 4.B Business Overview—Industry,” changes in political, military or economic conditions in Israel and in the Middle East, general slowing of local or global economies and decreased economic activity in one or more of our target markets.</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currently engage in off-balance sheet financing arrangements. In addition, we do not have any interest in entities referred to as variable interest entities, which includes special purposes entities and other structured finance entities.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3" w:name="page64"/>
    <w:bookmarkEnd w:id="6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Tabular Disclosure of Contractual Obligations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contractual obligations as of December 31, 2017 are summarized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6"/>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Payments Due by Period</w:t>
            </w:r>
          </w:p>
        </w:tc>
        <w:tc>
          <w:tcPr>
            <w:tcW w:w="6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w:t>
            </w:r>
          </w:p>
        </w:tc>
        <w:tc>
          <w:tcPr>
            <w:tcW w:w="0" w:type="dxa"/>
            <w:vAlign w:val="bottom"/>
          </w:tcPr>
          <w:p>
            <w:pPr>
              <w:spacing w:after="0"/>
              <w:rPr>
                <w:sz w:val="1"/>
                <w:szCs w:val="1"/>
                <w:color w:val="auto"/>
              </w:rPr>
            </w:pPr>
          </w:p>
        </w:tc>
      </w:tr>
      <w:tr>
        <w:trPr>
          <w:trHeight w:val="245"/>
        </w:trPr>
        <w:tc>
          <w:tcPr>
            <w:tcW w:w="28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thereafter</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Operating lease obligations </w:t>
            </w:r>
            <w:r>
              <w:rPr>
                <w:rFonts w:ascii="Times New Roman" w:cs="Times New Roman" w:eastAsia="Times New Roman" w:hAnsi="Times New Roman"/>
                <w:sz w:val="28"/>
                <w:szCs w:val="28"/>
                <w:color w:val="auto"/>
                <w:vertAlign w:val="superscript"/>
              </w:rPr>
              <w:t>(1)</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16,640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2,465</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2,088</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57"/>
        </w:trPr>
        <w:tc>
          <w:tcPr>
            <w:tcW w:w="2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Uncertain tax positions </w:t>
            </w:r>
            <w:r>
              <w:rPr>
                <w:rFonts w:ascii="Times New Roman" w:cs="Times New Roman" w:eastAsia="Times New Roman" w:hAnsi="Times New Roman"/>
                <w:sz w:val="29"/>
                <w:szCs w:val="29"/>
                <w:color w:val="auto"/>
                <w:vertAlign w:val="superscript"/>
              </w:rPr>
              <w:t>(2)</w:t>
            </w: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Purchase commitments </w:t>
            </w:r>
            <w:r>
              <w:rPr>
                <w:rFonts w:ascii="Times New Roman" w:cs="Times New Roman" w:eastAsia="Times New Roman" w:hAnsi="Times New Roman"/>
                <w:sz w:val="29"/>
                <w:szCs w:val="29"/>
                <w:color w:val="auto"/>
                <w:vertAlign w:val="superscript"/>
              </w:rPr>
              <w:t>(3)</w:t>
            </w: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16,475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16,475</w:t>
            </w:r>
          </w:p>
        </w:tc>
        <w:tc>
          <w:tcPr>
            <w:tcW w:w="180" w:type="dxa"/>
            <w:vAlign w:val="bottom"/>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820" w:type="dxa"/>
            <w:vAlign w:val="bottom"/>
          </w:tcPr>
          <w:p>
            <w:pPr>
              <w:spacing w:after="0" w:line="269" w:lineRule="exact"/>
              <w:rPr>
                <w:sz w:val="20"/>
                <w:szCs w:val="20"/>
                <w:color w:val="auto"/>
              </w:rPr>
            </w:pPr>
            <w:r>
              <w:rPr>
                <w:rFonts w:ascii="Times New Roman" w:cs="Times New Roman" w:eastAsia="Times New Roman" w:hAnsi="Times New Roman"/>
                <w:sz w:val="18"/>
                <w:szCs w:val="18"/>
                <w:color w:val="auto"/>
              </w:rPr>
              <w:t xml:space="preserve">Severance payment </w:t>
            </w:r>
            <w:r>
              <w:rPr>
                <w:rFonts w:ascii="Times New Roman" w:cs="Times New Roman" w:eastAsia="Times New Roman" w:hAnsi="Times New Roman"/>
                <w:sz w:val="30"/>
                <w:szCs w:val="30"/>
                <w:color w:val="auto"/>
                <w:vertAlign w:val="superscript"/>
              </w:rPr>
              <w:t>(4)</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vMerge w:val="continue"/>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35,017</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2,296</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2,088</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1"/>
        </w:trPr>
        <w:tc>
          <w:tcPr>
            <w:tcW w:w="2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consist of our contractual rental expenses under operating leases of facilities and vehicles.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accruals for certain income tax positions under ASC 740 that are paid upon settlement, and for which we are unable to reasonably estimate the ultimate amount and timing of settlement. See Note 13(h) to our consolidated financial statements included in ITEM 18 of this annual report for further information regarding our liability under ASC 740. Payment of these obligations would result from settlements with tax authorities. Due to the difficulty in determining the timing of resolution of audits, these obligations are only presented in their total amount.</w:t>
      </w:r>
    </w:p>
    <w:p>
      <w:pPr>
        <w:spacing w:after="0" w:line="18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all open PO commitments through the end of 2018.</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of $1.23 million are payable only upon termination, retirement or death of our employees. Of this amount, $0.7 million is unfunded as of December 31, 2017. Since we are unable to reasonably estimate the timing of settlement, the timing of such payments is not specified in the table. See also Note 2(w) to our consolidated financial statements appearing included in “ITEM 18 Financial Statements” of this annual report.</w:t>
      </w:r>
    </w:p>
    <w:p>
      <w:pPr>
        <w:spacing w:after="0" w:line="17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Directors, Senior Management and Employees.</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name, age and position of each of our executive officers and directors as of the date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Age</w:t>
            </w:r>
          </w:p>
        </w:tc>
        <w:tc>
          <w:tcPr>
            <w:tcW w:w="730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30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Gabi Seligsohn</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Nuriel Amir</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Guy Avidan</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Gilad Yron</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of Global Business</w:t>
            </w: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Yuval Cohen</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Gabi Seligsohn</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Ofer Ben-Zur</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 Blatt</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20" w:type="dxa"/>
            <w:vAlign w:val="bottom"/>
          </w:tcPr>
          <w:p>
            <w:pPr>
              <w:spacing w:after="0"/>
              <w:rPr>
                <w:sz w:val="22"/>
                <w:szCs w:val="22"/>
                <w:color w:val="auto"/>
              </w:rPr>
            </w:pPr>
          </w:p>
        </w:tc>
        <w:tc>
          <w:tcPr>
            <w:tcW w:w="2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Lauri Hanover</w:t>
            </w:r>
            <w:r>
              <w:rPr>
                <w:rFonts w:ascii="Times New Roman" w:cs="Times New Roman" w:eastAsia="Times New Roman" w:hAnsi="Times New Roman"/>
                <w:sz w:val="29"/>
                <w:szCs w:val="29"/>
                <w:color w:val="auto"/>
                <w:vertAlign w:val="superscript"/>
              </w:rPr>
              <w:t>(1)(2)(3)(4)</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2"/>
                <w:szCs w:val="22"/>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Lesnick</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20" w:type="dxa"/>
            <w:vAlign w:val="bottom"/>
          </w:tcPr>
          <w:p>
            <w:pPr>
              <w:spacing w:after="0"/>
              <w:rPr>
                <w:sz w:val="22"/>
                <w:szCs w:val="22"/>
                <w:color w:val="auto"/>
              </w:rPr>
            </w:pPr>
          </w:p>
        </w:tc>
        <w:tc>
          <w:tcPr>
            <w:tcW w:w="2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Alon Lumbroso</w:t>
            </w:r>
            <w:r>
              <w:rPr>
                <w:rFonts w:ascii="Times New Roman" w:cs="Times New Roman" w:eastAsia="Times New Roman" w:hAnsi="Times New Roman"/>
                <w:sz w:val="29"/>
                <w:szCs w:val="29"/>
                <w:color w:val="auto"/>
                <w:vertAlign w:val="superscript"/>
              </w:rPr>
              <w:t>(3)</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22"/>
                <w:szCs w:val="22"/>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20" w:type="dxa"/>
            <w:vAlign w:val="bottom"/>
          </w:tcPr>
          <w:p>
            <w:pPr>
              <w:spacing w:after="0"/>
              <w:rPr>
                <w:sz w:val="22"/>
                <w:szCs w:val="22"/>
                <w:color w:val="auto"/>
              </w:rPr>
            </w:pPr>
          </w:p>
        </w:tc>
        <w:tc>
          <w:tcPr>
            <w:tcW w:w="2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Jerry Mandel</w:t>
            </w:r>
            <w:r>
              <w:rPr>
                <w:rFonts w:ascii="Times New Roman" w:cs="Times New Roman" w:eastAsia="Times New Roman" w:hAnsi="Times New Roman"/>
                <w:sz w:val="13"/>
                <w:szCs w:val="13"/>
                <w:color w:val="auto"/>
              </w:rPr>
              <w:t>(1)(2)(3)(4)</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22"/>
                <w:szCs w:val="22"/>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74"/>
        </w:trPr>
        <w:tc>
          <w:tcPr>
            <w:tcW w:w="2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36"/>
                <w:szCs w:val="36"/>
                <w:color w:val="auto"/>
                <w:vertAlign w:val="subscript"/>
              </w:rPr>
              <w:t>Dov Ofer</w:t>
            </w:r>
            <w:r>
              <w:rPr>
                <w:rFonts w:ascii="Times New Roman" w:cs="Times New Roman" w:eastAsia="Times New Roman" w:hAnsi="Times New Roman"/>
                <w:sz w:val="15"/>
                <w:szCs w:val="15"/>
                <w:color w:val="auto"/>
              </w:rPr>
              <w:t>(1)(2)(3)</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audit committee.</w:t>
      </w:r>
    </w:p>
    <w:p>
      <w:pPr>
        <w:spacing w:after="0" w:line="20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compensation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under the NASDAQ Stock Market rules.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as an external director under the Israeli Companies Law.</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64" w:name="page65"/>
    <w:bookmarkEnd w:id="6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Gabi Seligsohn </w:t>
      </w:r>
      <w:r>
        <w:rPr>
          <w:rFonts w:ascii="Times New Roman" w:cs="Times New Roman" w:eastAsia="Times New Roman" w:hAnsi="Times New Roman"/>
          <w:sz w:val="18"/>
          <w:szCs w:val="18"/>
          <w:color w:val="auto"/>
        </w:rPr>
        <w:t>has served as a member of our board of directors since March 2015 and has served as our Chief Executive Officer since April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2006 until August 2013, Mr. Seligsohn served as the President and Chief Executive Officer of Nova Measuring Instruments Ltd., (“Nova”) (NASDAQ: NVMI), a designer, developer and producer of optical metrology solutions. From 1998 until 2006, Mr. Seligsohn served in several key positions in Nova, including Executive Vice President of the Global Business Management Group from August 2005 to August 2006. From August 2002 until August 2005, he served as President of Nova’s U.S. subsidiary, Nova Measuring Instruments Inc. Additionally, prior to August 2002, Mr. Seligsohn was Vice President Strategic Business Development of Nova Measuring Instruments Inc. where he established Nova’s OEM group and managed the Applied Materials and Lam Research accounts between 2000 and 2002. From 1998 until 2000, he served as Global Strategic Account Manager for Nova’s five leading customers. Mr. Seligsohn joined Nova after serving two years as Sales Manager for key financial accounts at Digital Equipment Corporation. Currently, Mr. Seligsohn serves as a director of DSP Group Inc. (NASDAQ: DSPG). In 2010, he was voted Chief Executive Officer of the year by the Israeli Institute of Management for hi-tech industries in the large company category. He holds an LL.B. from the University of Reading in Reading, England.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Nuriel Amir </w:t>
      </w:r>
      <w:r>
        <w:rPr>
          <w:rFonts w:ascii="Times New Roman" w:cs="Times New Roman" w:eastAsia="Times New Roman" w:hAnsi="Times New Roman"/>
          <w:sz w:val="18"/>
          <w:szCs w:val="18"/>
          <w:color w:val="auto"/>
        </w:rPr>
        <w:t>has served as our Chief Technology Officer since July 2016. From 2012 until mid-2016, Dr. Amir served as the Tech director of KLA-Tencor, focusing on application development and marketing. From 2008 until 2012, Dr. Amir served as the R&amp;D director for Numonyx B.V. and Micron Technology, Inc. (NASDAQ: MU), leading the technology development and transfer to production of 45nm flash NOR technology. From 1977 until 2008, Dr. Amir served in several positions at Intel in Israel and the U.S. in the fields of: R&amp;D, transfer to production, Process Integration, Yield, Device, Labs and Quality and Reliability, culminating as Yield department manager. Dr. Amir holds a Ph.D. from the microelectronic research center at the Electrical Engineering Faculty at the Technion, and has taught at several universities and colleges. Dr. Amir has 20 patent applications and over 40 publications including talks in the Society of Photo-Optical Instrumentation Engineers International, or SPIE.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Guy Avidan </w:t>
      </w:r>
      <w:r>
        <w:rPr>
          <w:rFonts w:ascii="Times New Roman" w:cs="Times New Roman" w:eastAsia="Times New Roman" w:hAnsi="Times New Roman"/>
          <w:sz w:val="18"/>
          <w:szCs w:val="18"/>
          <w:color w:val="auto"/>
        </w:rPr>
        <w:t>has served as our Chief Financial Officer since September 2014. From July 2010 until November 2014, Mr. Avidan served as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Finance and Chief Financial Officer of AudioCodes Ltd. (“AudioCodes”) (NASDAQ: AUDC). Prior to joining AudioCodes, Mr. Avidan served for 15 years in various managerial positions, including Co-President, at MRV Communications Inc. (NASDAQ: MRVC), a global provider of optical communications network infrastructure equipment and services. While at MRV Communications, he served as Chief Financial Officer between 2007 and 2009, Vice President and General Manager of MRV International from 2001 to 2007. From 1992 to 1995, Mr. Avidan served as Vice President of Finance and Chief Financial Officer of Ace North Hills, which was acquired by MRV Communications. Mr. Avidan is a CPA in Israel and holds a B.A. in Economics and Accounting from Haifa University in Israel.</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Gilad Yron </w:t>
      </w:r>
      <w:r>
        <w:rPr>
          <w:rFonts w:ascii="Times New Roman" w:cs="Times New Roman" w:eastAsia="Times New Roman" w:hAnsi="Times New Roman"/>
          <w:sz w:val="18"/>
          <w:szCs w:val="18"/>
          <w:color w:val="auto"/>
        </w:rPr>
        <w:t>has served as our Executive Vice President of Global Business since May 2016. From February 2015 until April 2016, Mr. Yron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Senior Vice President of Products at Stratasys, Ltd. (NASDAQ: SSYS). His previous positions with Stratasys included VP Business Development and strategic alliances and Managing Director of Asia Pacific and Japan operating out of Hong Kong. From 2006 until 2010, Mr. Yron served in various positions for Nur Macroprinters, which later became part of HP, including Business Manager for the Asia-Pacific region and Service Director. Mr. Yron holds a Bs.C. in Physics from Tel Aviv University.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Yuval Cohen </w:t>
      </w:r>
      <w:r>
        <w:rPr>
          <w:rFonts w:ascii="Times New Roman" w:cs="Times New Roman" w:eastAsia="Times New Roman" w:hAnsi="Times New Roman"/>
          <w:sz w:val="18"/>
          <w:szCs w:val="18"/>
          <w:color w:val="auto"/>
        </w:rPr>
        <w:t>has served as the Chairman of our board of directors since August 2011. Mr. Cohen is the founding and managing partner of Fortissimo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a private equity fund established in 2004 and our controlling shareholder. From 1997 through 2002, Mr. Cohen was a General Partner at Jerusalem Venture Partners (“JVP”), an Israeli-based venture capital fund, where he led investments in, and served on the boards of directors of, several portfolio companies. Prior to joining JVP, he held executive positions at various Silicon Valley companies, including DSP Group, Inc. (NASDAQ: DSPG), and Intel Corporation (NASDAQ: INTC). Currently, Mr. Cohen serves as a director of Wix.com Ltd. (NASDAQ: WIX). He also serves on the board of directors of several privately held portfolio companies of Fortissimo Capital. Mr. Cohen holds a B.Sc. in Industrial Engineering from Tel Aviv University in Israel and an M.B.A. from Harvard Business School in Massachusetts.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5" w:name="page66"/>
    <w:bookmarkEnd w:id="6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Ofer Ben-Zur </w:t>
      </w:r>
      <w:r>
        <w:rPr>
          <w:rFonts w:ascii="Times New Roman" w:cs="Times New Roman" w:eastAsia="Times New Roman" w:hAnsi="Times New Roman"/>
          <w:sz w:val="18"/>
          <w:szCs w:val="18"/>
          <w:color w:val="auto"/>
        </w:rPr>
        <w:t>is a co-founder of our company and has served as director since 2002. From April 2014 to July 2016, Mr. Ben-Zur served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Technology Officer. From 2002 to April 2014, Mr. Ben-Zur served as our Chief Executive Officer, as well as the manager of our department of research and development. Prior to establishing our company, Mr. Ben-Zur worked as a consultant for several companies in the inkjet and semi-conductor industries. From March 1998 until November 1999, Mr. Ben-Zur led a development team at Idanit — Scitex, a world leader in wide format printers. From 1993 to 1998, he worked as a mechanical development engineer at Applied-Materials (NASDAQ: AMAT). Mr. Ben-Zur holds a B.Sc. in Mechanical Engineering from the Technion — Israel Institute of Technology in Israel, an M.Sc. in Mechanical Engineering from Tel Aviv University in Israel, and an M.B.A. from Bradford University in England.</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Eli Blatt </w:t>
      </w:r>
      <w:r>
        <w:rPr>
          <w:rFonts w:ascii="Times New Roman" w:cs="Times New Roman" w:eastAsia="Times New Roman" w:hAnsi="Times New Roman"/>
          <w:sz w:val="18"/>
          <w:szCs w:val="18"/>
          <w:color w:val="auto"/>
        </w:rPr>
        <w:t>has served as a member of our board of directors since August 2011. Mr. Blatt joined Fortissimo Capital in 2004. From March 1999 to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2004, Mr. Blatt worked at Noosh, Inc., a provider of cloud-based integrated project and procurement solutions, serving as its Chief Financial Officer from 2002 to 2004 and Vice President of Operations from 1999 to 2002. From 1997 to 1999, Mr. Blatt served as Director of Operations for CheckPoint Software Technologies Inc. (NASDAQ: CHKP), an internet security company. Currently, Mr. Blatt serves on the board of directors of RadView Software Ltd. (NASDAQ: RDVW) and several privately held portfolio companies of Fortissimo Capital. Mr. Blatt holds a B.Sc. in Industrial Engineering from Tel Aviv University in Israel and an M.B.A. from Indiana University in Indiana.</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Lauri Hanover </w:t>
      </w:r>
      <w:r>
        <w:rPr>
          <w:rFonts w:ascii="Times New Roman" w:cs="Times New Roman" w:eastAsia="Times New Roman" w:hAnsi="Times New Roman"/>
          <w:sz w:val="18"/>
          <w:szCs w:val="18"/>
          <w:color w:val="auto"/>
        </w:rPr>
        <w:t>has served as a member of our board of directors since March 2015 and is an external director under the Companies Law,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chairperson of our audit committee and a member of our compensation committee. Ms. Hanover has served as the Senior Vice President and Chief Financial Officer of Netafim Ltd., a global leader in smart irrigation systems, since August 2013. From 2009 to 2013, she served as Chief Financial Officer and Executive Vice President of the Tnuva Group, Israel’s largest food manufacturer. From 2008 to 2009, Ms. Hanover served as Chief Executive Officer of Gross, Kleinhendler, Hodak, Halevy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Currently, Ms. Hanover serves as a director and chairman of the audit and compensation committees of SodaStream International Ltd (NASDAQ: SODA). Ms. Hanover holds a B.A. from the University of Pennsylvania, a B.S. in Economics from The Wharton School of the University of Pennsylvania, as well as an M.B.A. from New York University.</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Marc Lesnick </w:t>
      </w:r>
      <w:r>
        <w:rPr>
          <w:rFonts w:ascii="Times New Roman" w:cs="Times New Roman" w:eastAsia="Times New Roman" w:hAnsi="Times New Roman"/>
          <w:sz w:val="18"/>
          <w:szCs w:val="18"/>
          <w:color w:val="auto"/>
        </w:rPr>
        <w:t>has served as a member of our board of directors since August 2011. Mr. Lesnick joined Fortissimo Capital in 2004. From 2001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2003 prior to joining Fortissimo Capital, Mr. Lesnick served as an independent consultant to various high tech companies and institutional investors. From 1997 to 2001, Mr. Lesnick served as the Managing Director of Jerusalem Global, a boutique investment bank based in Israel, and its affiliated entities. From 1992 to 1997 prior to joining Jerusalem Global, Mr. Lesnick was an attorney at Weil, Gotshal &amp; Manges LLP in New York, where he focused on public offerings and mergers and acquisitions. Currently, Mr. Lesnick serves on the board of directors of several privately held portfolio companies of Fortissimo Capital. Mr. Lesnick received a B.A. in Economics from Yeshiva University in New York and a J.D. from the University of Pennsylvania in Pennsylvania.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6" w:name="page67"/>
    <w:bookmarkEnd w:id="6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Alon Lumbroso </w:t>
      </w:r>
      <w:r>
        <w:rPr>
          <w:rFonts w:ascii="Times New Roman" w:cs="Times New Roman" w:eastAsia="Times New Roman" w:hAnsi="Times New Roman"/>
          <w:sz w:val="18"/>
          <w:szCs w:val="18"/>
          <w:color w:val="auto"/>
        </w:rPr>
        <w:t>has served as a member of our board of directors since March 2015. Since June 2015, Mr. Lumbroso has been the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DipTech Ltd. From January 2014 until March 2015, Mr. Lumbroso was a founder and partner of WebUP, an internet enterprise established in 2014 that acquires and manages internet sites. From 2011 to 2014, Mr. Lumbroso served as President of Mul-T-Lock Ltd., a subsidiary of ASSA ABLOY, a global supplier of locks and security solutions, as well as Market Region Manager of ASSA ABLOY. From 2005 to 2011, he served as Chief Executive Officer and director of Larotec Ltd., a developer and manufacturer of web-based end-to-end solutions. In addition, from 2004 to 2012, Mr. Lumbroso served as Chairman of BioExplorers Ltd., a developer of homeland security systems for the detection of explosives. From 2003 to 2004, he served as Chief Executive Officer of MindGuard, a developer and producer of medical devices. From 2000 to 2003, he served as Managing Director of Creo Europe (now CreoEMEA and formerly CreoScitex), a manufacturer and supplier of digital presses and printers. In addition, from 1998 to 2000, Mr. Lumbroso served as Managing Directors of Scitex and CreoScitex Asia Pacific, Hong Kong. Currently, he serves as a partner and director of iCar 2007 Ltd. Mr. Lumbroso holds a B.Sc. in Industrial Engineering from Tel Aviv University in Israel and an M.B.A. from Bar-Ilan University in Israel.</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Jerry Mandel </w:t>
      </w:r>
      <w:r>
        <w:rPr>
          <w:rFonts w:ascii="Times New Roman" w:cs="Times New Roman" w:eastAsia="Times New Roman" w:hAnsi="Times New Roman"/>
          <w:sz w:val="18"/>
          <w:szCs w:val="18"/>
          <w:color w:val="auto"/>
        </w:rPr>
        <w:t>has served as a member of our board of directors since March 2015 and is an external director under the Companies Law, chairman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compensation committee and a member of our audit committee. Mr. Mandel is the owner and CEO of Galil Capital Finance Ltd., a privately held company that provides financial advisory and investment management services. Mr. Mandel is the owner of GC Nadlan Reals Estate SL, a Spanish company specialized in providing investment management services in the real estate industry in Spain and serve as the Chairman of the Board of Galil Capital RE Spain SOCIMI S.A. Mr. Mandel is also the founder, Chief Executive Officer, and managing member of GC Florida Group, a group of partnerships established in 2009 that invests in and manages residential and commercial properties. From 2007 to 2009, he served as Chief Executive Officer and a director of GMF Ltd., an investment firm that provided mezzanine financing to middle-market companies. From 2005 to 2008, Mr. Mandel served as a director for Chen Yahav, the pension funds arm of Bank Yahav, and from 2004 to 2005, he served as a director and audit committee member of Cellcom Israel Ltd., a leading Israeli cellular company. From 1998 to 2003, Mr. Mandel was the Director of Investment Banking of EEMEA for Merrill Lynch &amp; Co. and responsible for the origination and execution of investment banking activities in Israel. Currently, Mr. Mandel serves as a director and audit committee member of Direct Insurance — Financial Investments Ltd. (TASE: DIFI). Mr. Mandel holds a B.Sc. in Industrial Engineering from Tel Aviv University in Israel and an M.B.A. from Columbia Business School in New York.</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Dov Ofer </w:t>
      </w:r>
      <w:r>
        <w:rPr>
          <w:rFonts w:ascii="Times New Roman" w:cs="Times New Roman" w:eastAsia="Times New Roman" w:hAnsi="Times New Roman"/>
          <w:sz w:val="18"/>
          <w:szCs w:val="18"/>
          <w:color w:val="auto"/>
        </w:rPr>
        <w:t>has served as a member of our board of directors since March 2015 and is a member of our audit and compensation committees.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 tech sector and participated in different mergers and acquisitions within the industry. Currently, Mr. Ofer serves as chairman of Magen Eco-Energy RCA Ltd., chairman of Plastopil Hazorea Company Ltd. (TASE: PPIL), vice chairman of Scodix Ltd. and director of Gauzy Ltd and Stratasys Ltd. (Nasdaq: SSYS). He holds a B.A. in Economics from the Hebrew University in Israel as well as an M.B.A. from the University of California Berkeley in California.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Concerning Election of Directors; Family Relationships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consists of nine directors. We are not a party to, and are not aware of, any voting agreements among our shareholders. In addition, there are no family relationships among our executive officers or senior management members.</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aggregate compensation paid and equity-based compensation and other compensation expensed by us and our subsidiaries to our directors and executive officers with respect to the year ended December 31, 2017 was $4.4 million. This amount includes approximately $0.4 million set aside or accrued to provide pension, severance, retirement or similar benefits or expenses. As of December 31, 2017, options to purchase 1,163,124 ordinary shares and 15,556 RSU’s granted to our directors and executive officers were outstanding under our share incentive plans at a weighted average exercise price of $8.95 per share for the options. Certain of our officers and directors receive a severance payment of up to six months of their base salary upon termination of their employment.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7" w:name="page68"/>
    <w:bookmarkEnd w:id="6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grant dates, number of options, related exercise prices and expiration dates of options granted to our directors and executive officers for the year ended December 31,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45"/>
        </w:trPr>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6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of Options</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Options</w:t>
            </w:r>
          </w:p>
        </w:tc>
      </w:tr>
      <w:tr>
        <w:trPr>
          <w:trHeight w:val="216"/>
        </w:trPr>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9, 2017</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9, 2027</w:t>
            </w:r>
          </w:p>
        </w:tc>
      </w:tr>
      <w:tr>
        <w:trPr>
          <w:trHeight w:val="234"/>
        </w:trPr>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28, 2017</w:t>
            </w:r>
          </w:p>
        </w:tc>
        <w:tc>
          <w:tcPr>
            <w:tcW w:w="2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120,000</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15.05</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28, 2027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the compensation of our directors (including reimbursement of expenses) requires the approval of our compensation committee, the subsequent approval of the board of directors and, unless exempted under the regulations promulgated under the Companies Law, the approval of the shareholders at a general meeting as described in “C. Board Practices—Approval of Related Party Transactions under Israeli Law — Disclosure of Personal Interests of an Office Holder and Approval of Certain Transactions.” Where the director is also a controlling shareholder, the requirements for approval of transactions with controlling shareholders apply, as described below under “—Approval of Related Party Transactions under Israeli Law — Disclosure of Personal Interests of a Controlling Shareholder and Approval of Certain Transactions.”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directors are entitled to cash compensation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our non-employee directors receive annual fees and per-meeting fees for their service on our board and its committees as follows:</w:t>
      </w:r>
    </w:p>
    <w:p>
      <w:pPr>
        <w:spacing w:after="0" w:line="225"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fees in the amount of $24,000 and $30,000 for the chairman;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per-meeting fees in the amount of $1,000 or $500 for participation in meetings via phone.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outlines the compensation granted to our five most highly compensated office holders during or with respect to the year ended December 31, 2017, in the disclosure format of Regulation 21 of the Israeli Securities Regulations (Periodic and Immediate Reports), 1970. We refer to the five individuals for whom disclosure is provided herein as our “Covered Executives.”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table and the summary below, and in accordance with the above mentioned securities regulations, “compensation” includes base salary, bonuses, equity-based compensation, retirement or termination payments, benefits and perquisites such as car, phone and social benefits and any undertaking to provide such compensation.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8" w:name="page69"/>
    <w:bookmarkEnd w:id="6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p>
    <w:p>
      <w:pPr>
        <w:jc w:val="center"/>
        <w:spacing w:after="0" w:line="184" w:lineRule="auto"/>
        <w:rPr>
          <w:sz w:val="20"/>
          <w:szCs w:val="20"/>
          <w:color w:val="auto"/>
        </w:rPr>
      </w:pPr>
      <w:r>
        <w:rPr>
          <w:rFonts w:ascii="Times New Roman" w:cs="Times New Roman" w:eastAsia="Times New Roman" w:hAnsi="Times New Roman"/>
          <w:sz w:val="18"/>
          <w:szCs w:val="18"/>
          <w:b w:val="1"/>
          <w:bCs w:val="1"/>
          <w:color w:val="auto"/>
        </w:rPr>
        <w:t>Information Regarding the Covered Executive</w:t>
      </w:r>
      <w:r>
        <w:rPr>
          <w:rFonts w:ascii="Times New Roman" w:cs="Times New Roman" w:eastAsia="Times New Roman" w:hAnsi="Times New Roman"/>
          <w:sz w:val="30"/>
          <w:szCs w:val="30"/>
          <w:b w:val="1"/>
          <w:bCs w:val="1"/>
          <w:color w:val="auto"/>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Benefits</w:t>
            </w:r>
          </w:p>
        </w:tc>
        <w:tc>
          <w:tcPr>
            <w:tcW w:w="13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Base</w:t>
            </w:r>
          </w:p>
        </w:tc>
        <w:tc>
          <w:tcPr>
            <w:tcW w:w="5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Variable</w:t>
            </w:r>
          </w:p>
        </w:tc>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Equity-Based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r>
              <w:rPr>
                <w:rFonts w:ascii="Times New Roman" w:cs="Times New Roman" w:eastAsia="Times New Roman" w:hAnsi="Times New Roman"/>
                <w:sz w:val="30"/>
                <w:szCs w:val="30"/>
                <w:b w:val="1"/>
                <w:bCs w:val="1"/>
                <w:color w:val="auto"/>
                <w:vertAlign w:val="superscript"/>
              </w:rPr>
              <w:t>(2)</w:t>
            </w:r>
          </w:p>
        </w:tc>
        <w:tc>
          <w:tcPr>
            <w:tcW w:w="8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5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Perquisites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7"/>
        </w:trPr>
        <w:tc>
          <w:tcPr>
            <w:tcW w:w="4700" w:type="dxa"/>
            <w:vAlign w:val="bottom"/>
            <w:gridSpan w:val="2"/>
            <w:vMerge w:val="continue"/>
          </w:tcPr>
          <w:p>
            <w:pPr>
              <w:spacing w:after="0"/>
              <w:rPr>
                <w:sz w:val="24"/>
                <w:szCs w:val="24"/>
                <w:color w:val="auto"/>
              </w:rPr>
            </w:pPr>
          </w:p>
        </w:tc>
        <w:tc>
          <w:tcPr>
            <w:tcW w:w="8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4"/>
                <w:szCs w:val="24"/>
                <w:color w:val="auto"/>
              </w:rPr>
            </w:pPr>
          </w:p>
        </w:tc>
        <w:tc>
          <w:tcPr>
            <w:tcW w:w="1300" w:type="dxa"/>
            <w:vAlign w:val="bottom"/>
          </w:tcPr>
          <w:p>
            <w:pPr>
              <w:jc w:val="center"/>
              <w:spacing w:after="0" w:line="269" w:lineRule="exact"/>
              <w:rPr>
                <w:sz w:val="20"/>
                <w:szCs w:val="20"/>
                <w:color w:val="auto"/>
              </w:rPr>
            </w:pPr>
            <w:r>
              <w:rPr>
                <w:rFonts w:ascii="Times New Roman" w:cs="Times New Roman" w:eastAsia="Times New Roman" w:hAnsi="Times New Roman"/>
                <w:sz w:val="18"/>
                <w:szCs w:val="18"/>
                <w:b w:val="1"/>
                <w:bCs w:val="1"/>
                <w:color w:val="auto"/>
                <w:w w:val="85"/>
              </w:rPr>
              <w:t>($)</w:t>
            </w:r>
            <w:r>
              <w:rPr>
                <w:rFonts w:ascii="Times New Roman" w:cs="Times New Roman" w:eastAsia="Times New Roman" w:hAnsi="Times New Roman"/>
                <w:sz w:val="30"/>
                <w:szCs w:val="30"/>
                <w:b w:val="1"/>
                <w:bCs w:val="1"/>
                <w:color w:val="auto"/>
                <w:w w:val="85"/>
                <w:vertAlign w:val="superscript"/>
              </w:rPr>
              <w:t>(3)</w:t>
            </w:r>
          </w:p>
        </w:tc>
        <w:tc>
          <w:tcPr>
            <w:tcW w:w="1360" w:type="dxa"/>
            <w:vAlign w:val="bottom"/>
          </w:tcPr>
          <w:p>
            <w:pPr>
              <w:jc w:val="center"/>
              <w:spacing w:after="0" w:line="269" w:lineRule="exact"/>
              <w:rPr>
                <w:sz w:val="20"/>
                <w:szCs w:val="20"/>
                <w:color w:val="auto"/>
              </w:rPr>
            </w:pPr>
            <w:r>
              <w:rPr>
                <w:rFonts w:ascii="Times New Roman" w:cs="Times New Roman" w:eastAsia="Times New Roman" w:hAnsi="Times New Roman"/>
                <w:sz w:val="18"/>
                <w:szCs w:val="18"/>
                <w:b w:val="1"/>
                <w:bCs w:val="1"/>
                <w:color w:val="auto"/>
                <w:w w:val="85"/>
              </w:rPr>
              <w:t>($)</w:t>
            </w:r>
            <w:r>
              <w:rPr>
                <w:rFonts w:ascii="Times New Roman" w:cs="Times New Roman" w:eastAsia="Times New Roman" w:hAnsi="Times New Roman"/>
                <w:sz w:val="30"/>
                <w:szCs w:val="30"/>
                <w:b w:val="1"/>
                <w:bCs w:val="1"/>
                <w:color w:val="auto"/>
                <w:w w:val="85"/>
                <w:vertAlign w:val="superscript"/>
              </w:rPr>
              <w:t>(4)</w:t>
            </w:r>
          </w:p>
        </w:tc>
        <w:tc>
          <w:tcPr>
            <w:tcW w:w="1540" w:type="dxa"/>
            <w:vAlign w:val="bottom"/>
          </w:tcPr>
          <w:p>
            <w:pPr>
              <w:jc w:val="center"/>
              <w:ind w:right="110"/>
              <w:spacing w:after="0" w:line="269" w:lineRule="exact"/>
              <w:rPr>
                <w:sz w:val="20"/>
                <w:szCs w:val="20"/>
                <w:color w:val="auto"/>
              </w:rPr>
            </w:pPr>
            <w:r>
              <w:rPr>
                <w:rFonts w:ascii="Times New Roman" w:cs="Times New Roman" w:eastAsia="Times New Roman" w:hAnsi="Times New Roman"/>
                <w:sz w:val="18"/>
                <w:szCs w:val="18"/>
                <w:b w:val="1"/>
                <w:bCs w:val="1"/>
                <w:color w:val="auto"/>
                <w:w w:val="85"/>
              </w:rPr>
              <w:t>($)</w:t>
            </w:r>
            <w:r>
              <w:rPr>
                <w:rFonts w:ascii="Times New Roman" w:cs="Times New Roman" w:eastAsia="Times New Roman" w:hAnsi="Times New Roman"/>
                <w:sz w:val="30"/>
                <w:szCs w:val="30"/>
                <w:b w:val="1"/>
                <w:bCs w:val="1"/>
                <w:color w:val="auto"/>
                <w:w w:val="85"/>
                <w:vertAlign w:val="superscript"/>
              </w:rPr>
              <w:t>(5)</w:t>
            </w: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5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Gabi Seligsohn, Chief Executive Officer</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367</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Guy Avidan, Chief Financial Officer</w:t>
            </w:r>
          </w:p>
        </w:tc>
        <w:tc>
          <w:tcPr>
            <w:tcW w:w="860" w:type="dxa"/>
            <w:vAlign w:val="bottom"/>
          </w:tcPr>
          <w:p>
            <w:pPr>
              <w:spacing w:after="0"/>
              <w:rPr>
                <w:sz w:val="18"/>
                <w:szCs w:val="18"/>
                <w:color w:val="auto"/>
              </w:rPr>
            </w:pP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203</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312</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Gilad Yron, EVP Global Business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181</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Nuriel Amir, Chief Technology Officer</w:t>
            </w:r>
          </w:p>
        </w:tc>
        <w:tc>
          <w:tcPr>
            <w:tcW w:w="860" w:type="dxa"/>
            <w:vAlign w:val="bottom"/>
          </w:tcPr>
          <w:p>
            <w:pPr>
              <w:spacing w:after="0"/>
              <w:rPr>
                <w:sz w:val="18"/>
                <w:szCs w:val="18"/>
                <w:color w:val="auto"/>
              </w:rPr>
            </w:pP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220</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110</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Ofer Sandelson, former Chief Operating Officer</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174</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110</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reported in the table are in terms of cost to us, as recorded in our financial statements.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listed in the table are our full-time employees. Cash compensation amounts denominated in currencies other than the U.S. dollar were converted into U.S. dollars at the average conversion rate for 2017.</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include benefits and perquisites, including those mandated by applicable law. Such benefits and perquisites may include, to the extent applicable to the executive, payments, contributions and/or allocations for savings funds, pension, severance, vacation, car or car allowance, medical insurances and benefits, risk insurances (e.g., life, disability, accident), convalescence pay, payments for social security, tax gross-up payments and other benefits and perquisites consistent with our guidelines.</w:t>
      </w:r>
    </w:p>
    <w:p>
      <w:pPr>
        <w:spacing w:after="0" w:line="18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refer to incentive and bonus payments which were paid with respect to 2017.</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the expense recorded in our financial statements for the year ended December 31, 2017 with respect to equity-based compensation. Assumptions and key variables used in the calculation of such amounts are described in paragraph (r) of Note 2 to our audited financial statements, which are included in “ITEM 18 Financial Reports”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2004 Share Option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2004 our board of directors adopted and our shareholders approved our 2004 Share Option Plan, or the 2004 Plan. The 2004 Plan was amended on June 15, 2005. We are no longer granting options under the 2004 Plan because it was superseded by the 2012 Plan, although previously granted awards remain outstanding. As of December 31, 2017 we had options to purchase 38,734 ordinary shares outstanding under the 2004 Plan.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2004 Plan provides for the grant of options to our and our subsidiaries’ and affiliates’ directors, employees and officers, who are expected to contribute to our future growth and success.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2004 Plan is administered by our board of directors or by a compensation committee appointed by the board of directors, which determines, subject to Israeli law, the grantees of awards and the terms of the grant, including, exercise prices, vesting schedules, acceleration of vesting and the other matters necessary in the administration of the 2004 Plan. The 2004 Plan enabled us to issue awards under various tax regimes, including, without limitation, pursuant to Section 102 of the Israeli Income Tax Ordinance (New Version) 1961, or the Ordinance.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102 of the Ordinance allows employees, directors and officers, who are not controlling shareholders, to receive favorable tax treatment for compensation in the form of shares or options.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which provides the most favorable tax treatment for grantees, permits the issuance to a trustee under the “capital gain track.” Note however, that according to Section 102(b)(3) of the Ordinance, if the company granting the shares or options is a publicly traded company or is listed for trading on any stock exchange within a period of 90 days from the date of grant, any difference between the exercise price of the Awards (if any) and the average closing price of the company’s shares at the 30 trading days preceding the grant date (when the company is listed on a stock exchange) or 30 trading days following the listing of the company, as applicable, will be taxed as “ordinary income” at the grantee’s marginal tax rate. In order to comply with the terms of the capital gain track, all securities granted under a specific plan and subject to the provisions of Section 102 of the Ordinance, as well as the shares issued upon exercise of such securities and other shares received following any realization of rights with respect to such securities, such as share dividends and share splits, must be registered in the name of a trustee selected by the board of directors and held in trust for the benefit of the relevant grantee. The trustee may not release these securities to the relevant grantee before 24 months from the date of grant and deposit of such securities with the trustee. However, under this track, we are not allowed to deduct an expense with respect to the issuance of the options or shares.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69" w:name="page70"/>
    <w:bookmarkEnd w:id="6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Vesting schedule of options granted under the 2004 Plan is set forth in each grantee’s grant letter.</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Options currently outstanding under the 2004 Plan may be exercised up to seven years from the grant date. In the event of the death of a grantee while employed or engaged by us, or the termination of a grantee’s employment or services for reasons of disability or termination of a grantee’s employment of services for reason of retirement in accordance with applicable law, the grantee, or in the case of death, his or her legal successor, may exercise options that have vested prior to termination until the earlier of: (i) a period of one (1) year from the date of disability, retirement or death, or (ii) the term of the options.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the earlier of: (a) 90 days after the date of termination, or (b) the term of the options.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Options may not be sold, assigned, pledged or otherwise disposed of by the participant who holds such options, except by will or the laws of descent.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shall decide (i) if and how unvested options shall be canceled, replaced or accelerated, (ii) if and how vested options shall be exercised, replaced and/or sold by the trustee or the company on behalf of the option holder, and (iii) how the underlying shares issued upon exercise of options and held by the trustee on behalf of the option holder shall be replaced and/or sold by the trustee on behalf of the option 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Share Incentive Plan</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October 2012, our board of directors adopted and our shareholders approved our 2012 Share Incentive Plan, or the 2012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2012 Plan replaced our 2004 Plan. We are no longer granting options under the 2012 Plan because it was superseded by the 2015 Plan, although previously granted awards remain outstanding. The 2012 Plan provides for the grant of options, restricted shares, restricted share units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December 31, 2017, we had options to purchase 657,664 ordinary shares outstanding under the 2012 Plan.</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2012 Plan is administered by our board of directors or by a committee designated by the board of directors, which determines, subject to Israeli law, the grantees of awards and the terms of the grant, including, exercise prices, vesting schedules, acceleration of vesting and the other matters necessary in the administration of the 2012 Plan. The 2012 Plan enables us to issue awards under various tax regimes, including, without limitation, pursuant to Section 102 of the Ordinance as discussed under “2004 Share Option Plan” above, and under Section 3(i) of the Ordinance and Section 422 of the United States Internal Revenue Code of 1986, as amended, or the Code.</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2012 Plan provides that options granted to our employees, directors and officers who are not controlling shareholders and who are considered Israeli residents are intended to qualify for special tax treatment under the “capital gain track” provisions of Section 102(b) of the Ordinance. Our Israeli non-employee service providers and controlling shareholders may only be granted options under Section 3(i) of the Ordinance, which does not provide for similar tax benefits.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Options granted under the 2012 Plan to U.S. residents may qualify as “incentive stock options” within the meaning of Section 422 of the Code, or may be non-qualified. The exercise price for “incentive stock options” must not be less than the fair market value on the date on which an option is granted, or 110% of the fair market value if the option holder holds more than 10% of our share capital.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0" w:name="page71"/>
    <w:bookmarkEnd w:id="7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Options granted under the 2012 Plan generally vest over four years commencing on the date of grant, such that 50% vest on the second anniversary of the date of grant and an additional 25% vest at the end of each subsequent anniversary, provided that the participant remains continuously employed or engaged by us. In some cases, 25% vest on the first anniversary of the date of grant and an additional 6.25% vest at the end of each subsequent quarter, provided that the participant remains continuously employed by or engaged by us.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Options, other than certain incentive share options, that are not exercised within seven years from the grant date expire, unless otherwise determined by our board of directors or its designated committee, as applicable. Share options that qualify as “incentive stock options” and are granted to a person holding more than 10% of our voting power will expire within five years from the date of the grant. In the event of the death of a grantee while employed by or performing service for us or a subsidiary or within three months after the date of the employee’s termination, or the termination of a grantee’s employment or services for reasons of disability, the grantee, or in the case of death, his or her legal successor, may exercise options that have vested prior to termination within a period of one year from the date of disability or death. If a grantee’s employment or service is terminated by reason of retirement in accordance with applicable law, the grantee may exercise his or her vested options within the three month period after the date of such retirement.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90 days of the date of termination. Any expired or unvested options return to the pool and become available for reissuance.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may but is not required to</w:t>
      </w:r>
    </w:p>
    <w:p>
      <w:pPr>
        <w:jc w:val="both"/>
        <w:ind w:firstLine="8"/>
        <w:spacing w:after="0" w:line="253" w:lineRule="auto"/>
        <w:tabs>
          <w:tab w:leader="none" w:pos="2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outstanding award to be assumed or an equivalent award to be substituted by such successor corporation, or (ii) in case the successor corporation does not assume or substitute the award (a) provide the grantee with the option to exercise the award as to all or part of the shares or (b) cancel the options and pay in cash an amount determined by the board of directors or the committee as fair in the circumstances. Notwithstanding the foregoing, our board of directors or its designated committee may upon such event amend, modify or terminate the terms of any award, including conferring the right to purchase any other security or asset that the board of directors or the committee shall deem, in good faith,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Incentive Compensation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March 2015, we adopted our 2015 Incentive Compensation Plan, or the 2015 Plan. The 2015 Plan provides for the grant of share options, share appreciation rights, restricted share awards, restricted share units, cash-based awards, other share-based awards and dividend equivalents to our company’s and our affiliates’ respective employees, non-employee directors and consultants. The reserved pool of shares under the 2015 Plan is the sum of (i) 661,745 shares; plus (ii) on January 1 of each calendar year during the term of the 2015 Plan a number of shares equal to the lesser of: (x) 3% of the total number of shares outstanding on December 31 of the immediately preceding calendar year, (y) an amount determined by our board of directors, and (z) 1,965,930 shares. From and after the effective date of the 2015 Plan, no further grants or awards shall be made under the 2012 Plan. Generally, shares that are forfeited, cancelled, terminated or expire unexercised, settled in cash in lieu of issuance of shares under the 2015 Plan or the 2012 Plan shall be available for issuance under new awards. Generally, any shares tendered or withheld to pay the exercise price, purchase price of an award, or any withholding taxes shall be available for issuance under new awards. Shares delivered pursuant to “substitute awards” (awards granted in assumption or substitution of awards granted by a company acquired by us) shall not reduce the shares available for issuance under the 2015 Plan. As of December 31, 2017, we had options to purchase 1,664,249 ordinary shares and 88,759 restricted share units outstanding under the 2015 Plan and 1,875,006 ordinary shares reserved for additional grants, including the increase which was effective on January 1, 2018.</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applicable law, the 2015 Plan is administered by our compensation committee which has full authority in all matters related to the discharge of its responsibilities and the exercise of its authority under the plan. Awards under the 2015 Plan may be granted until 10 years after the effective date of the 2015 Plan.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terms of options granted under the 2015 Plan, including the exercise price, vesting provisions and the duration of an option, shall be determined by the compensation committee and set forth in an award agreement. Except as provided in the applicable award agreement, or in the discretion of the compensation committee, an option may be exercised only to the extent that it is then exercisable and shall terminate immediately upon a termination of service of the grantee.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1" w:name="page72"/>
    <w:bookmarkEnd w:id="7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 appreciation rights, or SARs, are awards entitling a grantee to receive a payment representing the difference between the base price per share of the right and the fair market value of a share on the date of exercise. SARs may be granted in tandem with an option or independent and unrelated to an option. The terms of SARs granted under the 2015 Plan, including the base price per share, vesting provisions and the duration of an SAR, shall be determined by the compensation committee and set forth in an award agreement. Except as provided in the applicable award agreement, or in the discretion of the compensation committee, a SAR may be exercised only to the extent that it is then exercisable and shall terminate immediately upon a termination of service of the grantee. At the discretion of the compensation committee, SARs will be payable in cash, ordinary shares or equivalent value or some combination thereof.</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Restricted share awards are ordinary shares that are awarded to a grantee subject to the satisfaction of the terms and conditions established by the compensation committee in the award agreement. Until such time as the applicable restrictions lapse, restricted shares are subject to forfeiture and may not be sold, assigned, pledged or otherwise disposed of by the grantee who holds those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Restricted share units are awards covering a number of hypothetical units with respect to shares that are granted subject to such vesting and transfer restrictions and conditions of payment as the compensation committee may determine in an award agreement. Restricted share units are payable in cash, ordinary shares of equivalent value or a combination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2015 Plan provides for the grant of cash-based award and other share-based awards (which are equity-based or equity related award not otherwise described in the 2015 Plan). The terms of such cash-based awards or other share-based shall be determined by the compensation committee and set forth in the award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Committee may grant dividend equivalents based on the dividends declared on shares that are subject to any award. Dividend equivalents may be subject to any limitations and/or restrictions determined by the compensation committee and shall be converted to cash or additional shares by such formula and at such time, and shall be paid at such times, as may be determined by the compensation committee.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the event of any dividend (excluding any ordinary dividend) or other distribution, recapitalization, share split, reverse share split, reorganization, merger, consolidation, split-up, split-off, combination, repurchase or exchange of shares or similar event (including a change in control) that affects the ordinary shares, the compensation committee shall make any such adjustments in such manner as it may deem equitable, including any or all of the following:</w:t>
      </w:r>
    </w:p>
    <w:p>
      <w:pPr>
        <w:spacing w:after="0" w:line="2" w:lineRule="exact"/>
        <w:rPr>
          <w:sz w:val="20"/>
          <w:szCs w:val="20"/>
          <w:color w:val="auto"/>
        </w:rPr>
      </w:pPr>
    </w:p>
    <w:p>
      <w:pPr>
        <w:jc w:val="both"/>
        <w:ind w:firstLine="8"/>
        <w:spacing w:after="0" w:line="253" w:lineRule="auto"/>
        <w:tabs>
          <w:tab w:leader="none" w:pos="22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number of shares available for grant under the 2015 Plan, (ii) adjusting the terms of outstanding awards, (iii) providing for a substitution or assumption of awards and (iv) cancelling awards in exchange for a payment in cash. In the event of a change of control, each outstanding award shall be treated as the compensation committee determines, including, without limitation, (i) that each award be honored or assumed, or equivalent rights substituted therefor, by the new employer or (ii) that all unvested awards will terminate upon the change in control. Notwithstanding the foregoing, in the event that it is determined that neither (i) or (ii) in the preceding sentence will apply, all awards will become fully vested.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Israeli Sub Plan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2015 Israeli Sub Plan provides for the grant by us of awards pursuant to Sections 102 and 3(i) of the Ordinance, and the rules and regulations promulgated thereunder. The 2015 Israeli Sub Plan is effective with respect to awards granted as of 30 days from the date we submitted it to the Israeli Tax Authority, or the ITA. The 2015 Israeli Sub Plan provides for awards to be granted to those of our or our affiliates’ employees, directors and officers who are not Controlling Shareholders, as defined in the Ordinance, and who are considered Israeli residents, to the extent that such awards either are (i) intended to qualify for special tax treatment under the “capital gains track” provisions of Section 102(b) of the Ordinance or (ii) not intended to qualify for such special tax treatment. The 2015 Israeli Sub Plan also provides for the grant of awards under Section 3(i) of the Ordinance to our Israeli non-employee service providers and Controlling Shareholders, who are not eligible for such special tax treatment.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2" w:name="page73"/>
    <w:bookmarkEnd w:id="7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U.S. Sub Plan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2015 U.S. Sub Plan applies to grantees that are subject to U.S. federal income tax. The 2015 U.S. Sub Plan provides that options granted to the U.S. grantees will either be incentive stock options pursuant to Section 422 of the Internal Revenue Code or nonqualified stock options. Options, other than certain incentive stock options described below, must have an exercise price not less than 100% of the fair market value of an underlying share on the date of grant. Incentive stock options that are not exercised within 10 years from the grant date expire, provided that incentive stock options granted to a person holding more than 10% of our voting power will expire within five years from the date of the grant and must have an exercise price at least equal to 110% of the fair market value of an underlying share on the date of grant. The number of shares available under the 2015 Plan for grants of incentive stock options shall be the total number of shares available under the 2015 Plan subject to any limitations under the Internal Revenue Code and provided that shares delivered pursuant to “substitute awards” shall reduce the shares available for issuance of incentive stock options under the 2015 Plan. It is the intention that no award shall be deferred compensation subject to Section 409A of the Internal Revenue Code unless and to the extent that the compensation committee specifically determines otherwise. If the compensation committee determines an award will be subject to Section 409A of the Internal Revenue Code such awards shall be intended to comply in all respects with Section 409A of the Code, and the 2015 Plan and the terms and conditions of such awards shall be interpreted and administered accordingly.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adopted an employee stock purchase plan, or ESPP, pursuant to which our employees and employees of our subsidiaries may elect to have payroll deductions (or, when not allowed under local laws or regulations, another form of payment) made on each pay day during the offering period in an amount not exceeding 15% of the compensation which the employees receive on each pay day during the offering period. To date, we have not granted employees the right to make purchases under the plan. The number of shares initially reserved for purchase under the ESPP is 242,425 ordinary shares, which will be automatically increased annually on January 1 by a number of ordinary shares equal to the lesser of (i) 1% of the total number of shares outstanding on December 31 of the immediately preceding calendar year, (ii) an amount determined by our board of directors, if so determined prior to January 1 of the year on which the increase will occur, and (iii) 655,310 shares.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ESPP is administered by our board of directors or by a committee designated by the board of directors. Subject to those rights which are reserved to the board of directors or which require shareholder approval under Israeli law, our board of directors has designated the compensation committee to administer the ESPP. To the extent that we grant employees the right to make purchases under the ESPP, on the first day of each offering period, each participating employee will be granted an option to purchase on the exercise date of such offering period up to a number of the company’s ordinary shares determined by dividing (1) the employee’s payroll deductions accumulated prior to such exercise date and retained in the employee’s account as of the exercise date by (2) the applicable purchase price. The applicable purchase price is based on a discount percentage of up to 15%, which percentage may be decreased by the board or the compensation committee, multiplied by the lesser of (1) the fair market value of an ordinary share on the exercise date, or (2) the fair market value of an ordinary share on the offering date.</w:t>
      </w:r>
    </w:p>
    <w:p>
      <w:pPr>
        <w:spacing w:after="0" w:line="18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3" w:name="page74"/>
    <w:bookmarkEnd w:id="7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our articles, our board of directors must consist of at least five and not more than nine directors, including at least two external directors required to be appointed under the Companies Law. Our board of directors consists of nine directors, including our two external directors. Other than external directors, for whom special election requirements apply under the Companies Law, as detailed below, our directors are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is for a term of office that expires on the third annual general meeting following such election or re-election, such that at each annual general meeting the term of office of only one class of directors expires. Each director will hold office until the annual general meeting of our shareholders in which his or her term expires, unless they are removed by a vote of 65% of the total voting power of our shareholders at a general meeting of our shareholders or upon the occurrence of certain events, in accordance with the Companies Law and our articles.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directors are divided among the three classes as follows:</w:t>
      </w:r>
    </w:p>
    <w:p>
      <w:pPr>
        <w:spacing w:after="0" w:line="225" w:lineRule="exact"/>
        <w:rPr>
          <w:sz w:val="20"/>
          <w:szCs w:val="20"/>
          <w:color w:val="auto"/>
        </w:rPr>
      </w:pPr>
    </w:p>
    <w:p>
      <w:pPr>
        <w:ind w:left="1040" w:hanging="384"/>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Alon Lumbroso and Dov Ofer, and their terms expire at the annual general meeting of the shareholders to be held in 2019 and when their successors are elected and qualified;</w:t>
      </w:r>
    </w:p>
    <w:p>
      <w:pPr>
        <w:spacing w:after="0" w:line="161"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Ofer Ben-Zur and Gabi Seligsohn, and their terms expire at our annual general meeting of the shareholders to be held in 2020 and when their successors are elected and qualified; and</w:t>
      </w:r>
    </w:p>
    <w:p>
      <w:pPr>
        <w:spacing w:after="0" w:line="161"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Eli Blatt, Yuval Cohen and Marc Lesnick, and their terms expire at our annual general meeting of the shareholders to be held in 2018 and when their successors are elected and qualified.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determined that our directors, Lauri Hanover, Alon Lumbroso, Jerry Mandel and Dov Ofer are independent under the rules of the NASDAQ Stock Market. The definition of “independent director” under the NASDAQ Stock Market rules and “external director” under the Companies Law overlap to a significant degree such that we would generally expect the two directors serving as external directors to satisfy the requirements to be independent under the NASDAQ Stock Market rules. However, it is possible for a director to qualify as an “external director” under the Companies Law without qualifying as an “independent director” under the NASDAQ Stock Market rules, or vice-versa. The definition of external director under the Companies Law includes a set of statutory criteria that must be satisfied, including criteria whose aim is to ensure that there is no factor that would impair the ability of the external director to exercise independent judgment. The definition of independent director under the NASDAQ Stock Market rules specifies similar, although less stringent, requirements in addition to the requirement that the board of directors consider any factor which would impair the ability of the independent director to exercise independent judgment. In addition, both external directors and independent directors serve for a period of three years; external directors pursuant to the requirements of the Companies Law and independent directors pursuant to the staggered board provisions of our articles. However, external directors must be elected by a special majority of shareholders while independent directors may be elected by an ordinary majority. See “—External Directors” for a description of the requirements under the Companies Law for a director to serve as an external director.</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Companies Law and our articles, nominees for directors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Officer). Any such notice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Companies Law preventing their election, and that all of the information that is required under the Companies Law to be provided to us in connection with such election has been provided.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articles allow our board of directors to appoint directors to fill vacancies on our board of directors for a term of office equal to the remaining period of the term of office of the director(s) whose office(s) have been vacated. External directors are elected for an initial term of three years and may be elected for additional three-year terms under the circumstances described below. External directors may be removed from office only under the limited circumstances set forth in the Companies Law. See “—External Directors.”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our board of directors must determine the minimum number of directors who are required to have accounting and financial expertise. See “—External Directors” below.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4" w:name="page75"/>
    <w:bookmarkEnd w:id="7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regulations promulgated under the Companies Law, Israeli public companies whose shares are traded on certain U.S. stock exchanges, such as the NASDAQ Global Select Market, and that lack a controlling shareholder (as defined below) are exempt from the requirement to appoint external directors. Any such company is also exempt from the Companies Law requirements related to the composition of the audit and compensation committees of the Board. Eligibility for these exemptions is conditioned on compliance with U.S. stock exchange listing rules related to majority Board independence and the composition of the audit and compensation committees of the Board, as applicable to all listed domestic U.S.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we are required to include on our board of directors at least two members who qualify as external directors. Lauri Hanover and Jerry Mandel serve as our external directors.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the Companies Law set forth special approval requirements for the election of external directors. External directors must be elected by a majority vote of the shares present and voting at a meeting of shareholders, provided that either:</w:t>
      </w:r>
    </w:p>
    <w:p>
      <w:pPr>
        <w:spacing w:after="0" w:line="162" w:lineRule="exact"/>
        <w:rPr>
          <w:sz w:val="20"/>
          <w:szCs w:val="20"/>
          <w:color w:val="auto"/>
        </w:rPr>
      </w:pPr>
    </w:p>
    <w:p>
      <w:pPr>
        <w:jc w:val="both"/>
        <w:ind w:left="980" w:hanging="324"/>
        <w:spacing w:after="0" w:line="266"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majority includes at least a majority of the shares held by all shareholders who are not controlling shareholders and who lack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voted by non-controlling, disinterested shareholders and by shareholders (as described in the previous bullet point) against the election of the external director does not exceed 2% of the aggregate voting rights in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 “controlling shareholder” as used in the Companies Law for purposes of all matters related to external directors and for certain other purposes (such as the requirements related to appointment to the audit committee or compensation committee, as described below), means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(chief executive officer).</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initial term of an external director is three years. Thereafter, an external director may be reelected by shareholders to serve in that capacity for up to two additional three-year terms, provided that:</w:t>
      </w:r>
    </w:p>
    <w:p>
      <w:pPr>
        <w:spacing w:after="0" w:line="162" w:lineRule="exact"/>
        <w:rPr>
          <w:sz w:val="20"/>
          <w:szCs w:val="20"/>
          <w:color w:val="auto"/>
        </w:rPr>
      </w:pPr>
    </w:p>
    <w:p>
      <w:pPr>
        <w:jc w:val="both"/>
        <w:ind w:left="980" w:hanging="324"/>
        <w:spacing w:after="0" w:line="261"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or her service for each such additional term is recommended by one or more shareholders holding at least 1% of the company’s voting rights and is approved at a shareholders meeting by a disinterested majority, where the total number of shares held by non-controlling, disinterested shareholders voting for such reelection exceeds 2% of the aggregate voting rights in the company and subject to additional restrictions set forth in the Companies Law with respect to the affiliation of the external director nominee;</w:t>
      </w:r>
    </w:p>
    <w:p>
      <w:pPr>
        <w:spacing w:after="0" w:line="180"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external director proposed his or her own nomination, and such nomination was approved in accordance with the requirements described in the paragraph above; 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or her service for each such additional term is recommended by the board of directors and is approved at a meeting of shareholders by the same majority required for the initial election of an external director (as described above).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5" w:name="page76"/>
    <w:bookmarkEnd w:id="7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term of office for external directors for Israeli companies traded on certain foreign stock exchanges, including the NASDAQ Global Select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described above regarding the reelection of external directors). Prior to the approval of the reelection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External directors may be removed from office by a special general meeting of shareholders called by the board of directors, which approves such dismissal by the same shareholder vote percentage required for their election or by a court, in each case, only under limited circumstances, including ceasing to meet the statutory qualifications for appointment, or violating their duty of loyalty to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external directorship becomes vacant and there are fewer than two external directors on the board of directors at the time, then the board of directors is required under the Companies Law to call a shareholders’ meeting as soon as practicable to appoint a replacement external director.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thereof. Under the Companies Law, external directors of a company are prohibited from receiving, directly or indirectly, any compensation from the company other than for their services as external directors pursuant to the Companies Law and the regulations promulgated thereunder. Compensation of an external director is determined prior to his or her appointment and may not be changed during his or her term subject to certain exceptions.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affiliation or other disqualifying relationship with a person then serving as chairman of the board or chief executive officer, a holder of 5% or more of the issued share capital or voting power in the company or the most senior financial officer.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 “relative” is defined in the Companies Law as a spouse, sibling, parent, grandparent or descendant; spouse’s sibling, parent or descendant; and the spouse of each of the foregoing persons.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the term “affiliation” and the similar types of disqualifying relationships, as used above, include (subject to certain exceptions):</w:t>
      </w:r>
    </w:p>
    <w:p>
      <w:pPr>
        <w:spacing w:after="0" w:line="162"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employment relationship;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or professional relationship even if not maintained on a regular basis (excluding insignificant relationships);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 “office holder” is defined in the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6" w:name="page77"/>
    <w:bookmarkEnd w:id="7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for his or her service as an external director, other than as permitted by the Companies Law and the regulations promulgated thereunder.</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one company may not be appointed as an external director of another company if a director of the other company is acting as an external director of the first company at such time.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Companies Law and regulations promulgated thereunder, a person may be appointed as an external director only if he or she has professional qualifications or if he or she has accounting and financial expertise (each, as defined below), provided that at least one of the external directors must be determined by our board of directors to have accounting and financial expertise. However, if at least one of our other directors (i) meets the independence requirements under the Exchange Act, (ii) meets the standards of the Listing Rules of the NASDAQ Stock Market rules for membership on the audit committee, and (iii) has accounting and financial expertise as defined under the Companies Law, then neither of our external directors is required to possess accounting and financial expertise as long as each possesses the requisite professional qualifications.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director with accounting and financial expertise is a director who, due to his or her education, experience and skills, possesses an expertise in, and an understanding of, financial and accounting matters and financial statements, such that he or she is able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administration, (ii) an academic degree or has completed another form of higher education in the primary field of business of the company or in a field which is relevant to his/her position in the company, or (iii) at least five years of experience serving in one of the following capacities, or at least five years of cumulative experience serving in two or more of the following capacities: (a) a senior business management position in a company with a significant volume of business; (b) a senior position in the company’s primary field of business; or</w:t>
      </w:r>
    </w:p>
    <w:p>
      <w:pPr>
        <w:spacing w:after="0" w:line="4" w:lineRule="exact"/>
        <w:rPr>
          <w:sz w:val="20"/>
          <w:szCs w:val="20"/>
          <w:color w:val="auto"/>
        </w:rPr>
      </w:pPr>
    </w:p>
    <w:p>
      <w:pPr>
        <w:ind w:right="20" w:firstLine="8"/>
        <w:spacing w:after="0" w:line="261" w:lineRule="auto"/>
        <w:tabs>
          <w:tab w:leader="none" w:pos="27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position in public administration or service. The board of directors is charged with determining whether a director possesses financial and accounting expertise or professional qualifications.</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each of Lauri Hanover and Jerry Mandel possesses accounting expertise, financial expertise and professional qualifications as defined under the Companies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Structure of the Board</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Companies Law and our articles, our board of directors is required to appoint one of its members to serve as chairman of the board of directors. Our board of directors has appointed Yuval Cohen to serve as chairman of the board of directors.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7" w:name="page78"/>
    <w:bookmarkEnd w:id="7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audit committee consists of our two external directors, Lauri Hanover (Chairperson) and Jerry Mandel as well as Dov Ofer.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Companies Law Requirements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Companies Law, we are required to appoint an audit committee. The audit committee must be comprised of at least three directors, including all of the external directors, one of whom must serve as chairperson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Companies Law, the audit committee of a publicly traded company must consist of a majority of independent directors. In general, an “independent director” under the Companies Law is defined as either an external director or as a director who meets the following criteria:</w:t>
      </w:r>
    </w:p>
    <w:p>
      <w:pPr>
        <w:spacing w:after="0" w:line="189" w:lineRule="exact"/>
        <w:rPr>
          <w:sz w:val="20"/>
          <w:szCs w:val="20"/>
          <w:color w:val="auto"/>
        </w:rPr>
      </w:pPr>
    </w:p>
    <w:p>
      <w:pPr>
        <w:jc w:val="both"/>
        <w:ind w:left="980" w:hanging="324"/>
        <w:spacing w:after="0" w:line="266"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or she meets the qualifications for being appointed as an external director, except for the requirement (i) that the director be an Israeli resident (which does not apply to companies such as ours whose securities have been offered outside of Israel or are listed for trading outside of Israel) and (ii) for accounting and financial expertise or professional qualifications; and</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subject to certain exceptions, Israeli companies whose securities are traded on stock exchanges such as the NASDAQ Global Select Market, and who do not have a controlling shareholder, do not have to meet the independent majority requirement; provided, however, that the audit committee meets other Companies Law composition requirements, as well as the requirements of the jurisdiction where the company’s securities are traded. As we currently do not meet the requirements applicable to U.S. companies listed on the NASDAQ Global Select Market, we are obligated to meet the majority requirement, although this may change in the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Requirements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members of our audit committee meet the requirements for financial literacy under the applicable rules and regulations of the SEC and NASDAQ corporate governance rules. Our board of directors has determined that Lauri Hanover and Jerry Mandel is each an audit committee financial expert as defined by the SEC rules and has the requisite financial experience as defined by NASDAQ corporate governance rules.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of the members of our audit committee is “independent” as such term is defined in Rule 10A-3(b)(1) under the Exchange Act and satisfies the independent director requirements under the NASDAQ Stock Market rules.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8" w:name="page79"/>
    <w:bookmarkEnd w:id="7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Role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an audit committee charter that sets forth the responsibilities of the audit committee consistent with the rules and regulations of the SEC and the listing requirements of the NASDAQ Stock Market, as well as the requirements for such committee under the Companies Law, including the following:</w:t>
      </w:r>
    </w:p>
    <w:p>
      <w:pPr>
        <w:spacing w:after="0" w:line="176" w:lineRule="exact"/>
        <w:rPr>
          <w:sz w:val="20"/>
          <w:szCs w:val="20"/>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engagement or termination of the person filling the office of our internal auditor;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terms of audit and non-audit services provided by the independent registered public accounting firm for pre-approval by our board of directors.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Companies Law, our audit committee is responsible for:</w:t>
      </w:r>
    </w:p>
    <w:p>
      <w:pPr>
        <w:spacing w:after="0" w:line="225" w:lineRule="exact"/>
        <w:rPr>
          <w:sz w:val="20"/>
          <w:szCs w:val="20"/>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to approve certain related party transactions (including transactions in which an office holder has a personal interest and whether such transaction is material or extraordinary under the Companies Law) (see “—Approval of Related Party Transactions under Israeli Law”);</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board of directors approves the working plan of the internal auditor, examining such working plan before its submission to the board of directors and proposing amendments thereto;</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our internal audit controls and internal auditor’s performance, including whether the internal auditor has sufficient resources and tools to fulfill his or her responsibilities;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handling of employees’ complaints as to the management of our business and the protection to be provided to such employees.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 committee may not approve any actions requiring its approval (see “—Approval of Related Party Transactions under Israeli Law”), unless at the time of the approval a majority of the committee’s members are present, which majority consists of independent directors including at least one external 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and Compensation Policy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compensation committee consists of our two external directors, Jerry Mandel (Chairman) and Lauri Hanover as well as Dov Ofer.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9" w:name="page80"/>
    <w:bookmarkEnd w:id="7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Companies Law Requirements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Companies Law, the board of directors of a public company must appoint a compensation committee. The compensation committee must be comprised of at least three directors, including all of the external directors, who must constitute a majority of the members of, and include the chairman of, the compensation committee. However, subject to certain exceptions, Israeli companies whose securities are traded on stock exchanges such as the NASDAQ Global Select Market, and who do not have a controlling shareholder, do not have to meet this majority requirement; provided, however, that the compensation committee meets other Companies Law composition requirements, as well as the requirements of the jurisdiction where the company’s securities are traded. As we currently do not meet the requirements applicable to U.S. companies listed on the NASDAQ Global Select Market, we are obligated to meet the majority requirement, although this may change in the future. Each compensation committee member who is not an external director must be a director whose compensation does not exceed an amount that may be paid to an external director. The compensation committee is subject to the same Companies Law restrictions as the audit committee as to who may not be a member of the compensation committee.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must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and shareholders who do not have a personal interest in the compensation arrangement and who vote against the arrangement does not exceed 2% of the company’s aggregate voting rights.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with respect to matters related to approval of the terms of engagement of office holders, including:</w:t>
      </w:r>
    </w:p>
    <w:p>
      <w:pPr>
        <w:spacing w:after="0" w:line="176" w:lineRule="exact"/>
        <w:rPr>
          <w:sz w:val="20"/>
          <w:szCs w:val="20"/>
          <w:color w:val="auto"/>
        </w:rPr>
      </w:pPr>
    </w:p>
    <w:p>
      <w:pPr>
        <w:jc w:val="both"/>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periodic updates to the compensation policy and assessing implementation of the compensation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compensation terms of executive officers, directors and employees that require approval of the compensation committee;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subject to the approval of the board and under special circumstances, override a determination of the company’s shareholders regarding certain compensation related issues.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Consistent with the foregoing requirements, following the recommendation of our compensation committee, our Board and our shareholders approved our compensation policy in July 2015 and September 2015,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0" w:name="page81"/>
    <w:bookmarkEnd w:id="8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Requirements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satisfies those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Role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adopted a compensation committee charter that sets forth the responsibilities of the compensation committee, which include:</w:t>
      </w:r>
    </w:p>
    <w:p>
      <w:pPr>
        <w:spacing w:after="0" w:line="225"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responsibilities set forth in the compensation policy;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granting of options and other incentive awards to the extent such authority is delegated by our board of directors;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making recommendations regarding the compensation and benefits for our non-employee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compensation of directors requires the approval of a company’s compensation committee, the subsequent approval of the board of directors and, unless exempted under the regulations promulgated under the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External directors are entitled to remuneration subject to the provisions and limitations set forth in the regulations promulgated under the Companies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see “—Compensation of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Auditor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the board of directors of an Israeli public company must appoint an internal auditor recommended by the audit committee. An internal auditor may not be:</w:t>
      </w:r>
    </w:p>
    <w:p>
      <w:pPr>
        <w:spacing w:after="0" w:line="162"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relative of a person) who holds 5% or more of the company’s outstanding shares or voting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relative of a person) who has the power to appoint a director or the general manager of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 holder (including a director) of the company (or a relative thereof);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company’s independent auditor, or anyone on its behalf.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Irena Ben-Yakar of Brightman Almagor &amp; Zohar (Deloitte) serves as our internal auditor.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1" w:name="page82"/>
    <w:bookmarkEnd w:id="8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Related Party Transactions Under Israeli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Fiduciary Duties of Directors and Executive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Companies Law codifies the fiduciary duties that office holders owe to a company. Each person listed in the table under “Directors and Senior Management” is an office holder under the Companies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duty of care includes a duty to use reasonable means to obtain:</w:t>
      </w:r>
    </w:p>
    <w:p>
      <w:pPr>
        <w:spacing w:after="0" w:line="225"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advisability of a given action brought for his or her approval or performed by virtue of his or her position;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important information pertaining to any such action.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duty of loyalty includes a duty to:</w:t>
      </w:r>
    </w:p>
    <w:p>
      <w:pPr>
        <w:spacing w:after="0" w:line="225" w:lineRule="exact"/>
        <w:rPr>
          <w:sz w:val="20"/>
          <w:szCs w:val="20"/>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conflict of interest between the performance of his or her duties to the company and his or her other duties or personal affairs;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activity that is competitive with the business of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exploiting any business opportunity of the company to receive a personal gain for himself or herself or others;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the company any information or documents relating to the company’s affairs which the office holder received as a result of his or her position as an office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Personal Interests of an Office Holder and Approval of Certain Transactions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Law requires that an office holder promptly disclose to the board of directors any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Companies Law, an extraordinary transaction is defined as any of the following:</w:t>
      </w:r>
    </w:p>
    <w:p>
      <w:pPr>
        <w:spacing w:after="0" w:line="180"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other than in the ordinary course of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2" w:name="page83"/>
    <w:bookmarkEnd w:id="8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is not on market terms;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may have a material impact on a company’s profitability, assets or liabilities.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Generally, a person who has a personal interest in a matter which is considered at a meeting of the board of directors or the audit committee may not be present at such a meeting or vote on that matter unless the chairman of the relevant committee or board of directors (as applicable) determines that he or she should be present in order to present the 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Personal Interests of Controlling Shareholders and Approval of Certain Transactions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Israeli law, the disclosure requirements regarding personal interests that apply to directors and executive officers also apply to a controlling shareholder of a public company. The Companies Law provides a broader definition of a controlling shareholder solely with respect to the provisions pertaining to related party transactions. For such purposes, a controlling shareholder is a shareholder that has the ability to direct the activities of a company, including by holding 50% or more of the voting rights in a company or by having the right to appoint the majority of the directors of the company or its general manager (chief executive officer), and furthermore, by holding 25% or more of the voting rights if no other shareholder holds more than 50% of the voting rights. For this purpose, the holdings of all shareholders who have a personal interest in the same transaction will be aggregated. An extraordinary transaction between a public company and a controlling shareholder or in which a controlling shareholder has a personal interest and the terms of any compensation arrangement of a controlling shareholder who is an office holder or his relative, require the approval of a company’s audit committee (or compensation committee with respect to compensation arrangements), board of directors and shareholders, in that order. In addition, the shareholder approval must fulfill one of the following requirements:</w:t>
      </w:r>
    </w:p>
    <w:p>
      <w:pPr>
        <w:spacing w:after="0" w:line="186" w:lineRule="exact"/>
        <w:rPr>
          <w:sz w:val="20"/>
          <w:szCs w:val="20"/>
          <w:color w:val="auto"/>
        </w:rPr>
      </w:pPr>
    </w:p>
    <w:p>
      <w:pPr>
        <w:ind w:left="98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voted against the transaction by shareholders who have no personal interest in the transaction and who are present and voting at the meeting do not exceed 2% of the voting rights in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given the circumstances related thereto.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3" w:name="page84"/>
    <w:bookmarkEnd w:id="8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regulations promulgated under the Companies Law, certain transactions with a controlling shareholder or his or her relative, or with directors, that would otherwise require approval of a company’s shareholders may be exempt from shareholder approval upon certain determinations of the audit committee and board of directors. Under these regulations, a shareholder holding at least 1% of the issued share capital of the company may require, within 14 days of the publication of such determinations, that despite such determinations by the audit committee and the board of directors, such transaction will require shareholder approval under the same majority requirements that would otherwise apply to such transactions.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Duties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76" w:lineRule="exact"/>
        <w:rPr>
          <w:sz w:val="20"/>
          <w:szCs w:val="20"/>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company’s articles of association;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the company’s authorized share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w:t>
      </w:r>
    </w:p>
    <w:p>
      <w:pPr>
        <w:spacing w:after="0" w:line="225" w:lineRule="exact"/>
        <w:rPr>
          <w:rFonts w:ascii="Times New Roman" w:cs="Times New Roman" w:eastAsia="Times New Roman" w:hAnsi="Times New Roman"/>
          <w:sz w:val="18"/>
          <w:szCs w:val="18"/>
          <w:color w:val="auto"/>
        </w:rPr>
      </w:pPr>
    </w:p>
    <w:p>
      <w:pPr>
        <w:ind w:left="660" w:right="3160" w:hanging="4"/>
        <w:spacing w:after="0" w:line="501" w:lineRule="auto"/>
        <w:tabs>
          <w:tab w:leader="none" w:pos="98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related party transactions and acts of office holders that require shareholder approval. A shareholder also has a general duty to refrain from discriminating against other shareholders.</w:t>
      </w: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Companies Law does not define the substance of the duty of fairness, except to state that the remedies generally available upon a breach of contract will also apply in the event of a breach of the duty to act with fairness.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Exculpation, Insurance and Indemnification of Directors and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include such a provision. A company may not exculpate in advance a director from liability arising out of a prohibited dividend or distribution to shareholders.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76" w:lineRule="exact"/>
        <w:rPr>
          <w:sz w:val="20"/>
          <w:szCs w:val="20"/>
          <w:color w:val="auto"/>
        </w:rPr>
      </w:pPr>
    </w:p>
    <w:p>
      <w:pPr>
        <w:jc w:val="both"/>
        <w:ind w:left="980" w:hanging="324"/>
        <w:spacing w:after="0" w:line="258"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4" w:name="page85"/>
    <w:bookmarkEnd w:id="8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left="980" w:hanging="324"/>
        <w:spacing w:after="0" w:line="258"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Companies Law, a company may insure an office holder against the following liabilities incurred for acts performed by him or her as an office holder, if and to the extent provided in the company’s articles of association:</w:t>
      </w:r>
    </w:p>
    <w:p>
      <w:pPr>
        <w:spacing w:after="0" w:line="162" w:lineRule="exact"/>
        <w:rPr>
          <w:sz w:val="20"/>
          <w:szCs w:val="20"/>
          <w:color w:val="auto"/>
        </w:rPr>
      </w:pPr>
    </w:p>
    <w:p>
      <w:pPr>
        <w:ind w:left="98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to the company, provided that the office holder acted in good faith and had a reasonable basis to believe that the act would not harm the company;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duty of care to the company or to a third party, to the extent such a breach arises out of the negligent conduct of the office holder;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Companies Law, a company may not indemnify, exculpate or insure an office holder against any of the following:</w:t>
      </w:r>
    </w:p>
    <w:p>
      <w:pPr>
        <w:spacing w:after="0" w:line="225" w:lineRule="exact"/>
        <w:rPr>
          <w:sz w:val="20"/>
          <w:szCs w:val="20"/>
          <w:color w:val="auto"/>
        </w:rPr>
      </w:pPr>
    </w:p>
    <w:p>
      <w:pPr>
        <w:ind w:left="980" w:right="2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duty of care committed intentionally or recklessly, excluding a breach arising out of the negligent conduct of the office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or omission committed with intent to derive illegal personal benefit;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fine or forfeit levied against the office holder.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articles permit us to exculpate, indemnify and insure our office holders to the fullest extent permitted or to be permitted by the Companies Law.</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obtained directors and officers liability insurance for the benefit of our office holders and intend to continue to maintain such coverage and pay all premiums thereunder to the fullest extent permitted by the Companies Law. In addition, we entered into agreements with each of our directors and executive officers exculpating them from liability to us for damages caused to us as a result of a breach of duty of care and undertaking to indemnify them, in each case, to the fullest extent permitted by our articles and the Companies Law, including with respect to liabilities resulting from a public offering of our shares, to the extent that these liabilities are not covered by insurance.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5" w:name="page86"/>
    <w:bookmarkEnd w:id="8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2017, we had 412 employees and subcontractors with 267 located in Israel, 66 in the United States, 42 in Germany and 37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The following table shows the breakdown of our workforce of employees and subcontractors by category of activity as of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Area of Activity</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20"/>
                <w:szCs w:val="20"/>
                <w:color w:val="auto"/>
              </w:rPr>
            </w:pPr>
          </w:p>
        </w:tc>
        <w:tc>
          <w:tcPr>
            <w:tcW w:w="13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 operations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gridSpan w:val="2"/>
            <w:vMerge w:val="continue"/>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and Industry. These provisions primarily concern pension fund benefits for all employees, insurance for work-related accidents, recuperation pay and travel expenses. We generally provide our employees with benefits and working conditions beyond the required minimums. With respect to our German employees, German and European labor laws govern the common employment terms including worktime, annual leave and employment termination. In addition to that our Kornit Digital Europe GmbH have a work council. Work council must be consulted about specific employee related issues and has the right to make proposals to management according to the German Works Constitution Act (BetrVG).</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never experienced any labor-related work stoppages or strikes and believe our relationships with our employees are good.</w:t>
      </w:r>
    </w:p>
    <w:p>
      <w:pPr>
        <w:spacing w:after="0" w:line="22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Share Ownership</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executive officers, please refer to “ITEM 6.B. Compensation” and “ITEM 7.A. Major Shareholders.”</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Major Shareholders and Related Party Transactions.</w:t>
      </w:r>
    </w:p>
    <w:p>
      <w:pPr>
        <w:spacing w:after="0" w:line="225"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February 28, 2018:</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own beneficially 5% or more of our outstanding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individually;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6" w:name="page87"/>
    <w:bookmarkEnd w:id="8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beneficial ownership of our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February 28, 2018 to be outstanding and to be beneficially owned by the person holding the options for the purposes of computing the percentage ownership of that person, but we do not treat them as outstanding for the purpose of computing the percentage ownership of any other person. Except where otherwise indicated, we believe, based on information furnished to us by such owners, that the beneficial owners of the ordinary shares listed below have sole investment and voting power with respect to such shares.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noted below, each shareholder’s address is c/o Kornit Digital Ltd., 12 Ha’Amal Street, Rosh –Ha’Ayin 4809246, Israel.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percentages set forth below are based on 34,277,324 ordinary shares outstanding as of February 28, 2018.</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where otherwise indicated, we believe, based on information furnished to us by such owners, that the beneficial owners of the ordinary shares listed below have sole investment and voting power with respect to such shares. All of our shareholders, including the shareholders listed below, have the same voting rights attached to their ordinary shares. See “ITEM 10.B Articles of Association.”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description of any material relationship that our major shareholders have had with us or any of our predecessors or affiliates within the past year is included under “ITEM 7.B—Related Party Transactions.”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Fortissimo Capital Fund II (Israel), L.P.</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4,552,481</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American Capital Management Inc. </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2,545,895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William Blair &amp; Company, LLC </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2,461,857</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Granahan Investment Management, Inc. </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2,331,724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Gilder, Gagnon, Howe &amp; Co. LLC </w:t>
            </w:r>
            <w:r>
              <w:rPr>
                <w:rFonts w:ascii="Times New Roman" w:cs="Times New Roman" w:eastAsia="Times New Roman" w:hAnsi="Times New Roman"/>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1,763,373</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Senvest Management, LLC</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1,695,677</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Yuval Cohen</w:t>
            </w:r>
            <w:r>
              <w:rPr>
                <w:rFonts w:ascii="Times New Roman" w:cs="Times New Roman" w:eastAsia="Times New Roman" w:hAnsi="Times New Roman"/>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4,582,091</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Ofer Ben-Zur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Eli Blatt</w:t>
            </w:r>
            <w:r>
              <w:rPr>
                <w:rFonts w:ascii="Times New Roman" w:cs="Times New Roman" w:eastAsia="Times New Roman" w:hAnsi="Times New Roman"/>
                <w:sz w:val="29"/>
                <w:szCs w:val="29"/>
                <w:color w:val="auto"/>
                <w:vertAlign w:val="superscript"/>
              </w:rPr>
              <w:t>(8)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4,573,208</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Lauri Hanover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 Lesnick</w:t>
            </w:r>
            <w:r>
              <w:rPr>
                <w:rFonts w:ascii="Times New Roman" w:cs="Times New Roman" w:eastAsia="Times New Roman" w:hAnsi="Times New Roman"/>
                <w:sz w:val="29"/>
                <w:szCs w:val="29"/>
                <w:color w:val="auto"/>
                <w:vertAlign w:val="superscript"/>
              </w:rPr>
              <w:t>(8)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4,573,208</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Alon Lumbroso</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Jerry Mandel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Dov Ofer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Gabi Seligsohn</w:t>
            </w:r>
            <w:r>
              <w:rPr>
                <w:rFonts w:ascii="Times New Roman" w:cs="Times New Roman" w:eastAsia="Times New Roman" w:hAnsi="Times New Roman"/>
                <w:sz w:val="29"/>
                <w:szCs w:val="29"/>
                <w:color w:val="auto"/>
                <w:vertAlign w:val="superscript"/>
              </w:rPr>
              <w:t>(9)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492,349</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Nuriel Amir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Guy Avidan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Gilad Yron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All Directors and Executive Officers as a Group (12 persons) </w:t>
            </w:r>
            <w:r>
              <w:rPr>
                <w:rFonts w:ascii="Times New Roman" w:cs="Times New Roman" w:eastAsia="Times New Roman" w:hAnsi="Times New Roman"/>
                <w:sz w:val="29"/>
                <w:szCs w:val="29"/>
                <w:b w:val="1"/>
                <w:bCs w:val="1"/>
                <w:color w:val="auto"/>
                <w:vertAlign w:val="superscript"/>
              </w:rPr>
              <w:t>(10)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5,250,438</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40" w:right="5220" w:hanging="5632"/>
        <w:spacing w:after="0" w:line="541" w:lineRule="auto"/>
        <w:tabs>
          <w:tab w:leader="none" w:pos="15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beneficial ownership of less than 1% of our outstanding ordinary shares.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7" w:name="page88"/>
    <w:bookmarkEnd w:id="8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left="340" w:hanging="332"/>
        <w:spacing w:after="0" w:line="256"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us by Fortissimo Capital Fund II (Israel), L.P. (“Fortissimo Fund II”), Fortissimo Capital Fund II (GP), L.P. (“Fortissimo II GP”) and Fortissimo Capital 2 Management (GP) Ltd. (“Fortissimo Management”). Fortissimo II GP is a Cayman Island limited partnership, which serves as the general partner of Fortissimo Fund II, an Israeli limited partnership: The general partner of Fortissimo II GP is Fortissimo Management, a Cayman Islands corporation. Messrs. Eli Blatt, Yuval Cohen and Marc Lesnick are members of the investment committee of Fortissimo Management and share voting and dispositive power with respect to such shares. The principal address of Fortissimo Management is 14 Hamelacha Street, Park Afek, Rosh Ha’Ayin 48091, Israel.</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based on a Schedule 13G filed with the Securities and Exchange Commission on February 1, 2018.</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based on a Schedule 13G filed with the Securities and Exchange Commission on February 12, 2018 by William Blair &amp; Company, LLC.</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based on a Schedule 13G filed with the Securities and Exchange Commission on February 12, 2018 by Granahan Investment Management, Inc.</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1"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based on a Schedule 13G filed with the Securities and Exchange Commission on February 14, 2018 by Gilder, Gagnon, Howe &amp; Co. LLC (“Gilder”). The shares reported include 1,198,972 shares held in customer accounts over which partners and/or employees of Gilder have discretionary authority to dispose of or direct the disposition of the shares, 44,410 shares held in the account of the profit sharing plan of Gilder, and 519,991 shares held in accounts owned by the partners of Gilder and their families.</w:t>
      </w:r>
    </w:p>
    <w:p>
      <w:pPr>
        <w:spacing w:after="0" w:line="180"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12, 2018, based on a Schedule 13G filed with the Securities and Exchange Commission on January 16, 2018 by Senvest Management, LLC. The reported securities are held in the accounts of Senvest Master Fund, LP, Senvest Israel Partners Master Fund, LP and Senvest Global (KY), LP (collectively, the “Senvest Investment Vehicles”). Senvest Management, LLC serves as investment manager of the Investment Vehicles. Richard Mashaal is the managing member of Senvest Management, LLC. Mr. Mashaal may be deemed to have voting and dispositive powers over the securities held by the Senvest Investment Vehicles. Senvest Management, LLC may be deemed to beneficially own the securities held by the Senvest Investment Vehicles by virtue of Senvest Management, LLC’s position as investment manager of each of the Senvest Investment Vehicles. Mr. Mashaal may be deemed to beneficially own the securities held by the Senvest Investment Vehicles by virtue of Mr. Mashaal’s status as the managing member of Senvest Management, LLC.</w:t>
      </w:r>
    </w:p>
    <w:p>
      <w:pPr>
        <w:spacing w:after="0" w:line="18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4,552,481 ordinary shares held by Fortissimo Capital and options to purchase 29,610 ordinary shares exercisable within 60 days of February 28, 2018.</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4,552,481 ordinary shares held by Fortissimo Capital and options to purchase 20,727 ordinary shares exercisable within 60 days of February 28, 2018.</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36,357 ordinary shares and options to purchase 455,992 ordinary shares exercisable within 60 days of February 28, 2018.</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4,599,379 ordinary shares and options to purchase 651,059 ordinary shares exercisable within 60 days of February 28,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Significant Changes in the Percentage Ownership of Major Shareholders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2017, Fortissimo Capital sold 6,235,000 of our ordinary shares in a secondary public offering, which decreased its holdings in our Company from 48.5% to 26.3% (after taking into account the increase in outstanding shares resulting from our concurrent follow-on offering). In February 2017, we were informed by FMR LLC that they had sold all of their shares of the Company previously reported to have been held. In May 2017, Fortissimo Capital sold 4,250,000 of our ordinary shares in a secondary public offering, which, following a concurrent follow-on offering by the Company decreased its holdings in our Company to 4,552,481. Other than the foregoing, there have been no recent significant changes in the percentage ownership of major shareholders.</w:t>
      </w:r>
    </w:p>
    <w:p>
      <w:pPr>
        <w:spacing w:after="0" w:line="18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2017, to which we were or will be a party and in which the other parties included or will include our directors, executive officers, holders of more than 10% of our voting securities or any member of the immediate family of any of the foregoing persons.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88" w:name="page89"/>
    <w:bookmarkEnd w:id="8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party to an amended and restated investors’ rights agreement, dated March 18, 2015, or the Investors’ Rights Agreement, with certain of our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Registration Rights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any time, Fortissimo Capital may request that we file a registration statement. Upon receipt of such registration request, we are obligated to use our reasonable commercial efforts to file the registration statement as soon as possible. We have the right not to effect such filing during the period that is within 90 days after we have filed another such registration statement or completed certain other registered offerings or if we intend to file a registration statement for our own account within 90 days. We are not obligated to file more than two registration statements on Form F-1 pursuant to these demand provisions. Any other holder of registrable securities has the right to include its registrable securities in an underwritten registration pursuant to a demand registration.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propose to offer any of our ordinary shares in a public offering, the holders of registrable securities are entitled to at least 15 days’ notice prior to the filing of the relevant registration statement or prospectus and may include all or a portion of their shares in the offering subject to becoming party to a customary underwriting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Shelf Registration Rights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become eligible to register any of our shares on Form F-3, Fortissimo Capital may request that we file a shelf registration statement for an offering to be made on a delayed or continuous basis pursuant to Rule 415 under the Securities Act registering the resale from time to time by Fortissimo Capital of registrable shares. In such event, we are required to give written notice of such request to all holders of registrable securities, who may elect to join in such request. Subsequently, upon notice from Fortissimo Capital or from the holders of a majority of the outstanding registrable securities, we are required to effect up to two underwritten takedowns from such shelf registration statement within any 12-month period. We are not required to effect any underwritten offering with 90 days of another underwritten offering.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Provisions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the right not to effect any filing or offering if, in the good faith judgment of our board of directors, it would be seriously detrimental to us or our stockholders for such filing or offering to be effected. We may exercise this right twice in any 12-month period for an aggregate of up to 90 days during such period.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pay all registration expenses (other than underwriting discounts and selling commissions) and the reasonable fees and expenses of a single counsel for the selling shareholders, related to any demand, piggyback or shelf registration.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rights of any shareholder who is a party to the Investors’ Rights Agreement to request registration or inclusion of registrable securities in any registration pursuant hereunder shall terminate when such shareholder holds less than 3% of our outstanding shares and such shareholder’s registrable securities could be sold without volume restrictions, manner of sale restrictions or notice requirements pursuant to Rule 144 under the Securities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9" w:name="page90"/>
    <w:bookmarkEnd w:id="8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and Arrangements with, and Compensation of, Directors and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our inception we have granted options to purchase our ordinary shares to our officers and certain of our directors. Such option agreements may contain acceleration provisions upon certain merger, acquisition, or change of control transactions. We describe our option plans under ITEM 6.B. Compensation. If the relationship between us and an executive officer or a director is terminated, except for cause (as defined in the option plans), all options that are vested will generally remain exercisable for ninety days after such termination.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options to purchase our ordinary shares held by each of our directors and officers who beneficially owns greater than one percent of our ordinary shares: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45"/>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Name/Title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0" w:type="dxa"/>
            <w:vAlign w:val="bottom"/>
          </w:tcPr>
          <w:p>
            <w:pPr>
              <w:spacing w:after="0"/>
              <w:rPr>
                <w:sz w:val="21"/>
                <w:szCs w:val="21"/>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16"/>
        </w:trPr>
        <w:tc>
          <w:tcPr>
            <w:tcW w:w="6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Yuval Cohen, Chairman of the Board of Directors</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6, 2025</w:t>
            </w: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 Blatt, Director</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20,727</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9.97</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2025</w:t>
            </w: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Lesnick, Director</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20,727</w:t>
            </w: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9.97</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6, 2025</w:t>
            </w: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Gabi Seligsohn, Chief Executive Officer and Director</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320,992</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27, 2024</w:t>
            </w:r>
          </w:p>
        </w:tc>
      </w:tr>
      <w:tr>
        <w:trPr>
          <w:trHeight w:val="216"/>
        </w:trPr>
        <w:tc>
          <w:tcPr>
            <w:tcW w:w="6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120,000</w:t>
            </w: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12.97</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28, 2025</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120,000</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9.49</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28, 2026</w:t>
            </w:r>
          </w:p>
        </w:tc>
      </w:tr>
      <w:tr>
        <w:trPr>
          <w:trHeight w:val="216"/>
        </w:trPr>
        <w:tc>
          <w:tcPr>
            <w:tcW w:w="6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120,000</w:t>
            </w: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15.05</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28, 2027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articles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“ITEM 6.C Board Practices—Exculpation, Insurance and Indemnification of Directors and Officers.”</w:t>
      </w:r>
    </w:p>
    <w:p>
      <w:pPr>
        <w:spacing w:after="0" w:line="180" w:lineRule="exact"/>
        <w:rPr>
          <w:sz w:val="20"/>
          <w:szCs w:val="20"/>
          <w:color w:val="auto"/>
        </w:rPr>
      </w:pPr>
    </w:p>
    <w:p>
      <w:pPr>
        <w:ind w:left="660" w:right="8260" w:hanging="328"/>
        <w:spacing w:after="0" w:line="501" w:lineRule="auto"/>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Financial Information.</w:t>
      </w:r>
    </w:p>
    <w:p>
      <w:pPr>
        <w:spacing w:after="0" w:line="225"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Statements and Other Financial Information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appended our financial statements at the end of this annual report, starting at page F-2,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become party to litigation or other legal proceedings that we consider to be a part of the ordinary course of our business. Except as set forth below, currently, and in the recent past, we are not and have not been a party to any legal proceedings, nor are there any legal proceedings (including governmental proceedings) pending or, to our knowledge, threatened against us, that our management believes, individually or in the aggregate, would have a significant effect on our financial position or profitability. We intend to defend against any claims to which we may become subject, and to proceed with any claims that we may need to assert against third parties, in a vigorous fashion.</w:t>
      </w:r>
    </w:p>
    <w:p>
      <w:pPr>
        <w:sectPr>
          <w:pgSz w:w="11900" w:h="16838" w:orient="portrait"/>
          <w:cols w:equalWidth="0" w:num="1">
            <w:col w:w="11420"/>
          </w:cols>
          <w:pgMar w:left="240" w:top="220" w:right="23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90" w:name="page91"/>
    <w:bookmarkEnd w:id="9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Distribution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See “ITEM 3.D—Risk Factors— Risks Related to Our Ordinary Shares—We have never paid cash dividends on our share capital, and we do not anticipate paying any cash dividends in the foreseeable future” and “ITEM 10.B—Articles of Association—Dividend and Liquidation Rights” for an explanation concerning the payment of dividends under Israeli law</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tab/>
        <w:t>Significant Changes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Since the date of our financial statements included in ITEM 18 of this annual report, there has not been a significant change in our company other than as described elsewhere in this annual report.</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The Offer and Listing.</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Listing details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ordinary shares have been quoted on the NASDAQ Global Select Market under the symbol “KRNT” since April 2, 2015. Prior to that date, there was no public trading market for our ordinary shares. Our IPO was priced at $10.00 per share on April 2, 2015. The following table sets forth for the periods indicated the high and low sales prices per ordinary share as reported on NASDAQ:</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Low</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High</w:t>
            </w:r>
          </w:p>
        </w:tc>
        <w:tc>
          <w:tcPr>
            <w:tcW w:w="0" w:type="dxa"/>
            <w:vAlign w:val="bottom"/>
          </w:tcPr>
          <w:p>
            <w:pPr>
              <w:spacing w:after="0"/>
              <w:rPr>
                <w:sz w:val="1"/>
                <w:szCs w:val="1"/>
                <w:color w:val="auto"/>
              </w:rPr>
            </w:pPr>
          </w:p>
        </w:tc>
      </w:tr>
      <w:tr>
        <w:trPr>
          <w:trHeight w:val="234"/>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3720" w:type="dxa"/>
            <w:vAlign w:val="bottom"/>
          </w:tcPr>
          <w:p>
            <w:pPr>
              <w:spacing w:after="0"/>
              <w:rPr>
                <w:sz w:val="20"/>
                <w:szCs w:val="20"/>
                <w:color w:val="auto"/>
              </w:rPr>
            </w:pPr>
          </w:p>
        </w:tc>
        <w:tc>
          <w:tcPr>
            <w:tcW w:w="2500" w:type="dxa"/>
            <w:vAlign w:val="bottom"/>
            <w:tcBorders>
              <w:top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(in U.S. dollars)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00" w:type="dxa"/>
            <w:vAlign w:val="bottom"/>
            <w:vMerge w:val="continue"/>
          </w:tcPr>
          <w:p>
            <w:pPr>
              <w:spacing w:after="0"/>
              <w:rPr>
                <w:sz w:val="17"/>
                <w:szCs w:val="17"/>
                <w:color w:val="auto"/>
              </w:rPr>
            </w:pPr>
          </w:p>
        </w:tc>
        <w:tc>
          <w:tcPr>
            <w:tcW w:w="3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446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12.05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 (beginning April 2, 2015)</w:t>
            </w:r>
          </w:p>
        </w:tc>
        <w:tc>
          <w:tcPr>
            <w:tcW w:w="3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Quarterly:</w:t>
            </w:r>
          </w:p>
        </w:tc>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2018 (through March 15, 2018)</w:t>
            </w:r>
          </w:p>
        </w:tc>
        <w:tc>
          <w:tcPr>
            <w:tcW w:w="3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11.70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2017</w:t>
            </w:r>
          </w:p>
        </w:tc>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14.70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2017</w:t>
            </w:r>
          </w:p>
        </w:tc>
        <w:tc>
          <w:tcPr>
            <w:tcW w:w="3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12.85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2017</w:t>
            </w:r>
          </w:p>
        </w:tc>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16.46</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2017</w:t>
            </w:r>
          </w:p>
        </w:tc>
        <w:tc>
          <w:tcPr>
            <w:tcW w:w="3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12.05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2016</w:t>
            </w:r>
          </w:p>
        </w:tc>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2016</w:t>
            </w:r>
          </w:p>
        </w:tc>
        <w:tc>
          <w:tcPr>
            <w:tcW w:w="3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2016</w:t>
            </w:r>
          </w:p>
        </w:tc>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2016</w:t>
            </w:r>
          </w:p>
        </w:tc>
        <w:tc>
          <w:tcPr>
            <w:tcW w:w="3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2015</w:t>
            </w:r>
          </w:p>
        </w:tc>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2015</w:t>
            </w:r>
          </w:p>
        </w:tc>
        <w:tc>
          <w:tcPr>
            <w:tcW w:w="3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11.42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2015</w:t>
            </w:r>
          </w:p>
        </w:tc>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11.76</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Most Recent Six Months (and Most Recent Partial Month):</w:t>
            </w:r>
          </w:p>
        </w:tc>
        <w:tc>
          <w:tcPr>
            <w:tcW w:w="3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March 2018 (through March 15, 2018)</w:t>
            </w:r>
          </w:p>
        </w:tc>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12.55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2018</w:t>
            </w:r>
          </w:p>
        </w:tc>
        <w:tc>
          <w:tcPr>
            <w:tcW w:w="3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11.65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January 2018</w:t>
            </w:r>
          </w:p>
        </w:tc>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14.95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2017</w:t>
            </w:r>
          </w:p>
        </w:tc>
        <w:tc>
          <w:tcPr>
            <w:tcW w:w="3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15.10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November 2017</w:t>
            </w:r>
          </w:p>
        </w:tc>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2017</w:t>
            </w:r>
          </w:p>
        </w:tc>
        <w:tc>
          <w:tcPr>
            <w:tcW w:w="3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14.55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2017</w:t>
            </w:r>
          </w:p>
        </w:tc>
        <w:tc>
          <w:tcPr>
            <w:tcW w:w="3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12.85</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637"/>
        </w:trPr>
        <w:tc>
          <w:tcPr>
            <w:tcW w:w="51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910"/>
              <w:spacing w:after="0"/>
              <w:rPr>
                <w:sz w:val="20"/>
                <w:szCs w:val="20"/>
                <w:color w:val="auto"/>
              </w:rPr>
            </w:pPr>
            <w:r>
              <w:rPr>
                <w:rFonts w:ascii="Times New Roman" w:cs="Times New Roman" w:eastAsia="Times New Roman" w:hAnsi="Times New Roman"/>
                <w:sz w:val="18"/>
                <w:szCs w:val="18"/>
                <w:color w:val="auto"/>
              </w:rPr>
              <w:t>88</w:t>
            </w:r>
          </w:p>
        </w:tc>
        <w:tc>
          <w:tcPr>
            <w:tcW w:w="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91" w:name="page92"/>
    <w:bookmarkEnd w:id="9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660" w:right="9240" w:hanging="328"/>
        <w:spacing w:after="0" w:line="530" w:lineRule="auto"/>
        <w:tabs>
          <w:tab w:leader="none" w:pos="66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660" w:hanging="328"/>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“—Listing Details” above.</w:t>
      </w:r>
    </w:p>
    <w:p>
      <w:pPr>
        <w:spacing w:after="0" w:line="221" w:lineRule="exact"/>
        <w:rPr>
          <w:rFonts w:ascii="Times New Roman" w:cs="Times New Roman" w:eastAsia="Times New Roman" w:hAnsi="Times New Roman"/>
          <w:sz w:val="18"/>
          <w:szCs w:val="18"/>
          <w:b w:val="1"/>
          <w:bCs w:val="1"/>
          <w:color w:val="auto"/>
        </w:rPr>
      </w:pPr>
    </w:p>
    <w:p>
      <w:pPr>
        <w:ind w:left="660" w:right="9180" w:hanging="328"/>
        <w:spacing w:after="0" w:line="530" w:lineRule="auto"/>
        <w:tabs>
          <w:tab w:leader="none" w:pos="66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660" w:hanging="328"/>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660" w:right="9140" w:hanging="328"/>
        <w:spacing w:after="0" w:line="501" w:lineRule="auto"/>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ADDITIONAL INFORMATION</w:t>
      </w:r>
    </w:p>
    <w:p>
      <w:pPr>
        <w:spacing w:after="0" w:line="225" w:lineRule="exact"/>
        <w:rPr>
          <w:sz w:val="20"/>
          <w:szCs w:val="20"/>
          <w:color w:val="auto"/>
        </w:rPr>
      </w:pPr>
    </w:p>
    <w:p>
      <w:pPr>
        <w:jc w:val="both"/>
        <w:ind w:left="660" w:right="9660" w:hanging="328"/>
        <w:spacing w:after="0" w:line="530" w:lineRule="auto"/>
        <w:tabs>
          <w:tab w:leader="none" w:pos="66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ind w:left="660" w:hanging="328"/>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Number and Purposes of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registration number with the Israeli Registrar of Companies is 513195420. Our purpose as set forth in our articles is to engage in any lawful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ordinary shares have identical voting and other rights in all respects.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described under “ITEM 6.C Board Practices— External Directors.”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92" w:name="page93"/>
    <w:bookmarkEnd w:id="9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our articles, our board of directors must consist of not less than five but no more than nine directors, including two external directors as required by the Companies Law. Pursuant to our articles, each of our directors, other than the external directors, for whom special election requirements apply under the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Companies Law. See “ITEM 6.C Board Practices— External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and Liquidation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8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extraordinary general meetings whenever it sees fit, at such time and place, within or outside of Israel, as it may determine. In addition, the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of our outstanding voting power or (b) 5% or more of our outstanding voting power.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93" w:name="page94"/>
    <w:bookmarkEnd w:id="9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Companies Law requires that resolutions regarding the following matters must be passed at a general meeting of our shareholders:</w:t>
      </w:r>
    </w:p>
    <w:p>
      <w:pPr>
        <w:spacing w:after="0" w:line="176" w:lineRule="exact"/>
        <w:rPr>
          <w:sz w:val="20"/>
          <w:szCs w:val="20"/>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our articles;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or termination of our auditors;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external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certain related party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our authorized share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Companies Law and our articles require that notice of any annual general meeting or extraordinary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Companies Law allows one or more of our shareholders holding at least 1% of the voting power of a company to request the inclusion of an additional agenda item for an upcoming shareholders meeting, assuming that it is appropriate for debate and action at a shareholders meeting. Under applicable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in which to submit proposed agenda items, after which we must publish notice of the meeting that includes any accepted shareholder proposals.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Companies Law and under our articles, shareholders are not permitted to take action by way of written consent in lieu of a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“—Shareholder Meetings.”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94" w:name="page95"/>
    <w:bookmarkEnd w:id="9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articles provide that all resolutions of our shareholders require a simple majority vote, unless otherwise required by the Companies Law or by our articles. Under the Companies Law, each of (i) the approval of an extraordinary transaction with a controlling shareholder and (ii) the terms of employment or other engagement of the controlling shareholder of the company or such controlling shareholder’s relative (even if such terms are not extraordinary) require the approval described in “ITEM 6.C. Board Practices—Approval of Related Party Transactions under Israeli Law.” Additionally, (i) the approval and extension of a compensation policy and certain deviations therefrom require the approvals described above under “ITEM 6.C Board Practices— Compensation Committee — Companies Law Requirements,” (ii) the terms of employment or other engagement of the chief executive officer of the company require the approvals described below in this ITEM 10.B under “Disclosure of Personal Interests of an Office Holder and Approval of Certain Transactions” and (iii) the chairman of a company’s board of directors also serving as its chief executive officer require the approvals described above under “ITEM 6.C Board Practices—Board of Directors.” Under our articles,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also require that the removal of any director from office (other than our external directors) or the amendment of the provisions of our articles relating to our staggered board requires the vote of 65% of the voting power of our shareholders. Another exception to the simple majority vote requirement is a resolution for the voluntary winding up, or an approval of a scheme of arrangement or reorganization, of the company pursuant to Section 350 of the Companies Law, which requires the approval of holders of 75% of the voting rights represented at the meeting, in person or by proxy and voting on the resolution.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Corporate Records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Class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Law and our articles,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articles.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registration rights that we granted to certain of our existing shareholders prior to our IPO, please see “ITEM 7.B Related Party Transactions— Registration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under Israeli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 Tender Offer.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95" w:name="page96"/>
    <w:bookmarkEnd w:id="9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Tender Offer.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Companies Law permits merger transactions if approved by each party’s board of directors and, unless certain requirements described under the Companies Law are met, by a majority vote of each party’s shareholders. In the case of the target company, approval of the merger further requires a majority vote of each class of its shares.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“ITEM 6.C Board Practices —Approval of Related Party Transactions under Israeli Law—Disclosure of Personal Interests of Controlling Shareholders and Approval of Certain Transactions.”)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96" w:name="page97"/>
    <w:bookmarkEnd w:id="9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Measures under Israeli Law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 as described above in “—Voting Rights.”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Capital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articles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w:t>
        <w:tab/>
        <w:t>Material Contracts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 within the two years prior to the date of this annual report, other than contracts entered into in the ordinary course of business, or as otherwise described below in this ITEM 10.C.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 for IPO</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entered into an underwriting agreement, dated March 30, 2015, with Barclays Capital Inc. and Citigroup Global Markets Inc., as representatives of the underwriters for our IPO, with respect to the ordinary shares sold in our IPO. We have agreed to indemnify the underwriters against certain liabilities, including liabilities under the Securities Act, and to contribute to payments the underwriters may be required to make in respect of such liabilities.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97" w:name="page98"/>
    <w:bookmarkEnd w:id="9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Amazon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Purchase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10, 2017, we entered into a Master Purchase Agreement, or the Purchase Agreement, with Amazon Corporate LLC, a subsidiary of Amazon.com, Inc., or Amazon. Under the Purchase Agreement, Amazon may purchase and we have committed to supply Avalanche 1000 digital direct-to-garment printers and NeoPigment ink and other consumables at agreed upon prices which are subject to volume. We also agreed to provide maintenance services and extended warranties to Amazon at agreed prices.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Purchase Agreement provides for an “end of life” program. We are required to notify Amazon 12 months in advance if it intends to stop supporting one of the products or services supplied by us and to continue to manufacture the product or provide such service during the applicable period. Subject to certain exceptions, we are required to continue to supply ink in such quantities as Amazon requires for at least 36 months after the earlier of (1) the end of the term of the Purchase Agreement or (2) 18 months following the purchase of the last product sold pursuant to the Purchase Agreement. The Purchase Agreement requires us to make arrangements to ensure continuity of our supply of products if we do not comply with its requirements to supply the products or the services under the agreement or becomes insolvent. The Purchase Agreement also provides for penalties on a sliding scale in the case of late delivery or if our systems are unavailable for certain specific periods. There are no minimum spending commitments under the Purchase Agreement. The term of the Purchase Agreement is five years beginning on May 1, 2016 and extends automatically for additional one year periods unless terminated by Amazon.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Agreement and Warrant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Concurrently with the Purchase Agreement, we and Amazon entered into a Transaction Agreement, or the Transaction Agreement, pursuant to which we agreed to issue to an affiliate of Amazon a warrant, or the Warrant to acquire up to 2,932,176 of our ordinary shares, or the Warrant Shares, at a purchase price of $13.03 per share which is based on the preceding 30 trading day VWAP prior to the execution of the Transaction Agreement. The Warrant also provides for cashless exercise.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Warrant, the ordinary shares underlying the Warrant are subject to vesting as a function of payments for purchased products and services of up to $150 million over a five year period with the shares vesting incrementally each time Amazon (which includes its affiliates for purposes of the vesting determination) makes a payment totaling $5 million to us. Warrant Shares vest in increments of 85,521 shares until such time as Amazon has paid an aggregate of $75 million to us and thereafter the remaining Warrant Shares vest in additional increments of 109,956 shares each. Based on payments made by Amazon prior to the date of the Warrant, some of the Warrant Shares have vested at the time of the execution of the Purchase Agreement. As of December 31, 2017, warrants to purchase 513,126 shares have vested.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Warrant is exercisable through January 10, 2022. Upon the consummation of a change of control transaction (as defined in the Warrant), subject to certain exceptions, the unvested portion of the Warrant will vest in full and become fully exercisable.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exercise price and the number of Warrant Shares issuable upon exercise of the Warrant are subject to customary anti-dilution adjustments.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Transaction Agreement includes customary representations, warranties and covenants of our company and Amazon. The Transaction Agreement restricts any transfer of the Warrant except to a wholly owned subsidiary of Amazon and contains certain restrictions on Amazon’s ability to transfer the Warrant Shares, including to a beneficial owner of more than 5% of our outstanding ordinary shares, subject to customary exceptions. The Transaction Agreement also contains certain customary standstill restrictions with respect to an acquisition of our shares (other than an acquisition of the Warrant Shares), solicitation of proxies and other actions that seek to influence the control of our company. These standstill restrictions remain in effect until such time as the Warrant Shares held by Amazon or that remain unexercised under the Warrant represent less than 2% of our outstanding shares.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98" w:name="page99"/>
    <w:bookmarkEnd w:id="9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Transaction Agreement, Amazon is entitled to certain registration rights. At any time after the one year anniversary of the Transaction Agreement (1) Amazon may request up to two times in any 12-month period that we file a shelf registration statement on Form F-3 or S-3 and we are required to keep the shelf registration effective for four 90-day periods, (2) if we are ineligible to file a registration statement on Form F-3 or Form S-3, Amazon may request up to four times that we file a long form registration statement to facilitate the sale of its shares, and (3) Amazon is entitled to piggyback registration rights on underwritten offerings effected by us. We are subject to customary obligations upon Amazon’s request for registration, including cooperation in case of an underwritten offering.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 for Secondary and Follow-On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entered into an underwriting agreement, dated January 25, 2017, with Fortissimo Capital, Mr. Gabi Seligsohn, Barclays Capital Inc. and Citigroup Global Markets Inc., as representatives of the underwriters, with respect to the ordinary shares sold by Fortissimo Capital and Mr. Seligsohn and by us in our secondary and follow-on offering. We have agreed to indemnify the underwriters against certain liabilities, including liabilities under the Securities Act, and to contribute to payments the underwriters may be required to make in respect of such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 for Secondary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entered into an underwriting agreement, dated May 16, 2017, with Fortissimo Capital, Barclays Capital Inc. and Citigroup Global Markets Inc., as representatives of the underwriters, with respect to the ordinary shares sold by Fortissimo Capital in its secondary offering. We have agreed to indemnify the underwriters against certain liabilities, including liabilities under the Securities Act, and to contribute to payments the underwriters may be required to make in respect of such liabilities.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Material Contracts</w:t>
            </w:r>
          </w:p>
        </w:tc>
        <w:tc>
          <w:tcPr>
            <w:tcW w:w="5600" w:type="dxa"/>
            <w:vAlign w:val="bottom"/>
          </w:tcPr>
          <w:p>
            <w:pPr>
              <w:spacing w:after="0"/>
              <w:rPr>
                <w:sz w:val="20"/>
                <w:szCs w:val="20"/>
                <w:color w:val="auto"/>
              </w:rPr>
            </w:pPr>
          </w:p>
        </w:tc>
      </w:tr>
      <w:tr>
        <w:trPr>
          <w:trHeight w:val="439"/>
        </w:trPr>
        <w:tc>
          <w:tcPr>
            <w:tcW w:w="582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Material Contract</w:t>
            </w:r>
          </w:p>
        </w:tc>
        <w:tc>
          <w:tcPr>
            <w:tcW w:w="560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Location in This Annual Report</w:t>
            </w:r>
          </w:p>
        </w:tc>
      </w:tr>
      <w:tr>
        <w:trPr>
          <w:trHeight w:val="198"/>
        </w:trPr>
        <w:tc>
          <w:tcPr>
            <w:tcW w:w="56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Amended and Restated Investors’ Rights Agreement, dated March 18, 2015,</w:t>
            </w:r>
          </w:p>
        </w:tc>
        <w:tc>
          <w:tcPr>
            <w:tcW w:w="200" w:type="dxa"/>
            <w:vAlign w:val="bottom"/>
            <w:tcBorders>
              <w:top w:val="single" w:sz="8" w:color="CCEEFF"/>
            </w:tcBorders>
            <w:shd w:val="clear" w:color="auto" w:fill="CCEEFF"/>
          </w:tcPr>
          <w:p>
            <w:pPr>
              <w:spacing w:after="0"/>
              <w:rPr>
                <w:sz w:val="17"/>
                <w:szCs w:val="17"/>
                <w:color w:val="auto"/>
              </w:rPr>
            </w:pPr>
          </w:p>
        </w:tc>
        <w:tc>
          <w:tcPr>
            <w:tcW w:w="56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“ITEM 7.B. Related Party Transaction—Investors’ Rights Agreement.”</w:t>
            </w:r>
          </w:p>
        </w:tc>
      </w:tr>
      <w:tr>
        <w:trPr>
          <w:trHeight w:val="234"/>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us and the parties thereto</w:t>
            </w:r>
          </w:p>
        </w:tc>
        <w:tc>
          <w:tcPr>
            <w:tcW w:w="56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420"/>
          </w:cols>
          <w:pgMar w:left="240" w:top="220" w:right="239" w:bottom="1440" w:gutter="0" w:footer="0" w:header="0"/>
        </w:sectPr>
      </w:pPr>
    </w:p>
    <w:p>
      <w:pPr>
        <w:spacing w:after="0" w:line="282" w:lineRule="auto"/>
        <w:rPr>
          <w:sz w:val="20"/>
          <w:szCs w:val="20"/>
          <w:color w:val="auto"/>
        </w:rPr>
      </w:pPr>
      <w:r>
        <w:rPr>
          <w:rFonts w:ascii="Times New Roman" w:cs="Times New Roman" w:eastAsia="Times New Roman" w:hAnsi="Times New Roman"/>
          <w:sz w:val="18"/>
          <w:szCs w:val="18"/>
          <w:color w:val="auto"/>
        </w:rPr>
        <w:t>Agreements and arrangements with, and compensation of, directors and executive officers</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Times New Roman" w:cs="Times New Roman" w:eastAsia="Times New Roman" w:hAnsi="Times New Roman"/>
          <w:sz w:val="18"/>
          <w:szCs w:val="18"/>
          <w:color w:val="auto"/>
        </w:rPr>
        <w:t>“ITEM 7.B. Related Party Transactions—Agreements and arrangements with, and compensation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-296545</wp:posOffset>
            </wp:positionV>
            <wp:extent cx="72466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5180" w:space="640"/>
            <w:col w:w="5600"/>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Kornit Digital Compensation Policy</w:t>
            </w:r>
          </w:p>
        </w:tc>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“ITEM 6.C. Board Practices-Board Committees-Compensation Committee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p>
        </w:tc>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Compensation Policy.”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OEM Supply Agreement, dated December 3, 2015, between us and FujiFilm</w:t>
            </w:r>
          </w:p>
        </w:tc>
        <w:tc>
          <w:tcPr>
            <w:tcW w:w="584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“ITEM 4.B. Business Overview— Manufacturing, Inventory and Suppliers-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Dimatix, Inc.</w:t>
            </w:r>
          </w:p>
        </w:tc>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 and Suppliers.”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Manufacturing Services Agreement, dated as of May 2015, between us and</w:t>
            </w:r>
          </w:p>
        </w:tc>
        <w:tc>
          <w:tcPr>
            <w:tcW w:w="584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“ITEM 4.B. Business Overview— Manufacturing, Inventory and Suppliers-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Flextronics (Israel) Ltd.</w:t>
            </w:r>
          </w:p>
        </w:tc>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Manufacturing.”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Office and Parking Space Lease Agreement, dated as of December 17, 2007</w:t>
            </w:r>
          </w:p>
        </w:tc>
        <w:tc>
          <w:tcPr>
            <w:tcW w:w="584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“ITEM 4.D. Property, Plants and Equipment.”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us and Industrial Building Corporation, as amended</w:t>
            </w:r>
          </w:p>
        </w:tc>
        <w:tc>
          <w:tcPr>
            <w:tcW w:w="5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Agreement, dated as of December 22, 2016, between us and B.G. (Israel)</w:t>
            </w:r>
          </w:p>
        </w:tc>
        <w:tc>
          <w:tcPr>
            <w:tcW w:w="584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“ITEM 4.B. Business Overview— Manufacturing, Inventory and Suppliers-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Technologies Ltd.</w:t>
            </w:r>
          </w:p>
        </w:tc>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 and Suppliers.”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 Agreement dated as of March 25, 2010 between us and Benbenisti</w:t>
            </w:r>
          </w:p>
        </w:tc>
        <w:tc>
          <w:tcPr>
            <w:tcW w:w="584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“ITEM 4.D. Property, Plants and Equipment.”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Ltd., as amended</w:t>
            </w:r>
          </w:p>
        </w:tc>
        <w:tc>
          <w:tcPr>
            <w:tcW w:w="5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Lease dated December 2017 between Bonanno Real Estate Group I, L.P. and</w:t>
            </w:r>
          </w:p>
        </w:tc>
        <w:tc>
          <w:tcPr>
            <w:tcW w:w="584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“ITEM 4.D. Property, Plants and Equipment.”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Kornit Digital North America, Inc.</w:t>
            </w:r>
          </w:p>
        </w:tc>
        <w:tc>
          <w:tcPr>
            <w:tcW w:w="5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type w:val="continuous"/>
        </w:sectPr>
      </w:pPr>
    </w:p>
    <w:bookmarkStart w:id="99" w:name="page100"/>
    <w:bookmarkEnd w:id="9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Exchange Controls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some transactions. However, legislation remains in effect under which currency controls can be imposed by administrative action at any time.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ownership or voting of our ordinary shares by non-residents of Israel, except with respect to citizens of countries which are in a state of war with Israel, is not restricted in any way by our articles or by the laws of the State of Israel.</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Tax Considerations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is a brief summary of the material Israeli tax consequences concerning the ownership and disposition of our ordinary shares by our shareholders.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Gains Taxes Applicable to Non-Israeli Resident Shareholders.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Israeli capital gains tax is imposed on the disposal of capital assets by a non-Israeli resident if such assets are either (i) located in Israel; (ii) shares or rights to shares in an Israeli resident company, or (iii) represent, directly or indirectly, rights to assets located in Israel, unless a specific exemption is available or unless a tax treaty between Israel and the seller’s country of residence provides otherwise. Capital gain is generally subject to tax at the corporate tax rate (25% in 2016, 24% in 2017 and 23% in 2018 and thereafter), if generated by a company, or at the rate of 25% if generated by an individual, or 30% in the case of sale of shares by a Substantial Shareholder (i.e., a person who holds, directly or indirectly, alone or together with such person’s relative or another person who collaborates with such person on a permanent basis, 10% or more of any of the company’s “means of control” (including, among other things, the right to receive profits of the company, voting rights, the right to receive proceeds upon liquidation and the right to appoint a director)) at the time of sale or at any time during the preceding 12-month period. Individual and corporate shareholders dealing in securities in Israel are taxed at the tax rates applicable to business income (a corporate tax rate for a corporation and a marginal tax rate of up to 47% for an individual in 2017) unless the benefiting provisions of an applicable treaty applies.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foregoing, a non-Israeli resident (individual or corporation) who derives capital gains from the sale of shares in an Israeli resident company that were purchased after the company was listed for trading on a recognized stock exchange in Israel or outside of Israel will generally be exempt from Israeli tax so long as the shares were not held through a permanent establishment that the non-resident maintains in Israel (and with respect to shares listed on a recognized stock exchange outside of Israel, so long as neither the shareholder nor the particular capital gain is otherwise subject to the Israeli Income Tax Law (Inflationary Adjustments) 5745-1985).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These provisions dealing with capital gain are not applicable to a person whose gains from selling or otherwise disposing of the shares are deemed to be business income.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00" w:name="page101"/>
    <w:bookmarkEnd w:id="10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a sale of shares by a non-Israeli resident may be exempt from Israeli capital gains tax under the provisions of an applicable tax treaty. For example, under the United States-Israel Tax Treaty, the sale, exchange or other disposition of shares of an Israeli company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such sale, exchange or disposition is attributed to real estate located in Israel; (ii) the capital gain arising from such sale, exchange or disposition is attributed to royalties; (iii) the capital gain arising from the sale, exchange or disposition that can be attributed to a permanent establishment of the shareholder that is maintained in Israel under certain terms; (iv) the shareholder holds, directly or indirectly, shares representing 10% or more of the voting rights during any part of the 12-month period preceding such sale exchange or other disposition, subject to certain conditions; or (v) such U.S. resident is an individual and was present in Israel for a period or periods aggregating to 183 days or more during the relevant taxable year. In any such case, the sale, exchange or disposition of our ordinary shares would be subject to Israeli tax, to the extent applicable; however, under the United States-Israel Tax Treaty, a U.S. resident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such as a merger or other transaction, the Israel Tax Authority may require from shareholders who are not liable for Israeli tax to sign declarations in forms specified by that authority or obtain a specific exemption from the Israel Tax Authority to confirm their status as non-Israeli residents, and, in the absence of such declarations or exemptions, may require the purchaser of the shares to withhold taxes at source.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Non-Israeli Shareholders on Receipt of Dividends.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Non-Israeli residents (whether individuals or corporations) are generally subject to Israeli income tax on the receipt of dividends paid on our ordinary shares at the rate of 25% or 30% (if the recipient is a Substantial Shareholder at the time of receiving the dividend or at any time during the preceding 12 months) or 15% if the dividend is distributed from income attributed to a Benefited Enterprise and 20% with respect to a Preferred Enterprise, subject to certain conditions. Such dividends are generally subject to Israeli withholding tax at a rate of 25% so long as the shares are registered with a nominee company (whether the recipient is a substantial Shareholder or not) and 15% if the dividend is distributed from income attributed to a Benefited Enterprise or 20% if the dividend is distributed from income attributed to an Preferred Enterprise, unless a reduced rate is provided under an applicable tax treaty (subject to the receipt of a valid certificate from the Israel Tax Authority allowing for a reduced tax rate).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example, under the United States-Israel Tax Treaty, the maximum rate of tax withheld at source in Israel on dividends paid to a holder of our ordinary shares who is a U.S. resident (for purposes of the United States-Israel Tax Treaty) is 25%. However, generally, the maximum rate of withholding tax for dividends not generated by a Benefited Enterprise and paid to a U.S. corporation holding 10% or more of the outstanding voting rights from the start of the tax year preceding the distribution of the dividend through (and including) the distribution of the dividend, is 12.5%, provided that not more than 25% of the gross income for such preceding year consists of certain types of dividends and interest. Notwithstanding the foregoing, a distribution of dividends to non-Israeli residents is subject to withholding tax at source at a rate of 15% if the dividend is distributed from income attributed to a Benefited Enterprise for such U.S. corporation shareholder, provided that the condition related to our gross income for the previous year (as set forth in the previous sentence) is met. U.S. residents who are subject to Israeli withholding tax on a dividend may be entitled to a credit or deduction for United States federal income tax purposes in the amount of the taxes withheld, subject to detailed rules contained in U.S. tax legislation.</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dividend is attributable partly to income derived from a Benefited Enterprise or a Preferred Enterprise, and partly from other sources of income, the withholding rate will be a blended rate reflecting the relative portions of the two types of income.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01" w:name="page102"/>
    <w:bookmarkEnd w:id="10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Estate and Gift Tax.</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Israeli law presently does not impose estate or gift taxes.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Excess Tax.</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Beginning on January 1, 2013, an additional tax liability at the rate of 2% was added to the applicable tax rate on the annual taxable income of individuals (whether any such individual is an Israeli resident or non-Israeli resident) exceeding NIS 803,520 (in 2018) which amount is linked to the annual change in the Israeli consumer price index, including, but not limited to, dividends, interest and capital gain. Pursuant to new legislation enacted recently, as of 2017, such tax rate was increased to 3% on annual income exceeding NIS 640,000 (NIS 641,880 in 2018) (which amount is linked to the annual change in the Israeli consumer price index).</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the material U.S. federal income tax consequences to U.S. Holders (as defined below) of the acquisition, ownership and disposition of our ordinary shares. This description addresses only the U.S. federal income tax consequences to purchasers of our ordinary shares and that will hold such ordinary shares as capital assets. This description does not address tax considerations applicable to holders that may be subject to special tax rules, including, without limitation:</w:t>
      </w:r>
    </w:p>
    <w:p>
      <w:pPr>
        <w:spacing w:after="0" w:line="180" w:lineRule="exact"/>
        <w:rPr>
          <w:sz w:val="20"/>
          <w:szCs w:val="20"/>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insurance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or grantor trusts;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commodities or currencies;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our ordinary shares as compensation for the performance of services;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will hold our ordinary shares as part of a “hedging,” “integrated” or “conversion” transaction or as a position in a “straddle” for U.S. federal income tax purposes;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(including entities classified as partnerships for U.S. federal income tax purposes) or other pass-through entities, or holders that will hold our ordinary shares through such an entity;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own directly, indirectly or through attribution 10.0% or more of the voting power or value of our ordinary shares.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Moreover, this description does not address the United States federal estate, gift, alternative minimum tax or net investment income tax consequences, or any state, local or non-U.S. tax consequences, of the acquisition, ownership and disposition of our ordinary shares.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description is based on the U.S. Internal Revenue Code of 1986, as amended, or the Code, existing, proposed and temporary U.S. Treasury Regulations and judicial and administrative interpretations thereof, in each case as in effect and available on the date hereof. Each of the foregoing is subject to change, which change could apply retroactively and could affect the tax consequences described below. There can be no assurances that the U.S. Internal Revenue Service will not take a different position concerning the tax consequences of the acquisition, ownership and disposition of our ordinary shares or that such a position would not be sustained.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02" w:name="page103"/>
    <w:bookmarkEnd w:id="10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description, a “U.S. Holder” is a beneficial owner of our ordinary shares that, for U.S. federal income tax purposes, is:</w:t>
      </w:r>
    </w:p>
    <w:p>
      <w:pPr>
        <w:spacing w:after="0" w:line="225" w:lineRule="exact"/>
        <w:rPr>
          <w:sz w:val="20"/>
          <w:szCs w:val="20"/>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such trust has validly elected to be treated as a U.S. person for U.S. federal income tax purposes or if (1) a court within the United States is able to exercise primary supervision over its administration and (2) one or more U.S. persons have the authority to control all of the substantial decisions of such trust.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partnership (or any other entity treated as a partnership for U.S. federal income tax purposes) holds ordinary shares, the tax treatment of a partner in such partnership will generally depend on the status of the partner and the activities of the partnership. Such a partner or partnership should consult its tax advisor as to its tax consequences.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You should consult your tax advisor with respect to the U.S. federal, state, local and foreign tax consequences of acquiring, owning and disposing of our ordinary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discussion below under “— Passive Foreign Investment Company Considerations,” if you are a U.S. Holder, the gross amount of any distribution that we pay you with respect to our ordinary shares before reduction for any non-U.S. taxes withheld therefrom generally will be includible in your income as dividend income to the extent such distribution is paid out of our current or accumulated earnings and profits as determined under U.S. federal income tax principles. To the extent that the amount of any cash distribution exceeds our current and accumulated earnings and profits as determined under U.S. federal income tax principles, it will be treated first as a tax free return of your adjusted tax basis in our ordinary shares and thereafter as capital gain. We do not expect to maintain calculations of our earnings and profits under U.S. federal income tax principles. Therefore, if you are a U.S. Holder, you should expect that the entire amount of any cash distribution generally will be reported as dividend income to you; provided, however, that distributions of ordinary shares to U.S. Holders that are part of a pro rata distribution to all of our shareholders generally will not be subject to U.S. federal income tax. Non-corporate U.S. Holders may qualify for the lower rates of taxation with respect to dividends on ordinary shares applicable to long term capital gains (i.e., gains from the sale of capital assets held for more than one year), provided that certain conditions are met, including certain holding period requirements and the absence of certain risk reduction transactions. Moreover, such reduced rate shall not apply if we are a PFIC for the taxable year in which it pays a dividend, or were a PFIC for the preceding taxable year. Dividends will not be eligible for the dividends received deduction generally allowed to corporate U.S. Holders.</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03" w:name="page104"/>
    <w:bookmarkEnd w:id="10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of any dividend income paid in NIS will be the U.S. dollar amount calculated by reference to the exchange rate in effect on the date of receipt, regardless of whether the payment is in fact converted into U.S. dollars. If the dividend is converted into U.S. dollars on the date of receipt, you should not be required to recognize exchange gain or loss in respect of the dividend income. You may have exchange gain or loss if the dividend is converted into U.S. dollars after the date of receipt. Exchange gain or loss will be treated as U.S.-source ordinary income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Disposition of Ordinary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discussion above under “— Passive Foreign Investment Company Considerations,” if you are a U.S. Holder, you generally will recognize an amount of gain or loss on the sale, exchange or other disposition of our ordinary shares equal to the difference between the amount realized on such sale, exchange or other disposition and your tax basis in our ordinary shares, and such gain or loss will be capital gain or loss. The tax basis in an ordinary share generally will equal the U.S. dollar cost of such ordinary share. If you are a non-corporate U.S. Holder, capital gain from the sale, exchange or other disposition of ordinary shares generally will be eligible for a preferential rate of taxation applicable to capital gains, if your holding period for such ordinary shares exceeds one year.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Israeli tax is imposed on the sale or other disposition of our ordinary shares, your amount realized will include the gross amount of the proceeds of the sale or other disposition before deduction of the Israeli tax. Because your gain from the sale or other disposition of our ordinary shares will generally be U.S.-source gain, and you may use foreign tax credits to offset only the portion of U.S. federal income tax liability that is attributable to foreign source income, you may be unable to claim a foreign tax credit with respect to the Israeli tax, if any, on gains. You should consult your tax adviser as to whether the Israeli tax on gains may be creditable against your U.S. federal income tax on foreign-source income from other sources.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non-U.S. corporation will be classified as a PFIC for federal income tax purposes in any taxable year in which, after applying certain look through rules, either</w:t>
      </w:r>
    </w:p>
    <w:p>
      <w:pPr>
        <w:spacing w:after="0" w:line="162" w:lineRule="exact"/>
        <w:rPr>
          <w:sz w:val="20"/>
          <w:szCs w:val="20"/>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is “passive income”; or;</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average quarterly value of its gross assets (which may be determined in part by the market value of our ordinary shares, which is subject to change) is attributable to assets that produce “passive income” or are held for the production of passive income;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04" w:name="page105"/>
    <w:bookmarkEnd w:id="10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our ordinary shares generally will continue to be treated as shares in a PFIC with respect to such U.S. Holder in all succeeding years during which the U.S. Holder owns our ordinary shares, regardless of whether we continue to meet the tests described above.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certain estimates of our gross income and gross assets and the nature of our business, we believe that we were not classified as a PFIC for the taxable year ended December 31, 2017, and furthermore do not expect to be classified for the taxable year ending December 31, 2018. Because PFIC status must be determined annually based on tests which are factual in nature, our PFIC status in future years will depend on our income, assets and activities in those years. In addition, because the market price of our ordinary shares is likely to fluctuate and because that market price may affect the determination of whether we will be considered a PFIC, there can be no assurance that we will not be considered a PFIC for any taxable year and we do not intend to make a determination of our or any of our future subsidiaries’ PFIC status in the future. A U.S. Holder may be able to mitigate some of the adverse U.S. federal income tax consequences described below with respect to owning our ordinary shares if we are classified as a PFIC for our taxable year ending December 31, 2017, provided that such U.S. Holder is eligible to make, and successfully makes, either a “mark-to-market” election or a qualified electing fund election described below for the taxable year in which its holding period begins.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were a PFIC, and you are a U.S. Holder, then unless you make one of the elections described below, a special tax regime, which we refer to as the Excess Distribution Regime, will apply to both (a) any “excess distribution” by us to you (generally, your ratable portion of distributions in any year which are greater than 125% of the average annual distribution received by you in the shorter of the three preceding years or your holding period for our ordinary shares) and (b) any gain realized on the sale or other disposition of our ordinary shares. Under the Excess Distribution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Certain elections may be available that would result in an alternative treatment of our ordinary shares. If we are determined to be a PFIC, the Excess Distribution Regime described in this paragraph would also apply to indirect distributions and gains deemed to be realized by U.S. Holders in respect of any future subsidiary of ours that also may be determined to be PFICs.</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ordinary shares, then in lieu of being subject to the tax and interest charge rules discussed above, a U.S. Holder may make an election to include gain on the stock of a PFIC as ordinary income under a mark-to-market method, provided that such ordinary shares are “regularly traded” on a “qualified exchange.” In general, our ordinary shares will be treated as “regularly traded” for a given calendar year if more than a de minimis quantity of our ordinary shares are traded on a qualified exchange on at least 15 days during each calendar quarter of such calendar year. Although the IRS has not published any authority identifying specific exchanges that may constitute “qualified exchanges,” Treasury Regulations provide that a qualified exchange is (a) a United States securities exchange that is registered with the SEC, (b) the United States market system established pursuant to section 11A of the Securities and Exchange Act of 1934, or (c) a non-U.S. securities exchange that is regulated or supervised by a governmental authority of the country in which the market is located, provided that (i) such non-U.S. exchange has trading volume, listing, financial disclosure, surveillance and other requirements designed to prevent fraudulent and manipulative acts and practices, to remove impediments to and perfect the mechanism of a free and open, fair and orderly, market, and to protect investors; and the laws of the country in which such non-U.S. exchange is located and the rules of such non-U.S. exchange ensure that such requirements are actually enforced and (ii) the rules of such non-U.S. exchange effectively promote active trading of listed stocks. Our ordinary shares are listed on the NASDAQ Global Select Market, which is a United States securities exchange that is registered with the SEC. However, no assurance can be given that our ordinary shares meet the requirements to be treated as “regularly traded” for purposes of the mark-to-market election. In addition, because a mark-to-market election cannot be made for any lower-tier PFICs that we may own, a U.S. Holder may continue to be subject to the Excess Distribution Regime with respect to such holder’s indirect interest in any investments held by us that are treated as an equity interest in a PFIC for U.S. federal income tax purposes, including stock in any future subsidiary of ours that is treated as a PFIC.</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05" w:name="page106"/>
    <w:bookmarkEnd w:id="10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 U.S. Holder makes an effective mark-to-market election, such U.S. Holder will include in each year that we are a PFIC as ordinary income the excess of the fair market value of such U.S. Holder’s ordinary shares at the end of the year over such U.S. Holder’s adjusted tax basis in our ordinary shares. Such U.S. Holder will be entitled to deduct as an ordinary loss in each such year the excess of such U.S. Holder’s adjusted tax basis in our ordinary shares over their fair market value at the end of the year, but only to the extent of the net amount previously included in income as a result of the mark-to-market election. A U.S. Holder will not mark-to-market gain or loss for any taxable year in which we are not classified as a PFIC. If a U.S. Holder makes an effective mark-to-market election, in each year that we are a PFIC, any gain such U.S. Holder recognizes upon the sale or other disposition of such U.S. Holder’s ordinary shares will be treated as ordinary income and any loss will be treated as ordinary loss, but only to the extent of the net amount of previously included income as a result of the mark-to-market election.</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U.S. Holder’s adjusted tax basis in our ordinary shares will be increased by the amount of any income inclusion and decreased by the amount of any deductions under the mark-to-market rules. If a U.S. Holder makes a mark-to market election, it will be effective for the taxable year for which the election is made and all subsequent taxable years unless our ordinary shares are no longer regularly traded on a qualified exchange or the IRS consents to the revocation of the election. U.S. Holders are urged to consult their tax advisers about the availability of the mark-to-market election, and whether making the election would be advisable in their particular circumstances.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U.S. Holder owns our ordinary shares during any year in which we are a PFIC, the U.S. Holder generally will be required to file an IRS Form 8621 with respect to us, generally with the U.S. Holder’s federal income tax return for that year.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Holders should consult their tax advisors regarding whether we are a PFIC and the potential application of the PFIC rules.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06" w:name="page107"/>
    <w:bookmarkEnd w:id="10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Foreign Currency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Foreign currency received as dividends on our ordinary shares or on the sale or retirement of an ordinary share will have a tax basis equal to its U.S. dollar value at the time the foreign currency is received. Foreign currency that is purchased will generally have a tax basis equal to the U.S. dollar value of the foreign currency on the date of purchase. Any gain or loss recognized on a sale or other disposition of a foreign currency (including upon exchange for U.S. dollars) will be U.S. source ordinary income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on Net Investment Income</w:t>
      </w:r>
    </w:p>
    <w:p>
      <w:pPr>
        <w:spacing w:after="0" w:line="229"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color w:val="auto"/>
        </w:rPr>
        <w:t>A U.S. Holder that is an individual or estate, or a trust that does not fall into a special class of trusts that is exempt from the tax, will be subject to a 3.8% tax on the lesser of (1) the U.S. Holder’s “net investment income” for the relevant taxable year and (2) the excess of the U.S. Holder’s modified adjusted gross income for the taxable year over a certain threshold (which in the case of individuals will be between $125,000 and $250,000, depending on the individual’s circumstances). A U.S. Holder’s net investment income generally will include its dividends on our ordinary shares and net gains from dispositions of our ordinary shares, unless those dividends or gains are derived in the ordinary course of the conduct of trade or business (other than trade or business that consists of certain passive or trading activities). Net investment income, however, may be reduced by deductions properly allocable to that income. A U.S. Holder that is an individual, estate or trust is urged to consult its tax adviser regarding the applicability of the Medicare tax to its income and gains in respect of its investment in the ordinary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Tax and Information Reporting Requirements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U.S. backup withholding tax and information reporting requirements may apply to certain payments to certain holders of our ordinary shares. Information reporting generally will apply to payments of dividends on, and to proceeds from the sale or redemption of, our ordinary shares made within the United States, or by a U.S. payor or U.S. middleman, to a holder of our ordinary shares, other than an exempt recipient (including a payee that is not a U.S. person that provides an appropriate certification and certain other persons). A payor will be required to withhold backup withholding tax from any payments of dividends on, or the proceeds from the sale or redemption of, ordinary shares within the United States, or by a U.S. payor or U.S.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Asset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U.S. Holders who are individuals are required to report information relating to an interest in our ordinary shares, subject to certain exceptions (including an exception for shares held in accounts maintained by financial institutions). U.S. Holders are urged to consult their tax advisors regarding their information reporting obligations, if any, with respect to their ownership and disposition of our ordinary shares.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above description is not intended to constitute a complete analysis of all tax consequences relating to acquisition, ownership and disposition of our ordinary shares. You should consult your tax advisor concerning the tax consequences of your particular situation.</w:t>
      </w:r>
    </w:p>
    <w:p>
      <w:pPr>
        <w:spacing w:after="0" w:line="155" w:lineRule="exact"/>
        <w:rPr>
          <w:sz w:val="20"/>
          <w:szCs w:val="20"/>
          <w:color w:val="auto"/>
        </w:rPr>
      </w:pPr>
    </w:p>
    <w:p>
      <w:pPr>
        <w:ind w:left="660" w:right="8460" w:hanging="328"/>
        <w:spacing w:after="0" w:line="501" w:lineRule="auto"/>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ind w:left="660" w:right="9060" w:hanging="328"/>
        <w:spacing w:after="0" w:line="583" w:lineRule="auto"/>
        <w:tabs>
          <w:tab w:leader="none" w:pos="66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07" w:name="page108"/>
    <w:bookmarkEnd w:id="10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currently subject to the informational requirements of the Exchange Act applicable to foreign private issuers and fulfill the obligations of these requirements by filing reports with the SEC. As a foreign private issuer, we are exempt from the rules under the Exchange Act relating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file with the SEC, within 120 days after the end of each subsequent fiscal year, an annual report on Form 20-F containing financial statements which will be examined and reported on, with an opinion expressed, by an independent public accounting firm. We also intend to furnish to the SEC reports on Form 6-K containing quarterly unaudited financial information for the first three quarters of each fiscal year.</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You may read and copy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 As permitted under NASDAQ Stock Market Rule 5250(d)(1)(C), we will post our annual reports filed with the SEC on our website at </w:t>
      </w:r>
      <w:r>
        <w:rPr>
          <w:rFonts w:ascii="Times New Roman" w:cs="Times New Roman" w:eastAsia="Times New Roman" w:hAnsi="Times New Roman"/>
          <w:sz w:val="18"/>
          <w:szCs w:val="18"/>
          <w:u w:val="single" w:color="auto"/>
          <w:color w:val="auto"/>
        </w:rPr>
        <w:t>http://www.kornit.com.</w:t>
      </w:r>
      <w:r>
        <w:rPr>
          <w:rFonts w:ascii="Times New Roman" w:cs="Times New Roman" w:eastAsia="Times New Roman" w:hAnsi="Times New Roman"/>
          <w:sz w:val="18"/>
          <w:szCs w:val="18"/>
          <w:color w:val="auto"/>
        </w:rPr>
        <w:t xml:space="preserve"> We will furnish hard copies of such reports to our shareholders upon request free of charge. The information contained on our website is not part of this or any other report filed with or furnished to the SEC.</w:t>
      </w:r>
    </w:p>
    <w:p>
      <w:pPr>
        <w:spacing w:after="0" w:line="185"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a variety of financial risks, including market risk (including foreign exchange risk and price risk), credit and interest risks and liquidity risk. Our overall risk management program focuses on the unpredictability of financial markets and seeks to minimize potential adverse effects on our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our international operations, currency exchange rates impact our financial performance. In 2017, approximately 84% of our revenues were denominated in U.S. dollars and 16% of our revenues were denominated in Euros. Conversely, in 2017, approximately 44% of our purchases of raw materials and components of our systems and ink and other consumables are denominated in either NIS or in NIS prices that are linked to U.S. dollars. Similarly, a majority of our operating costs, which are largely comprised of labor costs, are denominated in NIS, due to our operations in Israel. Accordingly, our results of operations may be materially affected by fluctuations in the value of the U.S. dollar relative to the NIS and the Euro.</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08" w:name="page109"/>
    <w:bookmarkEnd w:id="10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about the changes in the exchange rates of the NIS and the Euro against the U.S. dollar: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Change in Average</w:t>
            </w:r>
          </w:p>
        </w:tc>
      </w:tr>
      <w:tr>
        <w:trPr>
          <w:trHeight w:val="245"/>
        </w:trPr>
        <w:tc>
          <w:tcPr>
            <w:tcW w:w="8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Exchange Rate</w:t>
            </w:r>
          </w:p>
        </w:tc>
      </w:tr>
      <w:tr>
        <w:trPr>
          <w:trHeight w:val="194"/>
        </w:trPr>
        <w:tc>
          <w:tcPr>
            <w:tcW w:w="8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U.S. Dollar</w:t>
            </w:r>
          </w:p>
        </w:tc>
        <w:tc>
          <w:tcPr>
            <w:tcW w:w="11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U.S. Dollar</w:t>
            </w:r>
          </w:p>
        </w:tc>
        <w:tc>
          <w:tcPr>
            <w:tcW w:w="100" w:type="dxa"/>
            <w:vAlign w:val="bottom"/>
          </w:tcPr>
          <w:p>
            <w:pPr>
              <w:spacing w:after="0"/>
              <w:rPr>
                <w:sz w:val="16"/>
                <w:szCs w:val="16"/>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against the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 the</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NIS</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Euro</w:t>
            </w:r>
          </w:p>
        </w:tc>
      </w:tr>
      <w:tr>
        <w:trPr>
          <w:trHeight w:val="245"/>
        </w:trPr>
        <w:tc>
          <w:tcPr>
            <w:tcW w:w="8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CEEFF"/>
            </w:tcBorders>
          </w:tcPr>
          <w:p>
            <w:pPr>
              <w:spacing w:after="0"/>
              <w:rPr>
                <w:sz w:val="21"/>
                <w:szCs w:val="2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figures above represent the change in the average exchange rate in the given period compared to the average exchange rate in the immediately preceding period. Negative figures represent depreciation of the U.S. dollar compared to the NIS and positive figures represent appreciation of the U.S. dollar compared to the NIS. We estimate that a 10% increase or decrease in the value of the NIS against the U.S. dollar would have decreased or increased our net income by approximately by approximately $(0.9) or $0.9 million in 2016 and $(1.7) or $1.4 million in 2017. We estimate that a 10% increase or decrease in the value of the Euro against the U.S. dollar would have decreased or increased our net income by approximately $(0.3) or $0.3 million in 2016 and $(0.8) or $1.0 million in 2017. These estimates of the impact of fluctuations in currency exchange rates on our historic results of operations may be different from the impact of fluctuations in exchange rates on our future results of operations since the mix of currencies comprising our revenues and expenses may change.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protect against an increase in the dollar-denominated value of expenses paid in NIS during the year, we have instituted a foreign currency cash flow hedging program, which seeks to hedge a portion of the economic exposure associated with our anticipated NIS-denominated expenses using derivative instruments. We intend to manage risks by using instruments such as foreign currency forward and swap contracts and other methods.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2016 and 2017, we entered into forward and option contracts to hedge against the risk of overall changes in future cash flow from payments of payroll and related expenses denominated in NIS.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the substantial majority of our revenues will continue to be denominated in U.S. dollars for the foreseeable future and that a significant portion of our expenses will continue to be denominated in NIS. We will continue to monitor exposure to currency fluctuations. However, we cannot provide any assurances that our hedging activities will be successful in protecting us in full from adverse impacts from currency exchange rate fluctuations. In addition, since we only plan to hedge a portion of our foreign currency exposure, our results of operations may be adversely affected due to the impact of currency fluctuations on the unhedged aspects of our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investment strategy is to achieve a return that will allow us to preserve capital and maintain liquidity requirements. We invest primarily in debt securities, corporate debt securities. By policy, we limit the amount of credit exposure to any one issuer. As of December 31, 2016 and December 31, 2017, unrealized losses on our marketable debt securities were primarily due to temporary interest rate fluctuations as a result of higher market interest rates compared to interest rates at the time of purchase. We account for both fixed and variable rate securities at fair value with changes on gains and losses recorded in the OCI until the securities are sold.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Market Risks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believe that we have any material exposure to inflationary risks.</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u w:val="single" w:color="auto"/>
          <w:color w:val="auto"/>
        </w:rPr>
        <w:t>Description of Securities Other than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09" w:name="page110"/>
    <w:bookmarkEnd w:id="10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u w:val="single" w:color="auto"/>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u w:val="single" w:color="auto"/>
          <w:color w:val="auto"/>
        </w:rPr>
        <w:t>Material Modifications to the Rights of Security Holders and Use of Proceeds.</w:t>
      </w:r>
    </w:p>
    <w:p>
      <w:pPr>
        <w:spacing w:after="0" w:line="225"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effective date of the registration statement (File No. 333-202291) for our IPO was April 1, 2015. The offering commenced on March 18, 2015 and was closed on April 8, 2015. Barclays Capital Inc. and Citigroup Global Markets Inc. were joint book-running managers and representatives of the underwriters for the offering. Barclays Capital Inc., Citigroup Global Markets Inc., William Blair &amp; Company, L.L.C., Stifel, Nicolaus &amp; Company, Incorporated, Canaccord Genuity Inc. and Needham &amp; Company, LLC were the underwriters for the offering. We registered 7,100,000 ordinary shares in the offering and granted the underwriters a 30-day over-allotment option to purchase up to 1,065,000 additional shares from us to cover over-allotments. The over-allotment was exercised in full by the underwriters.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closing of the IPO, we issued and sold a total of 8,165,000 ordinary shares at a price per share of $10.00 with aggregate gross proceeds of $81.7 million. Under the terms of the offering, we incurred aggregate underwriting discounts of approximately $5.7 million and expenses of approximately $2.4 million in connection with the offering, resulting in net proceeds to us of approximately $73.5 million.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the effective date of the registration statement and until December 31, 2017, we had provided $18.7 million of the net proceeds of the IPO for working capital.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use the balance of the net proceeds for working capital and general corporate purposes. The above may change based on the growth of our business.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the net proceeds of the offering was paid directly or indirectly to any director or officer, of ours or to their associates, persons owning ten percent or more of any class of our equity securities, or to any of our affiliates.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evaluated, with the participation of our principal executive officer and principal financial officer, the effectiveness of our disclosure controls and procedures (as defined in Rules 13a-15(e) and 15d-15(e) under the Exchange Act), as of December 31, 2017. Based on their evaluation, our principal executive officer and principal financial officer concluded that as of December 31, 2017, our disclosure controls and procedures were effective such that the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 annual report on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of our Chief Executive Officer and Chief Financial Officer, is responsible for establishing and maintaining adequate internal control over financial reporting as defined in Rules 13a-15(f) and 15d-15(f) under the Exchange Act. Our internal control over financial reporting is a process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184" w:lineRule="exact"/>
        <w:rPr>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10" w:name="page111"/>
    <w:bookmarkEnd w:id="11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left="980" w:hanging="324"/>
        <w:spacing w:after="0" w:line="266"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internal control over financial reporting as of December 31, 2017 based on the criteria established in “Internal Control-Integrated Framework (2013)” published by the Committee of Sponsoring Organizations of the Treadway Commission. Based on this assessment, management has concluded that our internal control over financial reporting was effective as of December 31,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the independent registered public accounting firm</w:t>
      </w:r>
    </w:p>
    <w:p>
      <w:pPr>
        <w:spacing w:after="0" w:line="229"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regarding internal control over financial reporting because the JOBS Act provides an exemption from such requirement, as we qualify as an emerging growth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pacing w:after="0" w:line="17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u w:val="single" w:color="auto"/>
          <w:color w:val="auto"/>
        </w:rPr>
        <w:t>[Reserved]</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7"/>
          <w:szCs w:val="17"/>
          <w:b w:val="1"/>
          <w:bCs w:val="1"/>
          <w:u w:val="single" w:color="auto"/>
          <w:color w:val="auto"/>
        </w:rPr>
        <w:t>Audit Committee Financial Expert.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of Lauri Hanover and Jerry Mandel, who serves on the audit committee of our board of directors and who meets the “independent director” definition under the NASDAQ Listing Rules, qualifies as an “audit committee financial expert,” as defined under the rules and regulations of the SEC, as well as our external director with “accounting and financial expertise” under the Companies Law.</w:t>
      </w:r>
    </w:p>
    <w:p>
      <w:pPr>
        <w:spacing w:after="0" w:line="17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u w:val="single" w:color="auto"/>
          <w:color w:val="auto"/>
        </w:rPr>
        <w:t>Code of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adopted a code of ethics and business conduct applicable to our executive officers, directors and all other employees. A copy of the code is delivered to every employee of our company, and is available to investors and others on our website at http://ir.kornit.com/ or by contacting our investor relations department. Under Item 16B of Form 20-F, if a waiver or amendment of the code of ethics and business conduct applies to our principal executive officer, principal financial officer, principal accounting officer, controller or other persons performing similar functions and relates to standards promoting any of the values described in Item 16B(b) of Form 20-F, we will disclose such waiver or amendment (i) on our website within five business days following the date of amendment or waiver in accordance with the requirements of Instruction 4 to such Item 16B or (ii) through the filing of a Form 6-K. No such amendment was adopted, nor waiver provided, by us during the fiscal year ended December 31, 2017.</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1" w:name="page112"/>
    <w:bookmarkEnd w:id="11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u w:val="single" w:color="auto"/>
          <w:color w:val="auto"/>
        </w:rPr>
        <w:t>Principal Accountant Fees and Services.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Fees billed or expected to be billed by Kost, Forer, Gabbay &amp; Kasierer, a member of Ernst &amp; Young Global, and other members of Ernst &amp; Young Global for professional services for each of the last two fiscal years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7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2016</w:t>
            </w:r>
          </w:p>
        </w:tc>
        <w:tc>
          <w:tcPr>
            <w:tcW w:w="264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“Tax fees” include fees for professional services rendered by our independent registered public accounting firm for tax compliance and tax advice on actual or contemplated transactions.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fees” include fees for services rendered by our independent registered public accounting firm with respect to government incentives and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Committee’s Pre-approval Policies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7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u w:val="single" w:color="auto"/>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u w:val="single" w:color="auto"/>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u w:val="single" w:color="auto"/>
          <w:color w:val="auto"/>
        </w:rPr>
        <w:t>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2" w:name="page113"/>
    <w:bookmarkEnd w:id="11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7"/>
          <w:szCs w:val="17"/>
          <w:b w:val="1"/>
          <w:bCs w:val="1"/>
          <w:u w:val="single" w:color="auto"/>
          <w:color w:val="auto"/>
        </w:rPr>
        <w:t>Corporate Governance.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NASDAQ Global Select Market requires companies with securities listed thereon to comply with its corporate governance standards. As a foreign private issuer, we are not required to comply with all of the rules that apply to listed domestic U.S. companies. Pursuant to NASDAQ Listing Rule 5615(a)(3), we have notified NASDAQ that with respect to the corporate governance practices described below, we instead follow Israeli law and practice and accordingly will not follow the NASDAQ Listing Rules. Except for the differences described below, we do not believe there are any significant differences between our corporate governance practices and those that apply to a U.S. domestic issuer under the NASDAQ corporate governance rules. However, we may in the future decide to use the foreign private issuer exemption with respect to some or all of the other NASDAQ corporate governance rules, in which case we will update our disclosure in ITEM 16G of Form 20-F.</w:t>
      </w:r>
    </w:p>
    <w:p>
      <w:pPr>
        <w:spacing w:after="0" w:line="189" w:lineRule="exact"/>
        <w:rPr>
          <w:sz w:val="20"/>
          <w:szCs w:val="20"/>
          <w:color w:val="auto"/>
        </w:rPr>
      </w:pPr>
    </w:p>
    <w:p>
      <w:pPr>
        <w:jc w:val="both"/>
        <w:ind w:left="980" w:hanging="324"/>
        <w:spacing w:after="0" w:line="265"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 requirement for shareholder meetings</w:t>
      </w:r>
      <w:r>
        <w:rPr>
          <w:rFonts w:ascii="Times New Roman" w:cs="Times New Roman" w:eastAsia="Times New Roman" w:hAnsi="Times New Roman"/>
          <w:sz w:val="18"/>
          <w:szCs w:val="18"/>
          <w:color w:val="auto"/>
        </w:rPr>
        <w:t xml:space="preserve">: As permitted under the Companies Law, pursuant to our articles, the quorum required for an ordinary meeting of shareholders consists of at least two shareholders present in person, by proxy or by other voting instrument, who hold at least 25% of the voting power of our shares (and in an adjourned meeting, with some exceptions, two shareholders, regardless of the voting power associated with their shares), instead of 33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3</w:t>
      </w:r>
      <w:r>
        <w:rPr>
          <w:rFonts w:ascii="Times New Roman" w:cs="Times New Roman" w:eastAsia="Times New Roman" w:hAnsi="Times New Roman"/>
          <w:sz w:val="18"/>
          <w:szCs w:val="18"/>
          <w:color w:val="auto"/>
        </w:rPr>
        <w:t>% of the issued share capital required under the NASDAQ Listing Rules.</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277" w:lineRule="auto"/>
        <w:tabs>
          <w:tab w:leader="none" w:pos="9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Nomination of directors</w:t>
      </w:r>
      <w:r>
        <w:rPr>
          <w:rFonts w:ascii="Times New Roman" w:cs="Times New Roman" w:eastAsia="Times New Roman" w:hAnsi="Times New Roman"/>
          <w:sz w:val="17"/>
          <w:szCs w:val="17"/>
          <w:color w:val="auto"/>
        </w:rPr>
        <w:t>. With the exception of external directors and directors elected by our board of directors due to vacancy, our directors are elected by an annual meeting of our shareholders to hold office until the next annual meeting following one year from his or her election. The nominations for directors, which are presented to our shareholders by our board of directors, are generally made by the board of directors itself, in accordance with the provisions of our articles of association and the Israeli Companies Law. Nominations need not be made by a nominating committee of our board of directors consisting solely of independent directors or otherwise, as required under the NASDAQ Listing Rules.</w:t>
      </w:r>
    </w:p>
    <w:p>
      <w:pPr>
        <w:spacing w:after="0" w:line="168" w:lineRule="exact"/>
        <w:rPr>
          <w:rFonts w:ascii="Times New Roman" w:cs="Times New Roman" w:eastAsia="Times New Roman" w:hAnsi="Times New Roman"/>
          <w:sz w:val="17"/>
          <w:szCs w:val="17"/>
          <w:color w:val="auto"/>
        </w:rPr>
      </w:pPr>
    </w:p>
    <w:p>
      <w:pPr>
        <w:jc w:val="both"/>
        <w:ind w:left="980" w:hanging="324"/>
        <w:spacing w:after="0" w:line="266"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Majority of independent directors</w:t>
      </w:r>
      <w:r>
        <w:rPr>
          <w:rFonts w:ascii="Times New Roman" w:cs="Times New Roman" w:eastAsia="Times New Roman" w:hAnsi="Times New Roman"/>
          <w:sz w:val="18"/>
          <w:szCs w:val="18"/>
          <w:color w:val="auto"/>
        </w:rPr>
        <w:t>. Under the Companies Law, we are only required to appoint at least two external directors, within the meaning of the Companies Law, to our board of directors. Currently, four of our directors (of which two are external directors, within the meaning of the Companies Law) qualify as independent directors under the rules of the U.S. federal securities laws and the NASDAQ Listing Rules.</w:t>
      </w:r>
    </w:p>
    <w:p>
      <w:pPr>
        <w:spacing w:after="0" w:line="17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3" w:name="page114"/>
    <w:bookmarkEnd w:id="11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ind w:right="41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pages F-2 through F-45 appended hereto.</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7"/>
          <w:szCs w:val="17"/>
          <w:b w:val="1"/>
          <w:bCs w:val="1"/>
          <w:u w:val="single" w:color="auto"/>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the exhibit index incorporated herein by reference.</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20" w:right="1440" w:bottom="1440" w:gutter="0" w:footer="0" w:header="0"/>
        </w:sectPr>
      </w:pPr>
    </w:p>
    <w:bookmarkStart w:id="114" w:name="page115"/>
    <w:bookmarkEnd w:id="11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Guy Avidan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5" w:name="page116"/>
    <w:bookmarkEnd w:id="115"/>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52"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1.1</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4.1</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4.2</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4.4</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4.5</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4.5</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4.6</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4.8</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4.9</w:t>
      </w:r>
    </w:p>
    <w:p>
      <w:pPr>
        <w:spacing w:after="0" w:line="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ANNUAL REPORT ON FORM 20-F</w:t>
      </w:r>
    </w:p>
    <w:p>
      <w:pPr>
        <w:spacing w:after="0" w:line="3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19685</wp:posOffset>
            </wp:positionV>
            <wp:extent cx="7246620" cy="180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20" w:lineRule="auto"/>
        <w:rPr>
          <w:rFonts w:ascii="Times New Roman" w:cs="Times New Roman" w:eastAsia="Times New Roman" w:hAnsi="Times New Roman"/>
          <w:sz w:val="18"/>
          <w:szCs w:val="18"/>
          <w:u w:val="single" w:color="auto"/>
          <w:color w:val="0000EE"/>
        </w:rPr>
      </w:pPr>
      <w:hyperlink r:id="rId133">
        <w:r>
          <w:rPr>
            <w:rFonts w:ascii="Times New Roman" w:cs="Times New Roman" w:eastAsia="Times New Roman" w:hAnsi="Times New Roman"/>
            <w:sz w:val="18"/>
            <w:szCs w:val="18"/>
            <w:u w:val="single" w:color="auto"/>
            <w:color w:val="0000EE"/>
          </w:rPr>
          <w:t>Amended and Restated Articles of Association of Kornit Digital Ltd.</w:t>
        </w:r>
        <w:r>
          <w:rPr>
            <w:rFonts w:ascii="Times New Roman" w:cs="Times New Roman" w:eastAsia="Times New Roman" w:hAnsi="Times New Roman"/>
            <w:sz w:val="30"/>
            <w:szCs w:val="30"/>
            <w:u w:val="single" w:color="auto"/>
            <w:color w:val="0000EE"/>
            <w:vertAlign w:val="superscript"/>
          </w:rPr>
          <w:t>(1)</w:t>
        </w:r>
      </w:hyperlink>
    </w:p>
    <w:p>
      <w:pPr>
        <w:spacing w:after="0" w:line="185" w:lineRule="auto"/>
        <w:rPr>
          <w:rFonts w:ascii="Times New Roman" w:cs="Times New Roman" w:eastAsia="Times New Roman" w:hAnsi="Times New Roman"/>
          <w:sz w:val="18"/>
          <w:szCs w:val="18"/>
          <w:u w:val="single" w:color="auto"/>
          <w:color w:val="0000EE"/>
        </w:rPr>
      </w:pPr>
      <w:hyperlink r:id="rId134">
        <w:r>
          <w:rPr>
            <w:rFonts w:ascii="Times New Roman" w:cs="Times New Roman" w:eastAsia="Times New Roman" w:hAnsi="Times New Roman"/>
            <w:sz w:val="18"/>
            <w:szCs w:val="18"/>
            <w:u w:val="single" w:color="auto"/>
            <w:color w:val="0000EE"/>
          </w:rPr>
          <w:t>Specimen ordinary share certificate of Kornit Digital Ltd.</w:t>
        </w:r>
        <w:r>
          <w:rPr>
            <w:rFonts w:ascii="Times New Roman" w:cs="Times New Roman" w:eastAsia="Times New Roman" w:hAnsi="Times New Roman"/>
            <w:sz w:val="29"/>
            <w:szCs w:val="29"/>
            <w:u w:val="single" w:color="auto"/>
            <w:color w:val="0000EE"/>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-635</wp:posOffset>
            </wp:positionV>
            <wp:extent cx="7246620" cy="3003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jc w:val="both"/>
        <w:spacing w:after="0" w:line="205" w:lineRule="auto"/>
        <w:rPr>
          <w:rFonts w:ascii="Times New Roman" w:cs="Times New Roman" w:eastAsia="Times New Roman" w:hAnsi="Times New Roman"/>
          <w:sz w:val="18"/>
          <w:szCs w:val="18"/>
          <w:u w:val="single" w:color="auto"/>
          <w:color w:val="0000EE"/>
        </w:rPr>
      </w:pPr>
      <w:hyperlink r:id="rId133">
        <w:r>
          <w:rPr>
            <w:rFonts w:ascii="Times New Roman" w:cs="Times New Roman" w:eastAsia="Times New Roman" w:hAnsi="Times New Roman"/>
            <w:sz w:val="18"/>
            <w:szCs w:val="18"/>
            <w:u w:val="single" w:color="auto"/>
            <w:color w:val="0000EE"/>
          </w:rPr>
          <w:t>Amended and Restated Investors’ Rights Agreement, dated March 18, 2015, by and among Kornit Digital Ltd. and certain of the Registrant’s</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shareholders</w:t>
        </w:r>
        <w:r>
          <w:rPr>
            <w:rFonts w:ascii="Times New Roman" w:cs="Times New Roman" w:eastAsia="Times New Roman" w:hAnsi="Times New Roman"/>
            <w:sz w:val="30"/>
            <w:szCs w:val="30"/>
            <w:u w:val="single" w:color="auto"/>
            <w:color w:val="0000EE"/>
            <w:vertAlign w:val="superscript"/>
          </w:rPr>
          <w:t>(1)</w:t>
        </w:r>
      </w:hyperlink>
    </w:p>
    <w:p>
      <w:pPr>
        <w:spacing w:after="0" w:line="185" w:lineRule="auto"/>
        <w:rPr>
          <w:rFonts w:ascii="Times New Roman" w:cs="Times New Roman" w:eastAsia="Times New Roman" w:hAnsi="Times New Roman"/>
          <w:sz w:val="18"/>
          <w:szCs w:val="18"/>
          <w:u w:val="single" w:color="auto"/>
          <w:color w:val="0000EE"/>
        </w:rPr>
      </w:pPr>
      <w:hyperlink r:id="rId136">
        <w:r>
          <w:rPr>
            <w:rFonts w:ascii="Times New Roman" w:cs="Times New Roman" w:eastAsia="Times New Roman" w:hAnsi="Times New Roman"/>
            <w:sz w:val="18"/>
            <w:szCs w:val="18"/>
            <w:u w:val="single" w:color="auto"/>
            <w:color w:val="0000EE"/>
          </w:rPr>
          <w:t>Form of Indemnification Agreement</w:t>
        </w:r>
        <w:r>
          <w:rPr>
            <w:rFonts w:ascii="Times New Roman" w:cs="Times New Roman" w:eastAsia="Times New Roman" w:hAnsi="Times New Roman"/>
            <w:sz w:val="29"/>
            <w:szCs w:val="29"/>
            <w:u w:val="single" w:color="auto"/>
            <w:color w:val="0000EE"/>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rFonts w:ascii="Times New Roman" w:cs="Times New Roman" w:eastAsia="Times New Roman" w:hAnsi="Times New Roman"/>
          <w:sz w:val="18"/>
          <w:szCs w:val="18"/>
          <w:u w:val="single" w:color="auto"/>
          <w:color w:val="0000EE"/>
        </w:rPr>
      </w:pPr>
      <w:hyperlink r:id="rId138">
        <w:r>
          <w:rPr>
            <w:rFonts w:ascii="Times New Roman" w:cs="Times New Roman" w:eastAsia="Times New Roman" w:hAnsi="Times New Roman"/>
            <w:sz w:val="18"/>
            <w:szCs w:val="18"/>
            <w:u w:val="single" w:color="auto"/>
            <w:color w:val="0000EE"/>
          </w:rPr>
          <w:t>2004 Share Option Plan</w:t>
        </w:r>
        <w:r>
          <w:rPr>
            <w:rFonts w:ascii="Times New Roman" w:cs="Times New Roman" w:eastAsia="Times New Roman" w:hAnsi="Times New Roman"/>
            <w:sz w:val="29"/>
            <w:szCs w:val="29"/>
            <w:u w:val="single" w:color="auto"/>
            <w:color w:val="0000EE"/>
            <w:vertAlign w:val="superscript"/>
          </w:rPr>
          <w:t>(3)</w:t>
        </w:r>
      </w:hyperlink>
    </w:p>
    <w:p>
      <w:pPr>
        <w:spacing w:after="0" w:line="184" w:lineRule="auto"/>
        <w:rPr>
          <w:rFonts w:ascii="Times New Roman" w:cs="Times New Roman" w:eastAsia="Times New Roman" w:hAnsi="Times New Roman"/>
          <w:sz w:val="18"/>
          <w:szCs w:val="18"/>
          <w:u w:val="single" w:color="auto"/>
          <w:color w:val="0000EE"/>
        </w:rPr>
      </w:pPr>
      <w:hyperlink r:id="rId139">
        <w:r>
          <w:rPr>
            <w:rFonts w:ascii="Times New Roman" w:cs="Times New Roman" w:eastAsia="Times New Roman" w:hAnsi="Times New Roman"/>
            <w:sz w:val="18"/>
            <w:szCs w:val="18"/>
            <w:u w:val="single" w:color="auto"/>
            <w:color w:val="0000EE"/>
          </w:rPr>
          <w:t>2012 Share Incentive Plan</w:t>
        </w:r>
        <w:r>
          <w:rPr>
            <w:rFonts w:ascii="Times New Roman" w:cs="Times New Roman" w:eastAsia="Times New Roman" w:hAnsi="Times New Roman"/>
            <w:sz w:val="29"/>
            <w:szCs w:val="29"/>
            <w:u w:val="single" w:color="auto"/>
            <w:color w:val="0000EE"/>
            <w:vertAlign w:val="superscript"/>
          </w:rPr>
          <w:t>(3)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rFonts w:ascii="Times New Roman" w:cs="Times New Roman" w:eastAsia="Times New Roman" w:hAnsi="Times New Roman"/>
          <w:sz w:val="18"/>
          <w:szCs w:val="18"/>
          <w:u w:val="single" w:color="auto"/>
          <w:color w:val="0000EE"/>
        </w:rPr>
      </w:pPr>
      <w:hyperlink r:id="rId141">
        <w:r>
          <w:rPr>
            <w:rFonts w:ascii="Times New Roman" w:cs="Times New Roman" w:eastAsia="Times New Roman" w:hAnsi="Times New Roman"/>
            <w:sz w:val="18"/>
            <w:szCs w:val="18"/>
            <w:u w:val="single" w:color="auto"/>
            <w:color w:val="0000EE"/>
          </w:rPr>
          <w:t>2015 Incentive Compensation Plan</w:t>
        </w:r>
        <w:r>
          <w:rPr>
            <w:rFonts w:ascii="Times New Roman" w:cs="Times New Roman" w:eastAsia="Times New Roman" w:hAnsi="Times New Roman"/>
            <w:sz w:val="29"/>
            <w:szCs w:val="29"/>
            <w:u w:val="single" w:color="auto"/>
            <w:color w:val="0000EE"/>
            <w:vertAlign w:val="superscript"/>
          </w:rPr>
          <w:t>(1)</w:t>
        </w:r>
      </w:hyperlink>
    </w:p>
    <w:p>
      <w:pPr>
        <w:spacing w:after="0" w:line="185" w:lineRule="auto"/>
        <w:rPr>
          <w:rFonts w:ascii="Times New Roman" w:cs="Times New Roman" w:eastAsia="Times New Roman" w:hAnsi="Times New Roman"/>
          <w:sz w:val="18"/>
          <w:szCs w:val="18"/>
          <w:u w:val="single" w:color="auto"/>
          <w:color w:val="0000EE"/>
        </w:rPr>
      </w:pPr>
      <w:hyperlink r:id="rId142">
        <w:r>
          <w:rPr>
            <w:rFonts w:ascii="Times New Roman" w:cs="Times New Roman" w:eastAsia="Times New Roman" w:hAnsi="Times New Roman"/>
            <w:sz w:val="18"/>
            <w:szCs w:val="18"/>
            <w:u w:val="single" w:color="auto"/>
            <w:color w:val="0000EE"/>
          </w:rPr>
          <w:t>Kornit Digital Ltd.’s Compensation Policy</w:t>
        </w:r>
        <w:r>
          <w:rPr>
            <w:rFonts w:ascii="Times New Roman" w:cs="Times New Roman" w:eastAsia="Times New Roman" w:hAnsi="Times New Roman"/>
            <w:sz w:val="29"/>
            <w:szCs w:val="29"/>
            <w:u w:val="single" w:color="auto"/>
            <w:color w:val="0000EE"/>
            <w:vertAlign w:val="superscript"/>
          </w:rPr>
          <w:t>(4)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823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0000EE"/>
        </w:rPr>
        <w:t>English Summary of the Office and Parking Space Lease Agreement dated as of December 17, 2007, by and between the Registrant and Industrial Building Corporation Ltd. as amended by Addendum, dated 2007, Addendum to Lease Agreement, dated 2007, Addendum to Lease Agreement, dated March 8, 2012, Addendum to Lease Agreement, dated 2012, Addendum to Lease Agreement, dated December 19, 2012, Addendum to Lease Agreement, dated May 20, 2013, Addendum to Lease Agreement, dated January 12, 2014, Addendum to Lease Agreement, dated January 12, 2014, Addendum to Lease Agreement, dated December 27, 2015 and Addendum to Lease Agreement, dated December 28, 2015, Addendum to the Lease Agreement dated October 17, 2017 and the Addendum dated February 21, 2018</w:t>
      </w:r>
    </w:p>
    <w:p>
      <w:pPr>
        <w:spacing w:after="0" w:line="1" w:lineRule="exact"/>
        <w:rPr>
          <w:sz w:val="20"/>
          <w:szCs w:val="20"/>
          <w:color w:val="auto"/>
        </w:rPr>
      </w:pPr>
    </w:p>
    <w:p>
      <w:pPr>
        <w:spacing w:after="0" w:line="225"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 xml:space="preserve">English Summary of the Lease Agreement, dated March 25, 2010, by and between the Registrant and Benvenisti Engineering Ltd. as amended by Addendum to Lease Agreement, dated November 21, 2011, and Addendum to Lease Agreement, dated September 16, 2014, Addendum to the Lease Agreement dated March 3, 2015 and an Addendum to the Lease Agreement dated August 31, 2017 </w:t>
      </w:r>
      <w:hyperlink r:id="rId144">
        <w:r>
          <w:rPr>
            <w:rFonts w:ascii="Times New Roman" w:cs="Times New Roman" w:eastAsia="Times New Roman" w:hAnsi="Times New Roman"/>
            <w:sz w:val="18"/>
            <w:szCs w:val="18"/>
            <w:u w:val="single" w:color="auto"/>
            <w:color w:val="0000EE"/>
          </w:rPr>
          <w:t xml:space="preserve">OEM Supply Agreement, dated December 3, 2015, among the Registrant and FujiFilm Dimatix, Inc. </w:t>
        </w:r>
        <w:r>
          <w:rPr>
            <w:rFonts w:ascii="Times New Roman" w:cs="Times New Roman" w:eastAsia="Times New Roman" w:hAnsi="Times New Roman"/>
            <w:sz w:val="30"/>
            <w:szCs w:val="30"/>
            <w:u w:val="single" w:color="auto"/>
            <w:color w:val="0000EE"/>
            <w:vertAlign w:val="superscript"/>
          </w:rPr>
          <w:t>†(5)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-162560</wp:posOffset>
            </wp:positionV>
            <wp:extent cx="724662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4" w:lineRule="auto"/>
        <w:rPr>
          <w:rFonts w:ascii="Times New Roman" w:cs="Times New Roman" w:eastAsia="Times New Roman" w:hAnsi="Times New Roman"/>
          <w:sz w:val="18"/>
          <w:szCs w:val="18"/>
          <w:u w:val="single" w:color="auto"/>
          <w:color w:val="0000EE"/>
        </w:rPr>
      </w:pPr>
      <w:hyperlink r:id="rId146">
        <w:r>
          <w:rPr>
            <w:rFonts w:ascii="Times New Roman" w:cs="Times New Roman" w:eastAsia="Times New Roman" w:hAnsi="Times New Roman"/>
            <w:sz w:val="18"/>
            <w:szCs w:val="18"/>
            <w:u w:val="single" w:color="auto"/>
            <w:color w:val="0000EE"/>
          </w:rPr>
          <w:t xml:space="preserve">Sales Representative Agreement, dated April 1, 2014, between the Registrant and Hirsch International Corporation </w:t>
        </w:r>
        <w:r>
          <w:rPr>
            <w:rFonts w:ascii="Times New Roman" w:cs="Times New Roman" w:eastAsia="Times New Roman" w:hAnsi="Times New Roman"/>
            <w:sz w:val="29"/>
            <w:szCs w:val="29"/>
            <w:u w:val="single" w:color="auto"/>
            <w:color w:val="0000EE"/>
            <w:vertAlign w:val="superscript"/>
          </w:rPr>
          <w:t>†(3)</w:t>
        </w:r>
      </w:hyperlink>
    </w:p>
    <w:p>
      <w:pPr>
        <w:spacing w:after="0" w:line="1" w:lineRule="exact"/>
        <w:rPr>
          <w:sz w:val="20"/>
          <w:szCs w:val="20"/>
          <w:color w:val="auto"/>
        </w:rPr>
      </w:pPr>
    </w:p>
    <w:p>
      <w:pPr>
        <w:sectPr>
          <w:pgSz w:w="11900" w:h="16838" w:orient="portrait"/>
          <w:cols w:equalWidth="0" w:num="2">
            <w:col w:w="960" w:space="200"/>
            <w:col w:w="10260"/>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160" w:type="dxa"/>
            <w:vAlign w:val="bottom"/>
            <w:tcBorders>
              <w:bottom w:val="single" w:sz="8" w:color="CCEEFF"/>
            </w:tcBorders>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5"/>
              </w:rPr>
              <w:t>4.11</w:t>
            </w:r>
          </w:p>
        </w:tc>
        <w:tc>
          <w:tcPr>
            <w:tcW w:w="8200" w:type="dxa"/>
            <w:vAlign w:val="bottom"/>
            <w:tcBorders>
              <w:bottom w:val="single" w:sz="8" w:color="CCEEFF"/>
            </w:tcBorders>
            <w:gridSpan w:val="10"/>
            <w:vMerge w:val="restart"/>
            <w:shd w:val="clear" w:color="auto" w:fill="CCEEFF"/>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Manufacturing Services Agreement, dated May 2015, by and between the Registrant and Flextronics (Israel) Ltd.</w:t>
              </w:r>
            </w:hyperlink>
          </w:p>
        </w:tc>
        <w:tc>
          <w:tcPr>
            <w:tcW w:w="260" w:type="dxa"/>
            <w:vAlign w:val="bottom"/>
            <w:tcBorders>
              <w:bottom w:val="single" w:sz="8" w:color="0000EE"/>
            </w:tcBorders>
            <w:gridSpan w:val="2"/>
            <w:shd w:val="clear" w:color="auto" w:fill="CCEEFF"/>
          </w:tcPr>
          <w:p>
            <w:pPr>
              <w:spacing w:after="0" w:line="129" w:lineRule="exact"/>
              <w:rPr>
                <w:rFonts w:ascii="Times New Roman" w:cs="Times New Roman" w:eastAsia="Times New Roman" w:hAnsi="Times New Roman"/>
                <w:sz w:val="14"/>
                <w:szCs w:val="14"/>
                <w:color w:val="0000EE"/>
              </w:rPr>
            </w:pPr>
            <w:hyperlink r:id="rId147">
              <w:r>
                <w:rPr>
                  <w:rFonts w:ascii="Times New Roman" w:cs="Times New Roman" w:eastAsia="Times New Roman" w:hAnsi="Times New Roman"/>
                  <w:sz w:val="14"/>
                  <w:szCs w:val="14"/>
                  <w:color w:val="0000EE"/>
                </w:rPr>
                <w:t>†(6)</w:t>
              </w:r>
            </w:hyperlink>
          </w:p>
        </w:tc>
        <w:tc>
          <w:tcPr>
            <w:tcW w:w="200" w:type="dxa"/>
            <w:vAlign w:val="bottom"/>
            <w:tcBorders>
              <w:bottom w:val="single" w:sz="8" w:color="CCEEFF"/>
            </w:tcBorders>
            <w:vMerge w:val="restart"/>
            <w:shd w:val="clear" w:color="auto" w:fill="CCEEFF"/>
          </w:tcPr>
          <w:p>
            <w:pPr>
              <w:spacing w:after="0"/>
              <w:rPr>
                <w:sz w:val="12"/>
                <w:szCs w:val="12"/>
                <w:color w:val="auto"/>
              </w:rPr>
            </w:pPr>
          </w:p>
        </w:tc>
        <w:tc>
          <w:tcPr>
            <w:tcW w:w="1060" w:type="dxa"/>
            <w:vAlign w:val="bottom"/>
            <w:tcBorders>
              <w:bottom w:val="single" w:sz="8" w:color="CCEEFF"/>
            </w:tcBorders>
            <w:vMerge w:val="restart"/>
            <w:shd w:val="clear" w:color="auto" w:fill="CCEEFF"/>
          </w:tcPr>
          <w:p>
            <w:pPr>
              <w:spacing w:after="0"/>
              <w:rPr>
                <w:sz w:val="12"/>
                <w:szCs w:val="12"/>
                <w:color w:val="auto"/>
              </w:rPr>
            </w:pPr>
          </w:p>
        </w:tc>
        <w:tc>
          <w:tcPr>
            <w:tcW w:w="54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60" w:type="dxa"/>
            <w:vAlign w:val="bottom"/>
            <w:tcBorders>
              <w:bottom w:val="single" w:sz="8" w:color="CCEEFF"/>
            </w:tcBorders>
            <w:vMerge w:val="continue"/>
            <w:shd w:val="clear" w:color="auto" w:fill="CCEEFF"/>
          </w:tcPr>
          <w:p>
            <w:pPr>
              <w:spacing w:after="0"/>
              <w:rPr>
                <w:sz w:val="5"/>
                <w:szCs w:val="5"/>
                <w:color w:val="auto"/>
              </w:rPr>
            </w:pPr>
          </w:p>
        </w:tc>
        <w:tc>
          <w:tcPr>
            <w:tcW w:w="8200" w:type="dxa"/>
            <w:vAlign w:val="bottom"/>
            <w:tcBorders>
              <w:bottom w:val="single" w:sz="8" w:color="0000EE"/>
            </w:tcBorders>
            <w:gridSpan w:val="10"/>
            <w:vMerge w:val="continue"/>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vMerge w:val="continue"/>
            <w:shd w:val="clear" w:color="auto" w:fill="CCEEFF"/>
          </w:tcPr>
          <w:p>
            <w:pPr>
              <w:spacing w:after="0"/>
              <w:rPr>
                <w:sz w:val="5"/>
                <w:szCs w:val="5"/>
                <w:color w:val="auto"/>
              </w:rPr>
            </w:pPr>
          </w:p>
        </w:tc>
        <w:tc>
          <w:tcPr>
            <w:tcW w:w="1060" w:type="dxa"/>
            <w:vAlign w:val="bottom"/>
            <w:tcBorders>
              <w:bottom w:val="single" w:sz="8" w:color="CCEEFF"/>
            </w:tcBorders>
            <w:vMerge w:val="continue"/>
            <w:shd w:val="clear" w:color="auto" w:fill="CCEEFF"/>
          </w:tcPr>
          <w:p>
            <w:pPr>
              <w:spacing w:after="0"/>
              <w:rPr>
                <w:sz w:val="5"/>
                <w:szCs w:val="5"/>
                <w:color w:val="auto"/>
              </w:rPr>
            </w:pPr>
          </w:p>
        </w:tc>
        <w:tc>
          <w:tcPr>
            <w:tcW w:w="5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160" w:type="dxa"/>
            <w:vAlign w:val="bottom"/>
            <w:tcBorders>
              <w:top w:val="single" w:sz="8" w:color="CCEEFF"/>
            </w:tcBorders>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5"/>
              </w:rPr>
              <w:t>4.12</w:t>
            </w:r>
          </w:p>
        </w:tc>
        <w:tc>
          <w:tcPr>
            <w:tcW w:w="10260" w:type="dxa"/>
            <w:vAlign w:val="bottom"/>
            <w:tcBorders>
              <w:top w:val="single" w:sz="8" w:color="CCEEFF"/>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English Translation of Hebrew Original of Agreement, dated December 22, 2016 between the Registrant and B.G. (Israel) Technologies Ltd.</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260" w:type="dxa"/>
            <w:vAlign w:val="bottom"/>
            <w:gridSpan w:val="15"/>
          </w:tcPr>
          <w:p>
            <w:pPr>
              <w:spacing w:after="0" w:line="169" w:lineRule="exact"/>
              <w:rPr>
                <w:rFonts w:ascii="Times New Roman" w:cs="Times New Roman" w:eastAsia="Times New Roman" w:hAnsi="Times New Roman"/>
                <w:sz w:val="15"/>
                <w:szCs w:val="15"/>
                <w:color w:val="0000EE"/>
              </w:rPr>
            </w:pPr>
            <w:hyperlink r:id="rId148">
              <w:r>
                <w:rPr>
                  <w:rFonts w:ascii="Times New Roman" w:cs="Times New Roman" w:eastAsia="Times New Roman" w:hAnsi="Times New Roman"/>
                  <w:sz w:val="15"/>
                  <w:szCs w:val="15"/>
                  <w:color w:val="0000EE"/>
                </w:rPr>
                <w:t>†(7)</w:t>
              </w:r>
            </w:hyperlink>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160" w:type="dxa"/>
            <w:vAlign w:val="bottom"/>
            <w:tcBorders>
              <w:bottom w:val="single" w:sz="8" w:color="CCEEFF"/>
            </w:tcBorders>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5"/>
              </w:rPr>
              <w:t>4.13</w:t>
            </w:r>
          </w:p>
        </w:tc>
        <w:tc>
          <w:tcPr>
            <w:tcW w:w="7640" w:type="dxa"/>
            <w:vAlign w:val="bottom"/>
            <w:tcBorders>
              <w:bottom w:val="single" w:sz="8" w:color="CCEEFF"/>
            </w:tcBorders>
            <w:gridSpan w:val="7"/>
            <w:vMerge w:val="restart"/>
            <w:shd w:val="clear" w:color="auto" w:fill="CCEEFF"/>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Master Purchase Agreement, dated January 10, 2017, between the Registrant and Amazon Corporate LLC</w:t>
              </w:r>
            </w:hyperlink>
          </w:p>
        </w:tc>
        <w:tc>
          <w:tcPr>
            <w:tcW w:w="260" w:type="dxa"/>
            <w:vAlign w:val="bottom"/>
            <w:tcBorders>
              <w:bottom w:val="single" w:sz="8" w:color="0000EE"/>
            </w:tcBorders>
            <w:shd w:val="clear" w:color="auto" w:fill="CCEEFF"/>
          </w:tcPr>
          <w:p>
            <w:pPr>
              <w:spacing w:after="0" w:line="129" w:lineRule="exact"/>
              <w:rPr>
                <w:rFonts w:ascii="Times New Roman" w:cs="Times New Roman" w:eastAsia="Times New Roman" w:hAnsi="Times New Roman"/>
                <w:sz w:val="14"/>
                <w:szCs w:val="14"/>
                <w:color w:val="0000EE"/>
              </w:rPr>
            </w:pPr>
            <w:hyperlink r:id="rId149">
              <w:r>
                <w:rPr>
                  <w:rFonts w:ascii="Times New Roman" w:cs="Times New Roman" w:eastAsia="Times New Roman" w:hAnsi="Times New Roman"/>
                  <w:sz w:val="14"/>
                  <w:szCs w:val="14"/>
                  <w:color w:val="0000EE"/>
                </w:rPr>
                <w:t>†(8)</w:t>
              </w:r>
            </w:hyperlink>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240" w:type="dxa"/>
            <w:vAlign w:val="bottom"/>
            <w:tcBorders>
              <w:bottom w:val="single" w:sz="8" w:color="CCEEFF"/>
            </w:tcBorders>
            <w:gridSpan w:val="2"/>
            <w:vMerge w:val="restart"/>
            <w:shd w:val="clear" w:color="auto" w:fill="CCEEFF"/>
          </w:tcPr>
          <w:p>
            <w:pPr>
              <w:spacing w:after="0"/>
              <w:rPr>
                <w:sz w:val="12"/>
                <w:szCs w:val="12"/>
                <w:color w:val="auto"/>
              </w:rPr>
            </w:pPr>
          </w:p>
        </w:tc>
        <w:tc>
          <w:tcPr>
            <w:tcW w:w="260" w:type="dxa"/>
            <w:vAlign w:val="bottom"/>
            <w:tcBorders>
              <w:bottom w:val="single" w:sz="8" w:color="CCEEFF"/>
            </w:tcBorders>
            <w:gridSpan w:val="2"/>
            <w:vMerge w:val="restart"/>
            <w:shd w:val="clear" w:color="auto" w:fill="CCEEFF"/>
          </w:tcPr>
          <w:p>
            <w:pPr>
              <w:spacing w:after="0"/>
              <w:rPr>
                <w:sz w:val="12"/>
                <w:szCs w:val="12"/>
                <w:color w:val="auto"/>
              </w:rPr>
            </w:pPr>
          </w:p>
        </w:tc>
        <w:tc>
          <w:tcPr>
            <w:tcW w:w="1060" w:type="dxa"/>
            <w:vAlign w:val="bottom"/>
            <w:tcBorders>
              <w:bottom w:val="single" w:sz="8" w:color="CCEEFF"/>
            </w:tcBorders>
            <w:vMerge w:val="restart"/>
            <w:shd w:val="clear" w:color="auto" w:fill="CCEEFF"/>
          </w:tcPr>
          <w:p>
            <w:pPr>
              <w:spacing w:after="0"/>
              <w:rPr>
                <w:sz w:val="12"/>
                <w:szCs w:val="12"/>
                <w:color w:val="auto"/>
              </w:rPr>
            </w:pPr>
          </w:p>
        </w:tc>
        <w:tc>
          <w:tcPr>
            <w:tcW w:w="54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60" w:type="dxa"/>
            <w:vAlign w:val="bottom"/>
            <w:tcBorders>
              <w:bottom w:val="single" w:sz="8" w:color="CCEEFF"/>
            </w:tcBorders>
            <w:vMerge w:val="continue"/>
            <w:shd w:val="clear" w:color="auto" w:fill="CCEEFF"/>
          </w:tcPr>
          <w:p>
            <w:pPr>
              <w:spacing w:after="0"/>
              <w:rPr>
                <w:sz w:val="5"/>
                <w:szCs w:val="5"/>
                <w:color w:val="auto"/>
              </w:rPr>
            </w:pPr>
          </w:p>
        </w:tc>
        <w:tc>
          <w:tcPr>
            <w:tcW w:w="7640" w:type="dxa"/>
            <w:vAlign w:val="bottom"/>
            <w:tcBorders>
              <w:bottom w:val="single" w:sz="8" w:color="0000EE"/>
            </w:tcBorders>
            <w:gridSpan w:val="7"/>
            <w:vMerge w:val="continue"/>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CCEEFF"/>
            </w:tcBorders>
            <w:gridSpan w:val="2"/>
            <w:vMerge w:val="continue"/>
            <w:shd w:val="clear" w:color="auto" w:fill="CCEEFF"/>
          </w:tcPr>
          <w:p>
            <w:pPr>
              <w:spacing w:after="0"/>
              <w:rPr>
                <w:sz w:val="5"/>
                <w:szCs w:val="5"/>
                <w:color w:val="auto"/>
              </w:rPr>
            </w:pPr>
          </w:p>
        </w:tc>
        <w:tc>
          <w:tcPr>
            <w:tcW w:w="260" w:type="dxa"/>
            <w:vAlign w:val="bottom"/>
            <w:tcBorders>
              <w:bottom w:val="single" w:sz="8" w:color="CCEEFF"/>
            </w:tcBorders>
            <w:gridSpan w:val="2"/>
            <w:vMerge w:val="continue"/>
            <w:shd w:val="clear" w:color="auto" w:fill="CCEEFF"/>
          </w:tcPr>
          <w:p>
            <w:pPr>
              <w:spacing w:after="0"/>
              <w:rPr>
                <w:sz w:val="5"/>
                <w:szCs w:val="5"/>
                <w:color w:val="auto"/>
              </w:rPr>
            </w:pPr>
          </w:p>
        </w:tc>
        <w:tc>
          <w:tcPr>
            <w:tcW w:w="1060" w:type="dxa"/>
            <w:vAlign w:val="bottom"/>
            <w:tcBorders>
              <w:bottom w:val="single" w:sz="8" w:color="CCEEFF"/>
            </w:tcBorders>
            <w:vMerge w:val="continue"/>
            <w:shd w:val="clear" w:color="auto" w:fill="CCEEFF"/>
          </w:tcPr>
          <w:p>
            <w:pPr>
              <w:spacing w:after="0"/>
              <w:rPr>
                <w:sz w:val="5"/>
                <w:szCs w:val="5"/>
                <w:color w:val="auto"/>
              </w:rPr>
            </w:pPr>
          </w:p>
        </w:tc>
        <w:tc>
          <w:tcPr>
            <w:tcW w:w="5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16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5"/>
              </w:rPr>
              <w:t>4.14</w:t>
            </w:r>
          </w:p>
        </w:tc>
        <w:tc>
          <w:tcPr>
            <w:tcW w:w="6900" w:type="dxa"/>
            <w:vAlign w:val="bottom"/>
            <w:tcBorders>
              <w:top w:val="single" w:sz="8" w:color="CCEEFF"/>
              <w:bottom w:val="single" w:sz="8" w:color="CCEEFF"/>
            </w:tcBorders>
            <w:gridSpan w:val="5"/>
            <w:vMerge w:val="restart"/>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Transaction Agreement, dated January 10, 2017, between the Registrant and Amazon.com, Inc.</w:t>
              </w:r>
            </w:hyperlink>
          </w:p>
        </w:tc>
        <w:tc>
          <w:tcPr>
            <w:tcW w:w="180" w:type="dxa"/>
            <w:vAlign w:val="bottom"/>
            <w:tcBorders>
              <w:top w:val="single" w:sz="8" w:color="CCEEFF"/>
              <w:bottom w:val="single" w:sz="8" w:color="0000EE"/>
            </w:tcBorders>
          </w:tcPr>
          <w:p>
            <w:pPr>
              <w:jc w:val="right"/>
              <w:spacing w:after="0" w:line="129" w:lineRule="exact"/>
              <w:rPr>
                <w:rFonts w:ascii="Times New Roman" w:cs="Times New Roman" w:eastAsia="Times New Roman" w:hAnsi="Times New Roman"/>
                <w:sz w:val="14"/>
                <w:szCs w:val="14"/>
                <w:color w:val="0000EE"/>
                <w:w w:val="97"/>
              </w:rPr>
            </w:pPr>
            <w:hyperlink r:id="rId150">
              <w:r>
                <w:rPr>
                  <w:rFonts w:ascii="Times New Roman" w:cs="Times New Roman" w:eastAsia="Times New Roman" w:hAnsi="Times New Roman"/>
                  <w:sz w:val="14"/>
                  <w:szCs w:val="14"/>
                  <w:color w:val="0000EE"/>
                  <w:w w:val="97"/>
                </w:rPr>
                <w:t>(9)</w:t>
              </w:r>
            </w:hyperlink>
          </w:p>
        </w:tc>
        <w:tc>
          <w:tcPr>
            <w:tcW w:w="1080" w:type="dxa"/>
            <w:vAlign w:val="bottom"/>
            <w:tcBorders>
              <w:top w:val="single" w:sz="8" w:color="CCEEFF"/>
              <w:bottom w:val="single" w:sz="8" w:color="CCEEFF"/>
            </w:tcBorders>
            <w:gridSpan w:val="3"/>
            <w:vMerge w:val="restart"/>
          </w:tcPr>
          <w:p>
            <w:pPr>
              <w:spacing w:after="0"/>
              <w:rPr>
                <w:sz w:val="12"/>
                <w:szCs w:val="12"/>
                <w:color w:val="auto"/>
              </w:rPr>
            </w:pPr>
          </w:p>
        </w:tc>
        <w:tc>
          <w:tcPr>
            <w:tcW w:w="240" w:type="dxa"/>
            <w:vAlign w:val="bottom"/>
            <w:tcBorders>
              <w:top w:val="single" w:sz="8" w:color="CCEEFF"/>
              <w:bottom w:val="single" w:sz="8" w:color="CCEEFF"/>
            </w:tcBorders>
            <w:gridSpan w:val="2"/>
            <w:vMerge w:val="restart"/>
          </w:tcPr>
          <w:p>
            <w:pPr>
              <w:spacing w:after="0"/>
              <w:rPr>
                <w:sz w:val="12"/>
                <w:szCs w:val="12"/>
                <w:color w:val="auto"/>
              </w:rPr>
            </w:pPr>
          </w:p>
        </w:tc>
        <w:tc>
          <w:tcPr>
            <w:tcW w:w="260" w:type="dxa"/>
            <w:vAlign w:val="bottom"/>
            <w:tcBorders>
              <w:top w:val="single" w:sz="8" w:color="CCEEFF"/>
              <w:bottom w:val="single" w:sz="8" w:color="CCEEFF"/>
            </w:tcBorders>
            <w:gridSpan w:val="2"/>
            <w:vMerge w:val="restart"/>
          </w:tcPr>
          <w:p>
            <w:pPr>
              <w:spacing w:after="0"/>
              <w:rPr>
                <w:sz w:val="12"/>
                <w:szCs w:val="12"/>
                <w:color w:val="auto"/>
              </w:rPr>
            </w:pPr>
          </w:p>
        </w:tc>
        <w:tc>
          <w:tcPr>
            <w:tcW w:w="1060" w:type="dxa"/>
            <w:vAlign w:val="bottom"/>
            <w:tcBorders>
              <w:top w:val="single" w:sz="8" w:color="CCEEFF"/>
              <w:bottom w:val="single" w:sz="8" w:color="CCEEFF"/>
            </w:tcBorders>
            <w:vMerge w:val="restart"/>
          </w:tcPr>
          <w:p>
            <w:pPr>
              <w:spacing w:after="0"/>
              <w:rPr>
                <w:sz w:val="12"/>
                <w:szCs w:val="12"/>
                <w:color w:val="auto"/>
              </w:rPr>
            </w:pPr>
          </w:p>
        </w:tc>
        <w:tc>
          <w:tcPr>
            <w:tcW w:w="54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160" w:type="dxa"/>
            <w:vAlign w:val="bottom"/>
            <w:vMerge w:val="continue"/>
          </w:tcPr>
          <w:p>
            <w:pPr>
              <w:spacing w:after="0"/>
              <w:rPr>
                <w:sz w:val="4"/>
                <w:szCs w:val="4"/>
                <w:color w:val="auto"/>
              </w:rPr>
            </w:pPr>
          </w:p>
        </w:tc>
        <w:tc>
          <w:tcPr>
            <w:tcW w:w="6900" w:type="dxa"/>
            <w:vAlign w:val="bottom"/>
            <w:tcBorders>
              <w:bottom w:val="single" w:sz="8" w:color="0000EE"/>
            </w:tcBorders>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60" w:type="dxa"/>
            <w:vAlign w:val="bottom"/>
            <w:tcBorders>
              <w:bottom w:val="single" w:sz="8" w:color="CCEEFF"/>
            </w:tcBorders>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5"/>
              </w:rPr>
              <w:t>4.15</w:t>
            </w:r>
          </w:p>
        </w:tc>
        <w:tc>
          <w:tcPr>
            <w:tcW w:w="8400" w:type="dxa"/>
            <w:vAlign w:val="bottom"/>
            <w:tcBorders>
              <w:bottom w:val="single" w:sz="8" w:color="CCEEFF"/>
            </w:tcBorders>
            <w:gridSpan w:val="11"/>
            <w:vMerge w:val="restart"/>
            <w:shd w:val="clear" w:color="auto" w:fill="CCEEFF"/>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Warrant to Purchase Ordinary Shares, dated January 10, 2017, issued to Amazon.com NV Investment Holdings LLC</w:t>
              </w:r>
            </w:hyperlink>
          </w:p>
        </w:tc>
        <w:tc>
          <w:tcPr>
            <w:tcW w:w="260" w:type="dxa"/>
            <w:vAlign w:val="bottom"/>
            <w:tcBorders>
              <w:bottom w:val="single" w:sz="8" w:color="0000EE"/>
            </w:tcBorders>
            <w:gridSpan w:val="2"/>
            <w:shd w:val="clear" w:color="auto" w:fill="CCEEFF"/>
          </w:tcPr>
          <w:p>
            <w:pPr>
              <w:jc w:val="right"/>
              <w:spacing w:after="0" w:line="129" w:lineRule="exact"/>
              <w:rPr>
                <w:rFonts w:ascii="Times New Roman" w:cs="Times New Roman" w:eastAsia="Times New Roman" w:hAnsi="Times New Roman"/>
                <w:sz w:val="14"/>
                <w:szCs w:val="14"/>
                <w:color w:val="0000EE"/>
              </w:rPr>
            </w:pPr>
            <w:hyperlink r:id="rId151">
              <w:r>
                <w:rPr>
                  <w:rFonts w:ascii="Times New Roman" w:cs="Times New Roman" w:eastAsia="Times New Roman" w:hAnsi="Times New Roman"/>
                  <w:sz w:val="14"/>
                  <w:szCs w:val="14"/>
                  <w:color w:val="0000EE"/>
                </w:rPr>
                <w:t>(10)</w:t>
              </w:r>
            </w:hyperlink>
          </w:p>
        </w:tc>
        <w:tc>
          <w:tcPr>
            <w:tcW w:w="1060" w:type="dxa"/>
            <w:vAlign w:val="bottom"/>
            <w:tcBorders>
              <w:bottom w:val="single" w:sz="8" w:color="CCEEFF"/>
            </w:tcBorders>
            <w:vMerge w:val="restart"/>
            <w:shd w:val="clear" w:color="auto" w:fill="CCEEFF"/>
          </w:tcPr>
          <w:p>
            <w:pPr>
              <w:spacing w:after="0"/>
              <w:rPr>
                <w:sz w:val="12"/>
                <w:szCs w:val="12"/>
                <w:color w:val="auto"/>
              </w:rPr>
            </w:pPr>
          </w:p>
        </w:tc>
        <w:tc>
          <w:tcPr>
            <w:tcW w:w="54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60" w:type="dxa"/>
            <w:vAlign w:val="bottom"/>
            <w:tcBorders>
              <w:bottom w:val="single" w:sz="8" w:color="CCEEFF"/>
            </w:tcBorders>
            <w:vMerge w:val="continue"/>
            <w:shd w:val="clear" w:color="auto" w:fill="CCEEFF"/>
          </w:tcPr>
          <w:p>
            <w:pPr>
              <w:spacing w:after="0"/>
              <w:rPr>
                <w:sz w:val="5"/>
                <w:szCs w:val="5"/>
                <w:color w:val="auto"/>
              </w:rPr>
            </w:pPr>
          </w:p>
        </w:tc>
        <w:tc>
          <w:tcPr>
            <w:tcW w:w="8400" w:type="dxa"/>
            <w:vAlign w:val="bottom"/>
            <w:tcBorders>
              <w:bottom w:val="single" w:sz="8" w:color="0000EE"/>
            </w:tcBorders>
            <w:gridSpan w:val="11"/>
            <w:vMerge w:val="continue"/>
            <w:shd w:val="clear" w:color="auto" w:fill="CCEEFF"/>
          </w:tcPr>
          <w:p>
            <w:pPr>
              <w:spacing w:after="0"/>
              <w:rPr>
                <w:sz w:val="5"/>
                <w:szCs w:val="5"/>
                <w:color w:val="auto"/>
              </w:rPr>
            </w:pPr>
          </w:p>
        </w:tc>
        <w:tc>
          <w:tcPr>
            <w:tcW w:w="260" w:type="dxa"/>
            <w:vAlign w:val="bottom"/>
            <w:tcBorders>
              <w:bottom w:val="single" w:sz="8" w:color="CCEEFF"/>
            </w:tcBorders>
            <w:gridSpan w:val="2"/>
            <w:shd w:val="clear" w:color="auto" w:fill="CCEEFF"/>
          </w:tcPr>
          <w:p>
            <w:pPr>
              <w:spacing w:after="0"/>
              <w:rPr>
                <w:sz w:val="5"/>
                <w:szCs w:val="5"/>
                <w:color w:val="auto"/>
              </w:rPr>
            </w:pPr>
          </w:p>
        </w:tc>
        <w:tc>
          <w:tcPr>
            <w:tcW w:w="1060" w:type="dxa"/>
            <w:vAlign w:val="bottom"/>
            <w:tcBorders>
              <w:bottom w:val="single" w:sz="8" w:color="CCEEFF"/>
            </w:tcBorders>
            <w:vMerge w:val="continue"/>
            <w:shd w:val="clear" w:color="auto" w:fill="CCEEFF"/>
          </w:tcPr>
          <w:p>
            <w:pPr>
              <w:spacing w:after="0"/>
              <w:rPr>
                <w:sz w:val="5"/>
                <w:szCs w:val="5"/>
                <w:color w:val="auto"/>
              </w:rPr>
            </w:pPr>
          </w:p>
        </w:tc>
        <w:tc>
          <w:tcPr>
            <w:tcW w:w="5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160" w:type="dxa"/>
            <w:vAlign w:val="bottom"/>
            <w:tcBorders>
              <w:top w:val="single" w:sz="8" w:color="CCEEFF"/>
            </w:tcBorders>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5"/>
              </w:rPr>
              <w:t>4.16</w:t>
            </w:r>
          </w:p>
        </w:tc>
        <w:tc>
          <w:tcPr>
            <w:tcW w:w="10260" w:type="dxa"/>
            <w:vAlign w:val="bottom"/>
            <w:tcBorders>
              <w:top w:val="single" w:sz="8" w:color="CCEEFF"/>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Lease, dated December 2017, between Kornit Digital North America, Inc. and Bonanno Real Estate Group I, L.P.</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8.1</w:t>
            </w:r>
          </w:p>
        </w:tc>
        <w:tc>
          <w:tcPr>
            <w:tcW w:w="26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List of subsidiaries of the Registrant</w:t>
            </w:r>
          </w:p>
        </w:tc>
        <w:tc>
          <w:tcPr>
            <w:tcW w:w="7640" w:type="dxa"/>
            <w:vAlign w:val="bottom"/>
            <w:tcBorders>
              <w:bottom w:val="single" w:sz="8" w:color="CCEEFF"/>
            </w:tcBorders>
            <w:gridSpan w:val="1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5"/>
              </w:rPr>
              <w:t>12.1</w:t>
            </w:r>
          </w:p>
        </w:tc>
        <w:tc>
          <w:tcPr>
            <w:tcW w:w="10260" w:type="dxa"/>
            <w:vAlign w:val="bottom"/>
            <w:tcBorders>
              <w:bottom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Certificate of Chief Executive Officer pursuant to Securities Exchange Act Rules 13a-14(a) and 15d-14(a) as adopted pursuant to §302 of the</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5"/>
              </w:rPr>
              <w:t>12.2</w:t>
            </w:r>
          </w:p>
        </w:tc>
        <w:tc>
          <w:tcPr>
            <w:tcW w:w="102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Certificate of Chief Financial Officer pursuant to Securities Exchange Act Rules 13a-14(a) and 15d-14(a) as adopted pursuant to §302 of the</w:t>
            </w:r>
          </w:p>
        </w:tc>
        <w:tc>
          <w:tcPr>
            <w:tcW w:w="0" w:type="dxa"/>
            <w:vAlign w:val="bottom"/>
          </w:tcPr>
          <w:p>
            <w:pPr>
              <w:spacing w:after="0"/>
              <w:rPr>
                <w:sz w:val="1"/>
                <w:szCs w:val="1"/>
                <w:color w:val="auto"/>
              </w:rPr>
            </w:pPr>
          </w:p>
        </w:tc>
      </w:tr>
      <w:tr>
        <w:trPr>
          <w:trHeight w:val="217"/>
        </w:trPr>
        <w:tc>
          <w:tcPr>
            <w:tcW w:w="116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8200" w:type="dxa"/>
            <w:vAlign w:val="bottom"/>
            <w:tcBorders>
              <w:bottom w:val="single" w:sz="8" w:color="CCEEFF"/>
            </w:tcBorders>
            <w:gridSpan w:val="1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5"/>
              </w:rPr>
              <w:t>13.1</w:t>
            </w:r>
          </w:p>
        </w:tc>
        <w:tc>
          <w:tcPr>
            <w:tcW w:w="10260" w:type="dxa"/>
            <w:vAlign w:val="bottom"/>
            <w:tcBorders>
              <w:bottom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Certificate of Chief Executive Officer and Chief Financial Officer pursuant to 18 U.S.C. §1350, as adopted pursuant to §906 of the Sarbanes-</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 furnished herewith</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5"/>
              </w:rPr>
              <w:t>15.1</w:t>
            </w:r>
          </w:p>
        </w:tc>
        <w:tc>
          <w:tcPr>
            <w:tcW w:w="102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Kost Forer Gabbay &amp; Kasierer, a member firm of Ernst &amp; Young Global, an independent registered public accounting firm.</w:t>
            </w:r>
          </w:p>
        </w:tc>
        <w:tc>
          <w:tcPr>
            <w:tcW w:w="0" w:type="dxa"/>
            <w:vAlign w:val="bottom"/>
          </w:tcPr>
          <w:p>
            <w:pPr>
              <w:spacing w:after="0"/>
              <w:rPr>
                <w:sz w:val="1"/>
                <w:szCs w:val="1"/>
                <w:color w:val="auto"/>
              </w:rPr>
            </w:pPr>
          </w:p>
        </w:tc>
      </w:tr>
      <w:tr>
        <w:trPr>
          <w:trHeight w:val="21"/>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18, 2015 as exhibit to the Registrant’s registration statement on Form F-1 (SEC File No. 333-202291) and incorporated by reference herein.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16" w:name="page117"/>
    <w:bookmarkEnd w:id="11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340" w:right="20" w:hanging="332"/>
        <w:spacing w:after="0" w:line="282"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10, 2015 as an exhibit to the Registrant’s registration statement on Form F-1 (SEC File No. 333-202291)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February 25, 2015 as an exhibit to the Registrant’s registration statement on Form F-1 (SEC File No. 333-202291)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August 10, 2015 as Annex A to Exhibit 99.1 to the Registrant’s report of foreign private issuer on Form 6-K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April 14, 2016 as Exhibit 4.9 to Amendment No. 1 to the Registrant’s Annual Report on Form 20-F and incorporated by reference herein.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30, 2017 as Exhibit 4.11 to the Registrant’s Annual Report on Form 20-F and incorporated by reference herein.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30, 2017 as Exhibit 4.12 to the Registrant’s Annual Report on Form 20-F and incorporated by reference herein.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30, 2017 as Exhibit 4.13 to the Registrant’s Annual Report on Form 20-F and incorporated by reference herein.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30, 2017 as Exhibit 4.14 to the Registrant’s Annual Report on Form 20-F and incorporated by reference herein.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March 30, 2017 as Exhibit 4.15 to the Registrant’s Annual Report on Form 20-F and incorporated by reference herein.</w:t>
      </w:r>
    </w:p>
    <w:p>
      <w:pPr>
        <w:spacing w:after="0" w:line="225" w:lineRule="exact"/>
        <w:rPr>
          <w:sz w:val="20"/>
          <w:szCs w:val="20"/>
          <w:color w:val="auto"/>
        </w:rPr>
      </w:pPr>
    </w:p>
    <w:p>
      <w:pPr>
        <w:jc w:val="both"/>
        <w:ind w:left="340" w:hanging="332"/>
        <w:spacing w:after="0" w:line="266"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agreement were omitted and a complete copy of this agreement has been provided separately to the Securities and Exchange Commission pursuant to the company’s application requesting confidential treatment under Rule 406 under the Securities Act of 1933 as amended or Rule 24b-2 under the Securities Exchange Act of 1934, as amended, as applicable.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7" w:name="page118"/>
    <w:bookmarkEnd w:id="11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40" w:type="dxa"/>
            <w:vAlign w:val="bottom"/>
            <w:gridSpan w:val="3"/>
          </w:tcPr>
          <w:p>
            <w:pPr>
              <w:jc w:val="center"/>
              <w:ind w:right="2370"/>
              <w:spacing w:after="0"/>
              <w:rPr>
                <w:sz w:val="20"/>
                <w:szCs w:val="20"/>
                <w:color w:val="auto"/>
              </w:rPr>
            </w:pPr>
            <w:r>
              <w:rPr>
                <w:rFonts w:ascii="Times New Roman" w:cs="Times New Roman" w:eastAsia="Times New Roman" w:hAnsi="Times New Roman"/>
                <w:sz w:val="18"/>
                <w:szCs w:val="18"/>
                <w:b w:val="1"/>
                <w:bCs w:val="1"/>
                <w:color w:val="auto"/>
                <w:w w:val="98"/>
              </w:rPr>
              <w:t>KORNIT DIGITAL LTD. AND ITS SUBSIDIARIES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3"/>
          </w:tcPr>
          <w:p>
            <w:pPr>
              <w:jc w:val="center"/>
              <w:ind w:right="239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60" w:type="dxa"/>
            <w:vAlign w:val="bottom"/>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9"/>
              </w:rPr>
              <w:t>AS OF DECEMBER 31, 2017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3"/>
          </w:tcPr>
          <w:p>
            <w:pPr>
              <w:jc w:val="center"/>
              <w:ind w:right="2390"/>
              <w:spacing w:after="0"/>
              <w:rPr>
                <w:sz w:val="20"/>
                <w:szCs w:val="20"/>
                <w:color w:val="auto"/>
              </w:rPr>
            </w:pPr>
            <w:r>
              <w:rPr>
                <w:rFonts w:ascii="Times New Roman" w:cs="Times New Roman" w:eastAsia="Times New Roman" w:hAnsi="Times New Roman"/>
                <w:sz w:val="18"/>
                <w:szCs w:val="18"/>
                <w:b w:val="1"/>
                <w:bCs w:val="1"/>
                <w:color w:val="auto"/>
                <w:w w:val="99"/>
              </w:rPr>
              <w:t>U.S. DOLLARS 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60" w:type="dxa"/>
            <w:vAlign w:val="bottom"/>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119">
              <w:r>
                <w:rPr>
                  <w:rFonts w:ascii="Times New Roman" w:cs="Times New Roman" w:eastAsia="Times New Roman" w:hAnsi="Times New Roman"/>
                  <w:sz w:val="18"/>
                  <w:szCs w:val="18"/>
                  <w:b w:val="1"/>
                  <w:bCs w:val="1"/>
                  <w:color w:val="0000EE"/>
                </w:rPr>
                <w:t>Report of Independent Registered Public Accounting Firm</w:t>
              </w:r>
            </w:hyperlink>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120">
              <w:r>
                <w:rPr>
                  <w:rFonts w:ascii="Times New Roman" w:cs="Times New Roman" w:eastAsia="Times New Roman" w:hAnsi="Times New Roman"/>
                  <w:sz w:val="18"/>
                  <w:szCs w:val="18"/>
                  <w:b w:val="1"/>
                  <w:bCs w:val="1"/>
                  <w:color w:val="0000EE"/>
                </w:rPr>
                <w:t>Consolidated Balance Sheets</w:t>
              </w:r>
            </w:hyperlink>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F-3 – 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122">
              <w:r>
                <w:rPr>
                  <w:rFonts w:ascii="Times New Roman" w:cs="Times New Roman" w:eastAsia="Times New Roman" w:hAnsi="Times New Roman"/>
                  <w:sz w:val="18"/>
                  <w:szCs w:val="18"/>
                  <w:b w:val="1"/>
                  <w:bCs w:val="1"/>
                  <w:color w:val="0000EE"/>
                </w:rPr>
                <w:t>Consolidated Statements of Operations</w:t>
              </w:r>
            </w:hyperlink>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123">
              <w:r>
                <w:rPr>
                  <w:rFonts w:ascii="Times New Roman" w:cs="Times New Roman" w:eastAsia="Times New Roman" w:hAnsi="Times New Roman"/>
                  <w:sz w:val="18"/>
                  <w:szCs w:val="18"/>
                  <w:b w:val="1"/>
                  <w:bCs w:val="1"/>
                  <w:color w:val="0000EE"/>
                </w:rPr>
                <w:t>Consolidated Statements of Comprehensive Income (Loss)</w:t>
              </w:r>
            </w:hyperlink>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124">
              <w:r>
                <w:rPr>
                  <w:rFonts w:ascii="Times New Roman" w:cs="Times New Roman" w:eastAsia="Times New Roman" w:hAnsi="Times New Roman"/>
                  <w:sz w:val="18"/>
                  <w:szCs w:val="18"/>
                  <w:b w:val="1"/>
                  <w:bCs w:val="1"/>
                  <w:color w:val="0000EE"/>
                </w:rPr>
                <w:t>Statements of Changes in Shareholders’ Equity</w:t>
              </w:r>
            </w:hyperlink>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125">
              <w:r>
                <w:rPr>
                  <w:rFonts w:ascii="Times New Roman" w:cs="Times New Roman" w:eastAsia="Times New Roman" w:hAnsi="Times New Roman"/>
                  <w:sz w:val="18"/>
                  <w:szCs w:val="18"/>
                  <w:b w:val="1"/>
                  <w:bCs w:val="1"/>
                  <w:color w:val="0000EE"/>
                </w:rPr>
                <w:t>Consolidated Statements of Cash Flows</w:t>
              </w:r>
            </w:hyperlink>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F-8 – F-9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127">
              <w:r>
                <w:rPr>
                  <w:rFonts w:ascii="Times New Roman" w:cs="Times New Roman" w:eastAsia="Times New Roman" w:hAnsi="Times New Roman"/>
                  <w:sz w:val="18"/>
                  <w:szCs w:val="18"/>
                  <w:b w:val="1"/>
                  <w:bCs w:val="1"/>
                  <w:color w:val="0000EE"/>
                </w:rPr>
                <w:t>Notes to Consolidated Financial Statements</w:t>
              </w:r>
            </w:hyperlink>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F-10 – F-45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top w:val="single" w:sz="8" w:color="0000EE"/>
            </w:tcBorders>
            <w:gridSpan w:val="4"/>
          </w:tcPr>
          <w:p>
            <w:pPr>
              <w:spacing w:after="0"/>
              <w:rPr>
                <w:sz w:val="24"/>
                <w:szCs w:val="24"/>
                <w:color w:val="auto"/>
              </w:rPr>
            </w:pPr>
          </w:p>
        </w:tc>
        <w:tc>
          <w:tcPr>
            <w:tcW w:w="6940" w:type="dxa"/>
            <w:vAlign w:val="bottom"/>
            <w:tcBorders>
              <w:top w:val="single" w:sz="8" w:color="CCEEFF"/>
            </w:tcBorders>
            <w:gridSpan w:val="4"/>
          </w:tcPr>
          <w:p>
            <w:pPr>
              <w:jc w:val="center"/>
              <w:ind w:right="2090"/>
              <w:spacing w:after="0"/>
              <w:rPr>
                <w:sz w:val="20"/>
                <w:szCs w:val="20"/>
                <w:color w:val="auto"/>
              </w:rPr>
            </w:pPr>
            <w:r>
              <w:rPr>
                <w:rFonts w:ascii="Times New Roman" w:cs="Times New Roman" w:eastAsia="Times New Roman" w:hAnsi="Times New Roman"/>
                <w:sz w:val="18"/>
                <w:szCs w:val="18"/>
                <w:color w:val="auto"/>
              </w:rPr>
              <w:t>- - - - - - - - - - - - -</w:t>
            </w:r>
          </w:p>
        </w:tc>
        <w:tc>
          <w:tcPr>
            <w:tcW w:w="1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jc w:val="center"/>
              <w:ind w:right="3270"/>
              <w:spacing w:after="0"/>
              <w:rPr>
                <w:sz w:val="20"/>
                <w:szCs w:val="20"/>
                <w:color w:val="auto"/>
              </w:rPr>
            </w:pPr>
            <w:r>
              <w:rPr>
                <w:rFonts w:ascii="Times New Roman" w:cs="Times New Roman" w:eastAsia="Times New Roman" w:hAnsi="Times New Roman"/>
                <w:sz w:val="18"/>
                <w:szCs w:val="18"/>
                <w:color w:val="auto"/>
                <w:w w:val="95"/>
              </w:rPr>
              <w:t>F-1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118" w:name="page119"/>
    <w:bookmarkEnd w:id="118"/>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285750</wp:posOffset>
            </wp:positionV>
            <wp:extent cx="771525" cy="951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7152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Shareholders and Board of Directors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Kornit Digital Ltd. and subsidiaries (the Company) as of December 31, 2016 and 2017, the related consolidated statements of operations, comprehensive income (loss), changes in shareholders’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2016 and 2017, and the results of its operations and its cash flows for each of the three years in the period ended December 31, 2017, in conformity with U.S. generally accepted accounting principles.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Ernst &amp; Young Global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2018</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19" w:name="page120"/>
    <w:bookmarkEnd w:id="119"/>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22,789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Short-term bank deposits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Trade receivables, net</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accounts receivable and prepaid expenses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Total current assets</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98,784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89,427</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Borders>
              <w:top w:val="single" w:sz="8" w:color="auto"/>
              <w:bottom w:val="single" w:sz="8" w:color="CCEEFF"/>
            </w:tcBorders>
          </w:tcPr>
          <w:p>
            <w:pPr>
              <w:spacing w:after="0"/>
              <w:rPr>
                <w:sz w:val="3"/>
                <w:szCs w:val="3"/>
                <w:color w:val="auto"/>
              </w:rPr>
            </w:pPr>
          </w:p>
        </w:tc>
        <w:tc>
          <w:tcPr>
            <w:tcW w:w="710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Deposits and prepaid expenses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Severance pay fund</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Deferred tax asset</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Total long-term assets</w:t>
            </w: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41,262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88,947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1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140,046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7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80" w:type="dxa"/>
            <w:vAlign w:val="bottom"/>
            <w:gridSpan w:val="3"/>
            <w:vMerge w:val="continue"/>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ind w:left="5220"/>
              <w:spacing w:after="0"/>
              <w:rPr>
                <w:sz w:val="20"/>
                <w:szCs w:val="20"/>
                <w:color w:val="auto"/>
              </w:rPr>
            </w:pPr>
            <w:r>
              <w:rPr>
                <w:rFonts w:ascii="Times New Roman" w:cs="Times New Roman" w:eastAsia="Times New Roman" w:hAnsi="Times New Roman"/>
                <w:sz w:val="18"/>
                <w:szCs w:val="18"/>
                <w:color w:val="auto"/>
              </w:rPr>
              <w:t>F-3</w:t>
            </w: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120" w:name="page121"/>
    <w:bookmarkEnd w:id="120"/>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payables</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16,433</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 and advances from customers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6,103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8"/>
                <w:szCs w:val="18"/>
                <w:color w:val="auto"/>
              </w:rPr>
              <w:t>30,133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25,520</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Borders>
              <w:top w:val="single" w:sz="8" w:color="auto"/>
              <w:bottom w:val="single" w:sz="8" w:color="CCEEFF"/>
            </w:tcBorders>
          </w:tcPr>
          <w:p>
            <w:pPr>
              <w:spacing w:after="0"/>
              <w:rPr>
                <w:sz w:val="3"/>
                <w:szCs w:val="3"/>
                <w:color w:val="auto"/>
              </w:rPr>
            </w:pPr>
          </w:p>
        </w:tc>
        <w:tc>
          <w:tcPr>
            <w:tcW w:w="8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severance pay</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 obligation related to acquisition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line="156" w:lineRule="exact"/>
              <w:rPr>
                <w:sz w:val="20"/>
                <w:szCs w:val="20"/>
                <w:color w:val="auto"/>
              </w:rPr>
            </w:pPr>
            <w:r>
              <w:rPr>
                <w:rFonts w:ascii="Times New Roman" w:cs="Times New Roman" w:eastAsia="Times New Roman" w:hAnsi="Times New Roman"/>
                <w:sz w:val="18"/>
                <w:szCs w:val="18"/>
                <w:color w:val="auto"/>
              </w:rPr>
              <w:t>2,725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0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Ordinary shares of NIS 0.01 par value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Authorized: 200,000,000 shares at December 31, 2016 and 2017, respectively; Issued and Outstanding: 30,989,873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shares and 34,124,223 shares at December 31, 2016 and 2017, respectively</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94,966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12,226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line="156" w:lineRule="exact"/>
              <w:rPr>
                <w:sz w:val="20"/>
                <w:szCs w:val="20"/>
                <w:color w:val="auto"/>
              </w:rPr>
            </w:pPr>
            <w:r>
              <w:rPr>
                <w:rFonts w:ascii="Times New Roman" w:cs="Times New Roman" w:eastAsia="Times New Roman" w:hAnsi="Times New Roman"/>
                <w:sz w:val="18"/>
                <w:szCs w:val="18"/>
                <w:color w:val="auto"/>
              </w:rPr>
              <w:t>107,188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150,699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140,046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8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7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ind w:left="5220"/>
              <w:spacing w:after="0"/>
              <w:rPr>
                <w:sz w:val="20"/>
                <w:szCs w:val="20"/>
                <w:color w:val="auto"/>
              </w:rPr>
            </w:pPr>
            <w:r>
              <w:rPr>
                <w:rFonts w:ascii="Times New Roman" w:cs="Times New Roman" w:eastAsia="Times New Roman" w:hAnsi="Times New Roman"/>
                <w:sz w:val="18"/>
                <w:szCs w:val="18"/>
                <w:color w:val="auto"/>
              </w:rPr>
              <w:t>F-4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121" w:name="page122"/>
    <w:bookmarkEnd w:id="121"/>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100,818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101,953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35,632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46,480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10,188</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45,820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59,284</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59,977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40,585</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17,383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13,367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Restructuring</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5"/>
                <w:szCs w:val="15"/>
                <w:color w:val="auto"/>
              </w:rPr>
            </w:pPr>
          </w:p>
        </w:tc>
        <w:tc>
          <w:tcPr>
            <w:tcW w:w="114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34,817</w:t>
            </w: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47,980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56,194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Borders>
              <w:top w:val="single" w:sz="8" w:color="auto"/>
              <w:bottom w:val="single" w:sz="8" w:color="CCEEFF"/>
            </w:tcBorders>
          </w:tcPr>
          <w:p>
            <w:pPr>
              <w:spacing w:after="0"/>
              <w:rPr>
                <w:sz w:val="3"/>
                <w:szCs w:val="3"/>
                <w:color w:val="auto"/>
              </w:rPr>
            </w:pPr>
          </w:p>
        </w:tc>
        <w:tc>
          <w:tcPr>
            <w:tcW w:w="7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 (expenses), net</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(2,015</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earnings (loss) per share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(0.06</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earnings (loss) per share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(0.06</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7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ind w:left="5220"/>
              <w:spacing w:after="0"/>
              <w:rPr>
                <w:sz w:val="20"/>
                <w:szCs w:val="20"/>
                <w:color w:val="auto"/>
              </w:rPr>
            </w:pPr>
            <w:r>
              <w:rPr>
                <w:rFonts w:ascii="Times New Roman" w:cs="Times New Roman" w:eastAsia="Times New Roman" w:hAnsi="Times New Roman"/>
                <w:sz w:val="18"/>
                <w:szCs w:val="18"/>
                <w:color w:val="auto"/>
              </w:rPr>
              <w:t>F-5</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122" w:name="page123"/>
    <w:bookmarkEnd w:id="122"/>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828</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gains(losses) on marketable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Gains reclassified into net income (loss)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gains (losses) on cash flow hedges: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gains arising during the period</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Gains reclassified into net income (loss)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1,029</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42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F-6</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123" w:name="page124"/>
    <w:bookmarkEnd w:id="123"/>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2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Preferred A-1 shares</w:t>
            </w:r>
          </w:p>
        </w:tc>
        <w:tc>
          <w:tcPr>
            <w:tcW w:w="212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6"/>
                <w:szCs w:val="16"/>
                <w:color w:val="auto"/>
              </w:rPr>
            </w:pPr>
          </w:p>
        </w:tc>
        <w:tc>
          <w:tcPr>
            <w:tcW w:w="104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8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 December 31,</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2014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1,927,140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8,973,224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12,770</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preferred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(1,927,140)</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12,628,741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initial public offering,</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of issuance expenses in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 amount of $2,415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73,498</w:t>
            </w: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2,383</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1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at December 31,</w:t>
            </w: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2015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30,295,949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89,071</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2,993</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 benefit related to</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Warrants to customers, net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issuance expenses in the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amount of $157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w:t>
            </w: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1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at December 31,</w:t>
            </w: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2016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30,989,873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94,966</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12,226</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a secondary offering, net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issuance costs in an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amount of $981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35,071</w:t>
            </w: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4,411</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 a</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accounting</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principle related to stock-</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Warrants to customers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2,895</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1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at December 31,</w:t>
            </w: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2017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34,124,223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140,170</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10,142</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150,699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24" w:name="page125"/>
    <w:bookmarkEnd w:id="124"/>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5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6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828</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to customers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benefit related to exercise of stock options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 on marketable securities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Realized gain on sale of marketable securities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trade receivables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(increase) in other receivables and prepaid expenses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inventory</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deferred taxes, net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other long-term assets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(decrease) in trade payables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employees and payroll accruals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(decrease) in deferred revenues and advances from customers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other payables and accrued expenses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(decrease) in accrued severance pay, net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other long-term liabilities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sale of property and Equipment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gain (loss) on intercompany balances with foreign subsidiaries</w:t>
            </w: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5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in connection with acquisition</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(investment in) bank deposits, net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marketable securities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(11,455)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(58,871)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5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public offering, net of issuance costs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of employee stock options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issuance cost related to warrants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benefit related to exercise of stock options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74,601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 on cash and cash equivalents</w:t>
            </w: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18,464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18,464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22,789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18,629</w:t>
            </w:r>
          </w:p>
        </w:tc>
        <w:tc>
          <w:tcPr>
            <w:tcW w:w="0" w:type="dxa"/>
            <w:vAlign w:val="bottom"/>
          </w:tcPr>
          <w:p>
            <w:pPr>
              <w:spacing w:after="0"/>
              <w:rPr>
                <w:sz w:val="1"/>
                <w:szCs w:val="1"/>
                <w:color w:val="auto"/>
              </w:rPr>
            </w:pPr>
          </w:p>
        </w:tc>
      </w:tr>
      <w:tr>
        <w:trPr>
          <w:trHeight w:val="21"/>
        </w:trPr>
        <w:tc>
          <w:tcPr>
            <w:tcW w:w="7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540" w:type="dxa"/>
            <w:vAlign w:val="bottom"/>
            <w:gridSpan w:val="4"/>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0" w:right="239" w:bottom="453"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453" w:gutter="0" w:footer="0" w:header="0"/>
          <w:type w:val="continuous"/>
        </w:sectPr>
      </w:pPr>
    </w:p>
    <w:bookmarkStart w:id="125" w:name="page126"/>
    <w:bookmarkEnd w:id="125"/>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0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1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during the year for income taxes</w:t>
            </w:r>
          </w:p>
        </w:tc>
        <w:tc>
          <w:tcPr>
            <w:tcW w:w="1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acquired by credit</w:t>
            </w:r>
          </w:p>
        </w:tc>
        <w:tc>
          <w:tcPr>
            <w:tcW w:w="1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1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transferred to be used as property and equipment</w:t>
            </w:r>
          </w:p>
        </w:tc>
        <w:tc>
          <w:tcPr>
            <w:tcW w:w="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Property and equipment transferred to be used as inventory</w:t>
            </w:r>
          </w:p>
        </w:tc>
        <w:tc>
          <w:tcPr>
            <w:tcW w:w="11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120" w:type="dxa"/>
            <w:vAlign w:val="bottom"/>
            <w:tcBorders>
              <w:bottom w:val="single" w:sz="8" w:color="CCEEFF"/>
            </w:tcBorders>
            <w:gridSpan w:val="3"/>
            <w:vMerge w:val="continue"/>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Issuance expenses on credit</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1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140" w:type="dxa"/>
            <w:vAlign w:val="bottom"/>
            <w:gridSpan w:val="4"/>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F-9</w:t>
            </w: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126" w:name="page127"/>
    <w:bookmarkEnd w:id="126"/>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9" w:lineRule="exact"/>
        <w:rPr>
          <w:sz w:val="20"/>
          <w:szCs w:val="20"/>
          <w:color w:val="auto"/>
        </w:rPr>
      </w:pPr>
    </w:p>
    <w:p>
      <w:pPr>
        <w:jc w:val="both"/>
        <w:ind w:left="1560" w:hanging="647"/>
        <w:spacing w:after="0" w:line="261" w:lineRule="auto"/>
        <w:tabs>
          <w:tab w:leader="none" w:pos="15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value-added services.</w:t>
      </w:r>
    </w:p>
    <w:p>
      <w:pPr>
        <w:spacing w:after="0" w:line="180" w:lineRule="exact"/>
        <w:rPr>
          <w:rFonts w:ascii="Times New Roman" w:cs="Times New Roman" w:eastAsia="Times New Roman" w:hAnsi="Times New Roman"/>
          <w:sz w:val="18"/>
          <w:szCs w:val="18"/>
          <w:color w:val="auto"/>
        </w:rPr>
      </w:pPr>
    </w:p>
    <w:p>
      <w:pPr>
        <w:jc w:val="both"/>
        <w:ind w:left="1560" w:hanging="647"/>
        <w:spacing w:after="0" w:line="266" w:lineRule="auto"/>
        <w:tabs>
          <w:tab w:leader="none" w:pos="15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established wholly-owned subsidiaries in Israel, the United States, Germany, Hong Kong and the United Kingdom. The Company’s subsidiaries are engaged primarily in sales, and marketing, except for the Israeli subsidiary which is engaged primarily in research and development and manufacturing.</w:t>
      </w:r>
    </w:p>
    <w:p>
      <w:pPr>
        <w:spacing w:after="0" w:line="176" w:lineRule="exact"/>
        <w:rPr>
          <w:rFonts w:ascii="Times New Roman" w:cs="Times New Roman" w:eastAsia="Times New Roman" w:hAnsi="Times New Roman"/>
          <w:sz w:val="18"/>
          <w:szCs w:val="18"/>
          <w:color w:val="auto"/>
        </w:rPr>
      </w:pPr>
    </w:p>
    <w:p>
      <w:pPr>
        <w:jc w:val="both"/>
        <w:ind w:left="1560" w:hanging="647"/>
        <w:spacing w:after="0" w:line="266" w:lineRule="auto"/>
        <w:tabs>
          <w:tab w:leader="none" w:pos="15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2017 the Company closed a follow on and secondary offering where by 8,625,000 ordinary shares were sold in the transaction to the public. The aggregate net proceeds received by the Company from the offering were $35.077, net of underwriting discounts, commissions and offering expenses. Refer to note 10.</w:t>
      </w:r>
    </w:p>
    <w:p>
      <w:pPr>
        <w:spacing w:after="0" w:line="176" w:lineRule="exact"/>
        <w:rPr>
          <w:rFonts w:ascii="Times New Roman" w:cs="Times New Roman" w:eastAsia="Times New Roman" w:hAnsi="Times New Roman"/>
          <w:sz w:val="18"/>
          <w:szCs w:val="18"/>
          <w:color w:val="auto"/>
        </w:rPr>
      </w:pPr>
    </w:p>
    <w:p>
      <w:pPr>
        <w:ind w:left="1560" w:right="20" w:hanging="647"/>
        <w:spacing w:after="0" w:line="282" w:lineRule="auto"/>
        <w:tabs>
          <w:tab w:leader="none" w:pos="15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15, 2017, the Company made an additional underwritten secondary offering of 4,250,000 ordinary shares by the Company’s major shareholder. The Company did not receive any of the proceeds from the sale of these ordinary shares.</w:t>
      </w:r>
    </w:p>
    <w:p>
      <w:pPr>
        <w:spacing w:after="0" w:line="161" w:lineRule="exact"/>
        <w:rPr>
          <w:rFonts w:ascii="Times New Roman" w:cs="Times New Roman" w:eastAsia="Times New Roman" w:hAnsi="Times New Roman"/>
          <w:sz w:val="18"/>
          <w:szCs w:val="18"/>
          <w:color w:val="auto"/>
        </w:rPr>
      </w:pPr>
    </w:p>
    <w:p>
      <w:pPr>
        <w:jc w:val="both"/>
        <w:ind w:left="1560" w:hanging="647"/>
        <w:spacing w:after="0" w:line="261" w:lineRule="auto"/>
        <w:tabs>
          <w:tab w:leader="none" w:pos="15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depends on five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9"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(“U.S. GAAP”).</w:t>
      </w:r>
    </w:p>
    <w:p>
      <w:pPr>
        <w:spacing w:after="0" w:line="162" w:lineRule="exact"/>
        <w:rPr>
          <w:sz w:val="20"/>
          <w:szCs w:val="20"/>
          <w:color w:val="auto"/>
        </w:rPr>
      </w:pPr>
    </w:p>
    <w:p>
      <w:pPr>
        <w:ind w:left="1560" w:hanging="647"/>
        <w:spacing w:after="0"/>
        <w:tabs>
          <w:tab w:leader="none" w:pos="1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w:t>
      </w:r>
    </w:p>
    <w:p>
      <w:pPr>
        <w:spacing w:after="0" w:line="225" w:lineRule="exact"/>
        <w:rPr>
          <w:rFonts w:ascii="Times New Roman" w:cs="Times New Roman" w:eastAsia="Times New Roman" w:hAnsi="Times New Roman"/>
          <w:sz w:val="18"/>
          <w:szCs w:val="18"/>
          <w:color w:val="auto"/>
        </w:rPr>
      </w:pPr>
    </w:p>
    <w:p>
      <w:pPr>
        <w:jc w:val="both"/>
        <w:ind w:left="15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27" w:name="page128"/>
    <w:bookmarkEnd w:id="127"/>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jc w:val="both"/>
        <w:ind w:left="1560"/>
        <w:spacing w:after="0" w:line="261" w:lineRule="auto"/>
        <w:rPr>
          <w:sz w:val="20"/>
          <w:szCs w:val="20"/>
          <w:color w:val="auto"/>
        </w:rPr>
      </w:pPr>
      <w:r>
        <w:rPr>
          <w:rFonts w:ascii="Times New Roman" w:cs="Times New Roman" w:eastAsia="Times New Roman" w:hAnsi="Times New Roman"/>
          <w:sz w:val="18"/>
          <w:szCs w:val="18"/>
          <w:color w:val="auto"/>
        </w:rPr>
        <w:t>On an ongoing basis, the Company’s management evaluates estimates, including those related to intangible assets and goodwill, tax assets and liabilities, fair values of stock-based awards, inventory write-offs, warranty provision, allowance for bad debt and provision for rebates and returns. Such estimates are based on historical experience and on various other assumptions that are believed to be reasonable, the results of which form the basis for making judgments about the carrying values of assets and liabilities.</w:t>
      </w:r>
    </w:p>
    <w:p>
      <w:pPr>
        <w:spacing w:after="0" w:line="180" w:lineRule="exact"/>
        <w:rPr>
          <w:sz w:val="20"/>
          <w:szCs w:val="20"/>
          <w:color w:val="auto"/>
        </w:rPr>
      </w:pPr>
    </w:p>
    <w:p>
      <w:pPr>
        <w:ind w:left="1560" w:hanging="647"/>
        <w:spacing w:after="0"/>
        <w:tabs>
          <w:tab w:leader="none" w:pos="1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 United States dollars:</w:t>
      </w:r>
    </w:p>
    <w:p>
      <w:pPr>
        <w:spacing w:after="0" w:line="225" w:lineRule="exact"/>
        <w:rPr>
          <w:rFonts w:ascii="Times New Roman" w:cs="Times New Roman" w:eastAsia="Times New Roman" w:hAnsi="Times New Roman"/>
          <w:sz w:val="18"/>
          <w:szCs w:val="18"/>
          <w:color w:val="auto"/>
        </w:rPr>
      </w:pPr>
    </w:p>
    <w:p>
      <w:pPr>
        <w:jc w:val="both"/>
        <w:ind w:left="15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revenues of the Company and its subsidiaries are denominated in U.S. dollars (“dollar” or “dollars”). The dollar is the primary currency of the economic environment in which the Company and its subsidiaries, other than the Company’s German subsidiary, operate. Thus, the functional and reporting currency of the Company and its subsidiaries, other than the Company’s German subsidiary, is the dollar. Accordingly, monetary accounts maintained in currencies other than the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results of operations as finance income (expenses), net in the period in which the currency exchange rates change.</w:t>
      </w:r>
    </w:p>
    <w:p>
      <w:pPr>
        <w:spacing w:after="0" w:line="189" w:lineRule="exact"/>
        <w:rPr>
          <w:rFonts w:ascii="Times New Roman" w:cs="Times New Roman" w:eastAsia="Times New Roman" w:hAnsi="Times New Roman"/>
          <w:sz w:val="18"/>
          <w:szCs w:val="18"/>
          <w:color w:val="auto"/>
        </w:rPr>
      </w:pPr>
    </w:p>
    <w:p>
      <w:pPr>
        <w:jc w:val="both"/>
        <w:ind w:left="1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Company’s subsidiary in Germany whose functional currency is the Euro all amounts on the balance sheets have been translated into the dollar using the exchange rates in effect on the relevant balance sheet dates. All amounts in the statements of income have been translated into the dollar using the exchange rate on the respective dates on which those elements are recognized. The resulting translation adjustments are reported as a component of accumulated other comprehensive income in shareholders’ equity.</w:t>
      </w:r>
    </w:p>
    <w:p>
      <w:pPr>
        <w:spacing w:after="0" w:line="180"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Principles of consolidation:</w:t>
      </w:r>
    </w:p>
    <w:p>
      <w:pPr>
        <w:spacing w:after="0" w:line="225" w:lineRule="exact"/>
        <w:rPr>
          <w:rFonts w:ascii="Times New Roman" w:cs="Times New Roman" w:eastAsia="Times New Roman" w:hAnsi="Times New Roman"/>
          <w:sz w:val="18"/>
          <w:szCs w:val="18"/>
          <w:color w:val="auto"/>
        </w:rPr>
      </w:pPr>
    </w:p>
    <w:p>
      <w:pPr>
        <w:ind w:left="1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include the accounts of the Company and its subsidiaries. Intercompany balances and transactions including profits from intercompany have been eliminated upon consolidation.</w:t>
      </w:r>
    </w:p>
    <w:p>
      <w:pPr>
        <w:spacing w:after="0" w:line="161"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w:t>
      </w:r>
    </w:p>
    <w:p>
      <w:pPr>
        <w:spacing w:after="0" w:line="225" w:lineRule="exact"/>
        <w:rPr>
          <w:rFonts w:ascii="Times New Roman" w:cs="Times New Roman" w:eastAsia="Times New Roman" w:hAnsi="Times New Roman"/>
          <w:sz w:val="18"/>
          <w:szCs w:val="18"/>
          <w:color w:val="auto"/>
        </w:rPr>
      </w:pPr>
    </w:p>
    <w:p>
      <w:pPr>
        <w:ind w:left="1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are short-term highly liquid investments that are readily convertible to cash with original maturities of three months or less, at acquisition.</w:t>
      </w:r>
    </w:p>
    <w:p>
      <w:pPr>
        <w:spacing w:after="0" w:line="161"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bank deposits:</w:t>
      </w:r>
    </w:p>
    <w:p>
      <w:pPr>
        <w:spacing w:after="0" w:line="225" w:lineRule="exact"/>
        <w:rPr>
          <w:rFonts w:ascii="Times New Roman" w:cs="Times New Roman" w:eastAsia="Times New Roman" w:hAnsi="Times New Roman"/>
          <w:sz w:val="18"/>
          <w:szCs w:val="18"/>
          <w:color w:val="auto"/>
        </w:rPr>
      </w:pPr>
    </w:p>
    <w:p>
      <w:pPr>
        <w:ind w:left="1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bank deposits are deposits with an original maturity of more than three months but less than one year from the date of acquisition.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28" w:name="page129"/>
    <w:bookmarkEnd w:id="128"/>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560" w:hanging="647"/>
        <w:spacing w:after="0"/>
        <w:tabs>
          <w:tab w:leader="none" w:pos="15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securities:</w:t>
      </w:r>
    </w:p>
    <w:p>
      <w:pPr>
        <w:spacing w:after="0" w:line="225" w:lineRule="exact"/>
        <w:rPr>
          <w:rFonts w:ascii="Times New Roman" w:cs="Times New Roman" w:eastAsia="Times New Roman" w:hAnsi="Times New Roman"/>
          <w:sz w:val="18"/>
          <w:szCs w:val="18"/>
          <w:color w:val="auto"/>
        </w:rPr>
      </w:pPr>
    </w:p>
    <w:p>
      <w:pPr>
        <w:jc w:val="both"/>
        <w:ind w:left="1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investments in marketable securities in accordance with ASC 320, “Investments - Debt and Equity Securities”. Management determines the appropriate classification of its investments in debt securities at the time of purchase and re-evaluates such determinations at each balance sheet date.</w:t>
      </w:r>
    </w:p>
    <w:p>
      <w:pPr>
        <w:spacing w:after="0" w:line="176" w:lineRule="exact"/>
        <w:rPr>
          <w:rFonts w:ascii="Times New Roman" w:cs="Times New Roman" w:eastAsia="Times New Roman" w:hAnsi="Times New Roman"/>
          <w:sz w:val="18"/>
          <w:szCs w:val="18"/>
          <w:color w:val="auto"/>
        </w:rPr>
      </w:pPr>
    </w:p>
    <w:p>
      <w:pPr>
        <w:jc w:val="both"/>
        <w:ind w:left="1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classifies marketable securities as available-for-sale. Available-for-sale securities are carried at fair value, with the unrealized gains and losses reported in “accumulated other comprehensive income” in shareholders’ equity. Realized gains and losses on sales of marketable securities are included in finance expenses, net and are derived using the specific identification method for determining the cost of securities.</w:t>
      </w:r>
    </w:p>
    <w:p>
      <w:pPr>
        <w:spacing w:after="0" w:line="180" w:lineRule="exact"/>
        <w:rPr>
          <w:rFonts w:ascii="Times New Roman" w:cs="Times New Roman" w:eastAsia="Times New Roman" w:hAnsi="Times New Roman"/>
          <w:sz w:val="18"/>
          <w:szCs w:val="18"/>
          <w:color w:val="auto"/>
        </w:rPr>
      </w:pPr>
    </w:p>
    <w:p>
      <w:pPr>
        <w:ind w:left="15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marketable securities is adjusted for amortization of premium and accretion of discount to maturity, both of which, together with interest, are included in finance expenses, net.</w:t>
      </w:r>
    </w:p>
    <w:p>
      <w:pPr>
        <w:spacing w:after="0" w:line="161" w:lineRule="exact"/>
        <w:rPr>
          <w:rFonts w:ascii="Times New Roman" w:cs="Times New Roman" w:eastAsia="Times New Roman" w:hAnsi="Times New Roman"/>
          <w:sz w:val="18"/>
          <w:szCs w:val="18"/>
          <w:color w:val="auto"/>
        </w:rPr>
      </w:pPr>
    </w:p>
    <w:p>
      <w:pPr>
        <w:jc w:val="both"/>
        <w:ind w:left="15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an impairment charge when a decline in the fair value of its investments in debt securities below the cost basis of such securities is judged to be other-than-temporary. Factors considered in making such a determination include the duration and severity of the impairment, the reason for the decline in value, the potential recovery period and the Company’s intent to sell, including whether it is more likely than not that the Company will be required to sell the investment before recovery of cost basis. For securities that are deemed other-than-temporarily impaired (“OTTI”), the amount of impairment is recognized in the statement of operations and is limited to the amount related to credit losses, while impairment related to other factors is recognized in accumulated other comprehensive income (loss). The Company did not recognize any impairment with respect to OTTI on its marketable securities in 2015, 2016 and 2017.</w:t>
      </w:r>
    </w:p>
    <w:p>
      <w:pPr>
        <w:spacing w:after="0" w:line="185"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25" w:lineRule="exact"/>
        <w:rPr>
          <w:rFonts w:ascii="Times New Roman" w:cs="Times New Roman" w:eastAsia="Times New Roman" w:hAnsi="Times New Roman"/>
          <w:sz w:val="18"/>
          <w:szCs w:val="18"/>
          <w:color w:val="auto"/>
        </w:rPr>
      </w:pPr>
    </w:p>
    <w:p>
      <w:pPr>
        <w:jc w:val="both"/>
        <w:ind w:left="1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are measured at the lower of cost or net realizable value. The cost of inventories comprises costs of purchase and costs incurred in bringing the inventories to their present location and condition. Inventory write-down is measured as the difference between the cost of the inventory and net realizable value upon assumptions about future demand, and is charged to the cost of sales.</w:t>
      </w:r>
    </w:p>
    <w:p>
      <w:pPr>
        <w:spacing w:after="0" w:line="176"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inventories is determined as follows:</w:t>
      </w:r>
    </w:p>
    <w:p>
      <w:pPr>
        <w:spacing w:after="0" w:line="225"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and packing materials - on the basis of weighted average cost.</w:t>
      </w:r>
    </w:p>
    <w:p>
      <w:pPr>
        <w:spacing w:after="0" w:line="225"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goods - on the basis of average costs of materials, and other direct manufacturing cost.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29" w:name="page130"/>
    <w:bookmarkEnd w:id="129"/>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560"/>
        <w:spacing w:after="0" w:line="282" w:lineRule="auto"/>
        <w:rPr>
          <w:sz w:val="20"/>
          <w:szCs w:val="20"/>
          <w:color w:val="auto"/>
        </w:rPr>
      </w:pPr>
      <w:r>
        <w:rPr>
          <w:rFonts w:ascii="Times New Roman" w:cs="Times New Roman" w:eastAsia="Times New Roman" w:hAnsi="Times New Roman"/>
          <w:sz w:val="18"/>
          <w:szCs w:val="18"/>
          <w:color w:val="auto"/>
        </w:rPr>
        <w:t>Inventory write offs have been provided to cover risks arising from dead and slow-moving items, technological obsolescence and excess inventories according to revenue forecasts.</w:t>
      </w:r>
    </w:p>
    <w:p>
      <w:pPr>
        <w:spacing w:after="0" w:line="162" w:lineRule="exact"/>
        <w:rPr>
          <w:sz w:val="20"/>
          <w:szCs w:val="20"/>
          <w:color w:val="auto"/>
        </w:rPr>
      </w:pPr>
    </w:p>
    <w:p>
      <w:pPr>
        <w:ind w:left="1560"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2015, 2016 and 2017, the Company recorded inventory write offs in a total amount of $824, $2,211 and $2,988, respectively.</w:t>
      </w:r>
    </w:p>
    <w:p>
      <w:pPr>
        <w:spacing w:after="0" w:line="162" w:lineRule="exact"/>
        <w:rPr>
          <w:sz w:val="20"/>
          <w:szCs w:val="20"/>
          <w:color w:val="auto"/>
        </w:rPr>
      </w:pPr>
    </w:p>
    <w:p>
      <w:pPr>
        <w:ind w:left="1560" w:hanging="647"/>
        <w:spacing w:after="0"/>
        <w:tabs>
          <w:tab w:leader="none" w:pos="15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w:t>
      </w:r>
    </w:p>
    <w:p>
      <w:pPr>
        <w:spacing w:after="0" w:line="225" w:lineRule="exact"/>
        <w:rPr>
          <w:rFonts w:ascii="Times New Roman" w:cs="Times New Roman" w:eastAsia="Times New Roman" w:hAnsi="Times New Roman"/>
          <w:sz w:val="18"/>
          <w:szCs w:val="18"/>
          <w:color w:val="auto"/>
        </w:rPr>
      </w:pPr>
    </w:p>
    <w:p>
      <w:pPr>
        <w:ind w:left="1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measured at cost, including directly attributable costs, less accumulated depreciation and accumulated impairment losses. Depreciation is calculated on a straight-line basis over the useful life of the assets at annual rates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60" w:type="dxa"/>
            <w:vAlign w:val="bottom"/>
            <w:tcBorders>
              <w:bottom w:val="single" w:sz="8" w:color="CCEEFF"/>
            </w:tcBorders>
          </w:tcPr>
          <w:p>
            <w:pPr>
              <w:spacing w:after="0"/>
              <w:rPr>
                <w:sz w:val="21"/>
                <w:szCs w:val="21"/>
                <w:color w:val="auto"/>
              </w:rPr>
            </w:pPr>
          </w:p>
        </w:tc>
        <w:tc>
          <w:tcPr>
            <w:tcW w:w="83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r>
      <w:tr>
        <w:trPr>
          <w:trHeight w:val="216"/>
        </w:trPr>
        <w:tc>
          <w:tcPr>
            <w:tcW w:w="1030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7 - 20</w:t>
            </w:r>
          </w:p>
        </w:tc>
        <w:tc>
          <w:tcPr>
            <w:tcW w:w="100" w:type="dxa"/>
            <w:vAlign w:val="bottom"/>
            <w:shd w:val="clear" w:color="auto" w:fill="CCEEFF"/>
          </w:tcPr>
          <w:p>
            <w:pPr>
              <w:spacing w:after="0"/>
              <w:rPr>
                <w:sz w:val="18"/>
                <w:szCs w:val="18"/>
                <w:color w:val="auto"/>
              </w:rPr>
            </w:pPr>
          </w:p>
        </w:tc>
      </w:tr>
      <w:tr>
        <w:trPr>
          <w:trHeight w:val="216"/>
        </w:trPr>
        <w:tc>
          <w:tcPr>
            <w:tcW w:w="103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Computer and peripheral equipment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Pr>
          <w:p>
            <w:pPr>
              <w:spacing w:after="0"/>
              <w:rPr>
                <w:sz w:val="18"/>
                <w:szCs w:val="18"/>
                <w:color w:val="auto"/>
              </w:rPr>
            </w:pPr>
          </w:p>
        </w:tc>
      </w:tr>
      <w:tr>
        <w:trPr>
          <w:trHeight w:val="216"/>
        </w:trPr>
        <w:tc>
          <w:tcPr>
            <w:tcW w:w="1030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8"/>
                <w:szCs w:val="18"/>
                <w:color w:val="auto"/>
              </w:rPr>
            </w:pPr>
          </w:p>
        </w:tc>
      </w:tr>
      <w:tr>
        <w:trPr>
          <w:trHeight w:val="234"/>
        </w:trPr>
        <w:tc>
          <w:tcPr>
            <w:tcW w:w="103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Leasehold improvements</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396"/>
        </w:trPr>
        <w:tc>
          <w:tcPr>
            <w:tcW w:w="19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9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Leasehold improvements are amortized on a straight-line basis over the shorter of the lease term (including the extension</w:t>
            </w:r>
          </w:p>
        </w:tc>
      </w:tr>
      <w:tr>
        <w:trPr>
          <w:trHeight w:val="234"/>
        </w:trPr>
        <w:tc>
          <w:tcPr>
            <w:tcW w:w="1960" w:type="dxa"/>
            <w:vAlign w:val="bottom"/>
          </w:tcPr>
          <w:p>
            <w:pPr>
              <w:spacing w:after="0"/>
              <w:rPr>
                <w:sz w:val="20"/>
                <w:szCs w:val="20"/>
                <w:color w:val="auto"/>
              </w:rPr>
            </w:pPr>
          </w:p>
        </w:tc>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 held by the Company and intended to be exercised) and the expected life of the improvement.</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-1122680</wp:posOffset>
            </wp:positionV>
            <wp:extent cx="986155" cy="7118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986155" cy="711835"/>
                    </a:xfrm>
                    <a:prstGeom prst="rect">
                      <a:avLst/>
                    </a:prstGeom>
                    <a:noFill/>
                  </pic:spPr>
                </pic:pic>
              </a:graphicData>
            </a:graphic>
          </wp:anchor>
        </w:drawing>
      </w:r>
    </w:p>
    <w:p>
      <w:pPr>
        <w:spacing w:after="0" w:line="178" w:lineRule="exact"/>
        <w:rPr>
          <w:sz w:val="20"/>
          <w:szCs w:val="20"/>
          <w:color w:val="auto"/>
        </w:rPr>
      </w:pPr>
    </w:p>
    <w:p>
      <w:pPr>
        <w:ind w:left="1560" w:hanging="647"/>
        <w:spacing w:after="0"/>
        <w:tabs>
          <w:tab w:leader="none" w:pos="15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w:t>
      </w:r>
    </w:p>
    <w:p>
      <w:pPr>
        <w:spacing w:after="0" w:line="225" w:lineRule="exact"/>
        <w:rPr>
          <w:rFonts w:ascii="Times New Roman" w:cs="Times New Roman" w:eastAsia="Times New Roman" w:hAnsi="Times New Roman"/>
          <w:sz w:val="18"/>
          <w:szCs w:val="18"/>
          <w:color w:val="auto"/>
        </w:rPr>
      </w:pPr>
    </w:p>
    <w:p>
      <w:pPr>
        <w:jc w:val="both"/>
        <w:ind w:left="1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reflects the excess of the purchase price of business acquired over the fair value of net assets acquired. Under ASC No. 350, “Intangibles – Goodwill and other” (“ASC No. 350”), goodwill is not amortized but rather is tested for impairment at least annually or more frequently if events or changes in circumstances indicate that the carrying value may be impaired. In accordance with ASC No. 350, the Company performs an annual impairment test on December 31 of each year.</w:t>
      </w:r>
    </w:p>
    <w:p>
      <w:pPr>
        <w:spacing w:after="0" w:line="180" w:lineRule="exact"/>
        <w:rPr>
          <w:rFonts w:ascii="Times New Roman" w:cs="Times New Roman" w:eastAsia="Times New Roman" w:hAnsi="Times New Roman"/>
          <w:sz w:val="18"/>
          <w:szCs w:val="18"/>
          <w:color w:val="auto"/>
        </w:rPr>
      </w:pPr>
    </w:p>
    <w:p>
      <w:pPr>
        <w:jc w:val="both"/>
        <w:ind w:left="15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operates in one operating segment and this segment comprises the only reporting unit. The Company tests goodwill using the two-step process in accordance with ASC No. 350. The first step, identifying a potential impairment, compares the fair value of the reporting unit with its carrying amount. If the carrying amount exceeds its fair value, the second step would need to be performed; otherwise, no further step is required. The second step, measuring the impairment loss, compares the implied fair value of the goodwill with the carrying amount of the goodwill. Any excess of the goodwill carrying amount over the applied fair value is recognized as an impairment loss, and the carrying value of goodwill is written down to fair value. During the years ended December 31, 2015, 2016 and 2017, no impairment of goodwill has been identified.</w:t>
      </w:r>
    </w:p>
    <w:p>
      <w:pPr>
        <w:spacing w:after="0" w:line="189" w:lineRule="exact"/>
        <w:rPr>
          <w:rFonts w:ascii="Times New Roman" w:cs="Times New Roman" w:eastAsia="Times New Roman" w:hAnsi="Times New Roman"/>
          <w:sz w:val="18"/>
          <w:szCs w:val="18"/>
          <w:color w:val="auto"/>
        </w:rPr>
      </w:pPr>
    </w:p>
    <w:p>
      <w:pPr>
        <w:jc w:val="both"/>
        <w:ind w:left="1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intangible assets of the Company are not considered to have an indefinite useful life and are amortized over their useful lives. Customer relationships are amortized over their estimated useful lives in proportion to the economic benefits realized. This accounting policy results in accelerated amortization of such assets as compared to the straight-line method. Acquired technology and non-competition agreements are amortized on a straight-line basis.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30" w:name="page131"/>
    <w:bookmarkEnd w:id="130"/>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560" w:hanging="647"/>
        <w:spacing w:after="0"/>
        <w:tabs>
          <w:tab w:leader="none" w:pos="15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 lived assets and intangible assets subject to amortization:</w:t>
      </w:r>
    </w:p>
    <w:p>
      <w:pPr>
        <w:spacing w:after="0" w:line="225" w:lineRule="exact"/>
        <w:rPr>
          <w:rFonts w:ascii="Times New Roman" w:cs="Times New Roman" w:eastAsia="Times New Roman" w:hAnsi="Times New Roman"/>
          <w:sz w:val="18"/>
          <w:szCs w:val="18"/>
          <w:color w:val="auto"/>
        </w:rPr>
      </w:pPr>
    </w:p>
    <w:p>
      <w:pPr>
        <w:jc w:val="both"/>
        <w:ind w:left="15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87"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2015, 2016 and 2017, no impairment losses were recorded.</w:t>
      </w:r>
    </w:p>
    <w:p>
      <w:pPr>
        <w:spacing w:after="0" w:line="225"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225" w:lineRule="exact"/>
        <w:rPr>
          <w:rFonts w:ascii="Times New Roman" w:cs="Times New Roman" w:eastAsia="Times New Roman" w:hAnsi="Times New Roman"/>
          <w:sz w:val="18"/>
          <w:szCs w:val="18"/>
          <w:color w:val="auto"/>
        </w:rPr>
      </w:pPr>
    </w:p>
    <w:p>
      <w:pPr>
        <w:jc w:val="both"/>
        <w:ind w:left="15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business combinations in accordance with ASC No. 805, “Business Combinations” (“ASC No. 805”). ASC No. 805 requires recognition of assets acquired, liabilities assumed, and any non-controlling interest at the acquisition date, measured at their fair values as of that date. Any excess of the fair value of net assets acquired over purchase price and any subsequent changes in estimated contingencies are to be recorded in consolidated statements of income. In addition, changes in valuation allowance related to acquired deferred tax assets and in acquired income tax position are to be recognized in consolidated statements of income.</w:t>
      </w:r>
    </w:p>
    <w:p>
      <w:pPr>
        <w:spacing w:after="0" w:line="183"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related costs are expensed to the statements of income in the period incurred.</w:t>
      </w:r>
    </w:p>
    <w:p>
      <w:pPr>
        <w:spacing w:after="0" w:line="225"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rFonts w:ascii="Times New Roman" w:cs="Times New Roman" w:eastAsia="Times New Roman" w:hAnsi="Times New Roman"/>
          <w:sz w:val="18"/>
          <w:szCs w:val="18"/>
          <w:color w:val="auto"/>
        </w:rPr>
      </w:pPr>
    </w:p>
    <w:p>
      <w:pPr>
        <w:jc w:val="both"/>
        <w:ind w:left="1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generates revenues from the sale of systems, inks and consumable products and from services to its products. The Company generates revenues from sale of its products directly to end-users and indirectly through independent distributors, all of whom are considered end-users.</w:t>
      </w:r>
    </w:p>
    <w:p>
      <w:pPr>
        <w:spacing w:after="0" w:line="176" w:lineRule="exact"/>
        <w:rPr>
          <w:rFonts w:ascii="Times New Roman" w:cs="Times New Roman" w:eastAsia="Times New Roman" w:hAnsi="Times New Roman"/>
          <w:sz w:val="18"/>
          <w:szCs w:val="18"/>
          <w:color w:val="auto"/>
        </w:rPr>
      </w:pPr>
    </w:p>
    <w:p>
      <w:pPr>
        <w:jc w:val="both"/>
        <w:ind w:left="1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recognized in accordance with “Revenue Recognition” (“ASC No. 605”), provided that the collection of the resulting receivable is probable, there is persuasive evidence of an arrangement, no significant obligations remain and the price is fixed or determinable.</w:t>
      </w:r>
    </w:p>
    <w:p>
      <w:pPr>
        <w:spacing w:after="0" w:line="176" w:lineRule="exact"/>
        <w:rPr>
          <w:rFonts w:ascii="Times New Roman" w:cs="Times New Roman" w:eastAsia="Times New Roman" w:hAnsi="Times New Roman"/>
          <w:sz w:val="18"/>
          <w:szCs w:val="18"/>
          <w:color w:val="auto"/>
        </w:rPr>
      </w:pPr>
    </w:p>
    <w:p>
      <w:pPr>
        <w:jc w:val="both"/>
        <w:ind w:left="15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selling these products are recognized upon delivery, provided that all other revenue recognition criteria are met. In respect of sale of systems with installation and training services, the Company considers these services to be not essential to the functionality of the systems. Therefore, the Company recognizes the revenues of the systems upon their delivery in accordance with the agreed-upon delivery terms once all other revenue recognition criteria have been met and the related services are recognized when provided or completed.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31" w:name="page132"/>
    <w:bookmarkEnd w:id="131"/>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jc w:val="both"/>
        <w:ind w:left="1560"/>
        <w:spacing w:after="0" w:line="266" w:lineRule="auto"/>
        <w:rPr>
          <w:sz w:val="20"/>
          <w:szCs w:val="20"/>
          <w:color w:val="auto"/>
        </w:rPr>
      </w:pPr>
      <w:r>
        <w:rPr>
          <w:rFonts w:ascii="Times New Roman" w:cs="Times New Roman" w:eastAsia="Times New Roman" w:hAnsi="Times New Roman"/>
          <w:sz w:val="18"/>
          <w:szCs w:val="18"/>
          <w:color w:val="auto"/>
        </w:rPr>
        <w:t>The Company considers all arrangements with payment terms extending beyond the standard payment terms not to be fixed or determinable. If the fee is not fixed or determinable, revenue is recognized as payments become due from the customer, provided that all other revenue recognition criteria have been met.</w:t>
      </w:r>
    </w:p>
    <w:p>
      <w:pPr>
        <w:spacing w:after="0" w:line="176" w:lineRule="exact"/>
        <w:rPr>
          <w:sz w:val="20"/>
          <w:szCs w:val="20"/>
          <w:color w:val="auto"/>
        </w:rPr>
      </w:pPr>
    </w:p>
    <w:p>
      <w:pPr>
        <w:jc w:val="both"/>
        <w:ind w:left="1560"/>
        <w:spacing w:after="0" w:line="266" w:lineRule="auto"/>
        <w:rPr>
          <w:sz w:val="20"/>
          <w:szCs w:val="20"/>
          <w:color w:val="auto"/>
        </w:rPr>
      </w:pPr>
      <w:r>
        <w:rPr>
          <w:rFonts w:ascii="Times New Roman" w:cs="Times New Roman" w:eastAsia="Times New Roman" w:hAnsi="Times New Roman"/>
          <w:sz w:val="18"/>
          <w:szCs w:val="18"/>
          <w:color w:val="auto"/>
        </w:rPr>
        <w:t>Revenues from service are derived mainly from the sale of print heads, spear parts and sale of service contracts. The Company’s print heads and spear parts revenues are recognized upon delivery, provided that all other revenue recognition criteria are met. The service contracts are recognized ratably, on a straight-line basis, over the period of the service.</w:t>
      </w:r>
    </w:p>
    <w:p>
      <w:pPr>
        <w:spacing w:after="0" w:line="176" w:lineRule="exact"/>
        <w:rPr>
          <w:sz w:val="20"/>
          <w:szCs w:val="20"/>
          <w:color w:val="auto"/>
        </w:rPr>
      </w:pPr>
    </w:p>
    <w:p>
      <w:pPr>
        <w:jc w:val="both"/>
        <w:ind w:left="1560"/>
        <w:spacing w:after="0" w:line="282" w:lineRule="auto"/>
        <w:rPr>
          <w:sz w:val="20"/>
          <w:szCs w:val="20"/>
          <w:color w:val="auto"/>
        </w:rPr>
      </w:pPr>
      <w:r>
        <w:rPr>
          <w:rFonts w:ascii="Times New Roman" w:cs="Times New Roman" w:eastAsia="Times New Roman" w:hAnsi="Times New Roman"/>
          <w:sz w:val="18"/>
          <w:szCs w:val="18"/>
          <w:color w:val="auto"/>
        </w:rPr>
        <w:t>Revenues from ink and other consumable products when sold separately are generally recognized upon shipment assuming all other revenue recognition criteria have been met.</w:t>
      </w:r>
    </w:p>
    <w:p>
      <w:pPr>
        <w:spacing w:after="0" w:line="162" w:lineRule="exact"/>
        <w:rPr>
          <w:sz w:val="20"/>
          <w:szCs w:val="20"/>
          <w:color w:val="auto"/>
        </w:rPr>
      </w:pPr>
    </w:p>
    <w:p>
      <w:pPr>
        <w:jc w:val="both"/>
        <w:ind w:left="1560"/>
        <w:spacing w:after="0" w:line="261" w:lineRule="auto"/>
        <w:rPr>
          <w:sz w:val="20"/>
          <w:szCs w:val="20"/>
          <w:color w:val="auto"/>
        </w:rPr>
      </w:pPr>
      <w:r>
        <w:rPr>
          <w:rFonts w:ascii="Times New Roman" w:cs="Times New Roman" w:eastAsia="Times New Roman" w:hAnsi="Times New Roman"/>
          <w:sz w:val="18"/>
          <w:szCs w:val="18"/>
          <w:color w:val="auto"/>
        </w:rPr>
        <w:t>Although, in general, the Company does not grant rights of return, there are certain instances where such rights are granted. The Company maintains a provision for returns in accordance with ASC No 605, which is estimated, based primarily on historical experience as well as management judgment, and is recorded as reduction of revenue. Such provision amounted to $346 and $580 as of December 31, 2016 and 2017, respectively.</w:t>
      </w:r>
    </w:p>
    <w:p>
      <w:pPr>
        <w:spacing w:after="0" w:line="180" w:lineRule="exact"/>
        <w:rPr>
          <w:sz w:val="20"/>
          <w:szCs w:val="20"/>
          <w:color w:val="auto"/>
        </w:rPr>
      </w:pPr>
    </w:p>
    <w:p>
      <w:pPr>
        <w:jc w:val="both"/>
        <w:ind w:left="1560"/>
        <w:spacing w:after="0" w:line="261" w:lineRule="auto"/>
        <w:rPr>
          <w:sz w:val="20"/>
          <w:szCs w:val="20"/>
          <w:color w:val="auto"/>
        </w:rPr>
      </w:pPr>
      <w:r>
        <w:rPr>
          <w:rFonts w:ascii="Times New Roman" w:cs="Times New Roman" w:eastAsia="Times New Roman" w:hAnsi="Times New Roman"/>
          <w:sz w:val="18"/>
          <w:szCs w:val="18"/>
          <w:color w:val="auto"/>
        </w:rPr>
        <w:t>The Company periodically provides customer incentive programs including product discounts, volume-based rebates and warrants, which are accounted for as reductions to revenue in the period in which the revenue is recognized. These reductions to revenue are made based upon reasonable and reliable estimates that are determined by historical experience and the specific terms and conditions of the incentive.</w:t>
      </w:r>
    </w:p>
    <w:p>
      <w:pPr>
        <w:spacing w:after="0" w:line="18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Deferred revenue includes amounts received from customers for which revenue has not yet been recognized.</w:t>
      </w:r>
    </w:p>
    <w:p>
      <w:pPr>
        <w:spacing w:after="0" w:line="225" w:lineRule="exact"/>
        <w:rPr>
          <w:sz w:val="20"/>
          <w:szCs w:val="20"/>
          <w:color w:val="auto"/>
        </w:rPr>
      </w:pPr>
    </w:p>
    <w:p>
      <w:pPr>
        <w:jc w:val="both"/>
        <w:ind w:left="1560" w:right="20"/>
        <w:spacing w:after="0" w:line="282" w:lineRule="auto"/>
        <w:rPr>
          <w:sz w:val="20"/>
          <w:szCs w:val="20"/>
          <w:color w:val="auto"/>
        </w:rPr>
      </w:pPr>
      <w:r>
        <w:rPr>
          <w:rFonts w:ascii="Times New Roman" w:cs="Times New Roman" w:eastAsia="Times New Roman" w:hAnsi="Times New Roman"/>
          <w:sz w:val="18"/>
          <w:szCs w:val="18"/>
          <w:color w:val="auto"/>
        </w:rPr>
        <w:t>In cases where the Company’s customers trade-in old systems as part of sales of new systems, the fair value of the old systems is recorded as inventory, provided that such value can be determined.</w:t>
      </w:r>
    </w:p>
    <w:p>
      <w:pPr>
        <w:spacing w:after="0" w:line="162" w:lineRule="exact"/>
        <w:rPr>
          <w:sz w:val="20"/>
          <w:szCs w:val="20"/>
          <w:color w:val="auto"/>
        </w:rPr>
      </w:pPr>
    </w:p>
    <w:p>
      <w:pPr>
        <w:ind w:left="1560" w:hanging="647"/>
        <w:spacing w:after="0"/>
        <w:tabs>
          <w:tab w:leader="none" w:pos="15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Handling:</w:t>
      </w:r>
    </w:p>
    <w:p>
      <w:pPr>
        <w:spacing w:after="0" w:line="225" w:lineRule="exact"/>
        <w:rPr>
          <w:rFonts w:ascii="Times New Roman" w:cs="Times New Roman" w:eastAsia="Times New Roman" w:hAnsi="Times New Roman"/>
          <w:sz w:val="18"/>
          <w:szCs w:val="18"/>
          <w:color w:val="auto"/>
        </w:rPr>
      </w:pPr>
    </w:p>
    <w:p>
      <w:pPr>
        <w:jc w:val="both"/>
        <w:ind w:left="1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handling fees charged to the Company’s customers are recognized as revenue in the period shipped and the related costs for providing these services are recorded as a cost of revenues. Revenues from shipping in the years ended December 31, 2015, 2016 and 2017 were $719, $768 and $1,355, respectively.</w:t>
      </w:r>
    </w:p>
    <w:p>
      <w:pPr>
        <w:spacing w:after="0" w:line="176"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w:t>
      </w:r>
    </w:p>
    <w:p>
      <w:pPr>
        <w:spacing w:after="0" w:line="225" w:lineRule="exact"/>
        <w:rPr>
          <w:rFonts w:ascii="Times New Roman" w:cs="Times New Roman" w:eastAsia="Times New Roman" w:hAnsi="Times New Roman"/>
          <w:sz w:val="18"/>
          <w:szCs w:val="18"/>
          <w:color w:val="auto"/>
        </w:rPr>
      </w:pPr>
    </w:p>
    <w:p>
      <w:pPr>
        <w:ind w:left="1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is comprised mainly of cost of systems and ink production, employees’ salaries and related costs, allocated overhead expenses, import taxes and royalties and Shipping and handling fees.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32" w:name="page133"/>
    <w:bookmarkEnd w:id="132"/>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560" w:hanging="647"/>
        <w:spacing w:after="0"/>
        <w:tabs>
          <w:tab w:leader="none" w:pos="15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costs:</w:t>
      </w:r>
    </w:p>
    <w:p>
      <w:pPr>
        <w:spacing w:after="0" w:line="225" w:lineRule="exact"/>
        <w:rPr>
          <w:rFonts w:ascii="Times New Roman" w:cs="Times New Roman" w:eastAsia="Times New Roman" w:hAnsi="Times New Roman"/>
          <w:sz w:val="18"/>
          <w:szCs w:val="18"/>
          <w:color w:val="auto"/>
        </w:rPr>
      </w:pPr>
    </w:p>
    <w:p>
      <w:pPr>
        <w:jc w:val="both"/>
        <w:ind w:left="1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typically provides a one-year warranty on the systems including parts and labor. A provision is recorded for estimated warranty costs at the time revenues are recognized based on historical warranty costs and management’s estimates. Factors that affect the Company’s warranty liability include the number of systems, historical rates of warranty claims and cost per claim. The Company periodically assesses the adequacy of its recorded warranty liabilities and adjusts the amounts thereof as necessary.</w:t>
      </w:r>
    </w:p>
    <w:p>
      <w:pPr>
        <w:spacing w:after="0" w:line="180"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followings are the changes in the liability for product warranty from January 1, 2016 to December 31, 2017:</w:t>
      </w:r>
    </w:p>
    <w:p>
      <w:pPr>
        <w:sectPr>
          <w:pgSz w:w="11900" w:h="16838" w:orient="portrait"/>
          <w:cols w:equalWidth="0" w:num="1">
            <w:col w:w="11420"/>
          </w:cols>
          <w:pgMar w:left="240" w:top="220" w:right="239" w:bottom="1440" w:gutter="0" w:footer="0" w:header="0"/>
        </w:sectPr>
      </w:pP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Balance at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62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Provision for warranties issued during the year</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Reduction for payments and costs to satisfy claims</w:t>
      </w:r>
    </w:p>
    <w:p>
      <w:pPr>
        <w:spacing w:after="0" w:line="24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Balance at December 31, 2016</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Provision for warranties issued during the year</w:t>
      </w:r>
    </w:p>
    <w:p>
      <w:pPr>
        <w:spacing w:after="0" w:line="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Reduction for payments and costs to satisfy claims</w:t>
      </w:r>
    </w:p>
    <w:p>
      <w:pPr>
        <w:spacing w:after="0" w:line="24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Balance at December 31, 2017</w:t>
      </w:r>
    </w:p>
    <w:p>
      <w:pPr>
        <w:spacing w:after="0" w:line="333" w:lineRule="exact"/>
        <w:rPr>
          <w:sz w:val="20"/>
          <w:szCs w:val="20"/>
          <w:color w:val="auto"/>
        </w:rPr>
      </w:pPr>
    </w:p>
    <w:p>
      <w:pPr>
        <w:ind w:left="1560" w:hanging="647"/>
        <w:spacing w:after="0"/>
        <w:tabs>
          <w:tab w:leader="none" w:pos="15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w:t>
      </w:r>
    </w:p>
    <w:p>
      <w:pPr>
        <w:spacing w:after="0" w:line="225"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are charged to the statement of income, as incurred.</w:t>
      </w:r>
    </w:p>
    <w:p>
      <w:pPr>
        <w:spacing w:after="0" w:line="225"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741" w:hanging="741"/>
        <w:spacing w:after="0"/>
        <w:tabs>
          <w:tab w:leader="none" w:pos="74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940</w:t>
      </w:r>
    </w:p>
    <w:p>
      <w:pPr>
        <w:spacing w:after="0" w:line="27" w:lineRule="exact"/>
        <w:rPr>
          <w:rFonts w:ascii="Times New Roman" w:cs="Times New Roman" w:eastAsia="Times New Roman" w:hAnsi="Times New Roman"/>
          <w:sz w:val="18"/>
          <w:szCs w:val="18"/>
          <w:color w:val="auto"/>
        </w:rPr>
      </w:pPr>
    </w:p>
    <w:p>
      <w:pPr>
        <w:ind w:left="6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(1,905)</w:t>
      </w:r>
    </w:p>
    <w:p>
      <w:pPr>
        <w:spacing w:after="0" w:line="247"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8"/>
          <w:szCs w:val="18"/>
          <w:color w:val="auto"/>
        </w:rPr>
        <w:t>2,019</w:t>
      </w:r>
    </w:p>
    <w:p>
      <w:pPr>
        <w:spacing w:after="0" w:line="225"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8"/>
          <w:szCs w:val="18"/>
          <w:color w:val="auto"/>
        </w:rPr>
        <w:t>2,807</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(3,049)</w:t>
      </w:r>
    </w:p>
    <w:p>
      <w:pPr>
        <w:spacing w:after="0" w:line="288" w:lineRule="exact"/>
        <w:rPr>
          <w:sz w:val="20"/>
          <w:szCs w:val="20"/>
          <w:color w:val="auto"/>
        </w:rPr>
      </w:pPr>
    </w:p>
    <w:p>
      <w:pPr>
        <w:ind w:left="601" w:hanging="601"/>
        <w:spacing w:after="0"/>
        <w:tabs>
          <w:tab w:leader="none" w:pos="60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64325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643255" cy="17145"/>
                    </a:xfrm>
                    <a:prstGeom prst="rect">
                      <a:avLst/>
                    </a:prstGeom>
                    <a:noFill/>
                  </pic:spPr>
                </pic:pic>
              </a:graphicData>
            </a:graphic>
          </wp:anchor>
        </w:drawing>
      </w:r>
    </w:p>
    <w:p>
      <w:pPr>
        <w:spacing w:after="0" w:line="1564" w:lineRule="exact"/>
        <w:rPr>
          <w:sz w:val="20"/>
          <w:szCs w:val="20"/>
          <w:color w:val="auto"/>
        </w:rPr>
      </w:pPr>
    </w:p>
    <w:p>
      <w:pPr>
        <w:sectPr>
          <w:pgSz w:w="11900" w:h="16838" w:orient="portrait"/>
          <w:cols w:equalWidth="0" w:num="2">
            <w:col w:w="9579" w:space="720"/>
            <w:col w:w="1121"/>
          </w:cols>
          <w:pgMar w:left="240" w:top="220" w:right="239" w:bottom="1440" w:gutter="0" w:footer="0" w:header="0"/>
          <w:type w:val="continuous"/>
        </w:sectPr>
      </w:pPr>
    </w:p>
    <w:p>
      <w:pPr>
        <w:spacing w:after="0" w:line="25" w:lineRule="exact"/>
        <w:rPr>
          <w:sz w:val="20"/>
          <w:szCs w:val="20"/>
          <w:color w:val="auto"/>
        </w:rPr>
      </w:pPr>
    </w:p>
    <w:p>
      <w:pPr>
        <w:jc w:val="both"/>
        <w:ind w:left="1560"/>
        <w:spacing w:after="0" w:line="266" w:lineRule="auto"/>
        <w:rPr>
          <w:sz w:val="20"/>
          <w:szCs w:val="20"/>
          <w:color w:val="auto"/>
        </w:rPr>
      </w:pPr>
      <w:r>
        <w:rPr>
          <w:rFonts w:ascii="Times New Roman" w:cs="Times New Roman" w:eastAsia="Times New Roman" w:hAnsi="Times New Roman"/>
          <w:sz w:val="18"/>
          <w:szCs w:val="18"/>
          <w:color w:val="auto"/>
        </w:rPr>
        <w:t>Restructuring consists of costs primarily related to early retirement or retention agreements with the employees of our Wisconsin facility in connection with the transition of our U.S headquarter to East Coast in the United States. Restructuring expenses in the year ended December 31, 2017 in the amount of $503. Please refer to note 8.</w:t>
      </w:r>
    </w:p>
    <w:p>
      <w:pPr>
        <w:spacing w:after="0" w:line="176" w:lineRule="exact"/>
        <w:rPr>
          <w:sz w:val="20"/>
          <w:szCs w:val="20"/>
          <w:color w:val="auto"/>
        </w:rPr>
      </w:pPr>
    </w:p>
    <w:p>
      <w:pPr>
        <w:ind w:left="1560" w:hanging="647"/>
        <w:spacing w:after="0"/>
        <w:tabs>
          <w:tab w:leader="none" w:pos="15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share-based compensation:</w:t>
      </w:r>
    </w:p>
    <w:p>
      <w:pPr>
        <w:spacing w:after="0" w:line="225" w:lineRule="exact"/>
        <w:rPr>
          <w:rFonts w:ascii="Times New Roman" w:cs="Times New Roman" w:eastAsia="Times New Roman" w:hAnsi="Times New Roman"/>
          <w:sz w:val="18"/>
          <w:szCs w:val="18"/>
          <w:color w:val="auto"/>
        </w:rPr>
      </w:pPr>
    </w:p>
    <w:p>
      <w:pPr>
        <w:jc w:val="both"/>
        <w:ind w:left="1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share based compensation in accordance with, “Compensation - Stock Compensation” (“ASC No. 718”) that requires companies to estimate the fair value of equity-based payment awards on the date of grant using an option-pricing model. The value of the award is recognized as an expense over the requisite service periods in the Company’s consolidated statement of income.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33" w:name="page134"/>
    <w:bookmarkEnd w:id="133"/>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jc w:val="both"/>
        <w:ind w:left="1560"/>
        <w:spacing w:after="0" w:line="282" w:lineRule="auto"/>
        <w:rPr>
          <w:sz w:val="20"/>
          <w:szCs w:val="20"/>
          <w:color w:val="auto"/>
        </w:rPr>
      </w:pPr>
      <w:r>
        <w:rPr>
          <w:rFonts w:ascii="Times New Roman" w:cs="Times New Roman" w:eastAsia="Times New Roman" w:hAnsi="Times New Roman"/>
          <w:sz w:val="18"/>
          <w:szCs w:val="18"/>
          <w:color w:val="auto"/>
        </w:rPr>
        <w:t>The Company selected the binomial option pricing model as the most appropriate fair value method for its stock options awards with the following assumptions for the years ended December 31, 2015, 2016 and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40" w:type="dxa"/>
            <w:vAlign w:val="bottom"/>
          </w:tcPr>
          <w:p>
            <w:pPr>
              <w:spacing w:after="0"/>
              <w:rPr>
                <w:sz w:val="21"/>
                <w:szCs w:val="21"/>
                <w:color w:val="auto"/>
              </w:rPr>
            </w:pPr>
          </w:p>
        </w:tc>
        <w:tc>
          <w:tcPr>
            <w:tcW w:w="358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78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7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Suboptimal exercise multiple</w:t>
            </w:r>
          </w:p>
        </w:tc>
        <w:tc>
          <w:tcPr>
            <w:tcW w:w="1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1.0-1.5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Risk free interest rate</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0.2%-2.2%</w:t>
            </w:r>
          </w:p>
        </w:tc>
        <w:tc>
          <w:tcPr>
            <w:tcW w:w="220" w:type="dxa"/>
            <w:vAlign w:val="bottom"/>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0.3%-2.2%</w:t>
            </w:r>
          </w:p>
        </w:tc>
        <w:tc>
          <w:tcPr>
            <w:tcW w:w="2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2.2%-2.3%</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Volatility</w:t>
            </w:r>
          </w:p>
        </w:tc>
        <w:tc>
          <w:tcPr>
            <w:tcW w:w="1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50%-55%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54%-56%</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51%-53%</w:t>
            </w:r>
          </w:p>
        </w:tc>
        <w:tc>
          <w:tcPr>
            <w:tcW w:w="100" w:type="dxa"/>
            <w:vAlign w:val="bottom"/>
            <w:shd w:val="clear" w:color="auto" w:fill="CCEEFF"/>
          </w:tcPr>
          <w:p>
            <w:pPr>
              <w:spacing w:after="0"/>
              <w:rPr>
                <w:sz w:val="18"/>
                <w:szCs w:val="18"/>
                <w:color w:val="auto"/>
              </w:rPr>
            </w:pPr>
          </w:p>
        </w:tc>
      </w:tr>
      <w:tr>
        <w:trPr>
          <w:trHeight w:val="234"/>
        </w:trPr>
        <w:tc>
          <w:tcPr>
            <w:tcW w:w="78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Dividend yield</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w:t>
            </w:r>
          </w:p>
        </w:tc>
        <w:tc>
          <w:tcPr>
            <w:tcW w:w="220" w:type="dxa"/>
            <w:vAlign w:val="bottom"/>
          </w:tcPr>
          <w:p>
            <w:pPr>
              <w:spacing w:after="0"/>
              <w:rPr>
                <w:sz w:val="20"/>
                <w:szCs w:val="20"/>
                <w:color w:val="auto"/>
              </w:rPr>
            </w:pP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w:t>
            </w:r>
          </w:p>
        </w:tc>
        <w:tc>
          <w:tcPr>
            <w:tcW w:w="2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-1022985</wp:posOffset>
            </wp:positionV>
            <wp:extent cx="986155" cy="10121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986155" cy="1012190"/>
                    </a:xfrm>
                    <a:prstGeom prst="rect">
                      <a:avLst/>
                    </a:prstGeom>
                    <a:noFill/>
                  </pic:spPr>
                </pic:pic>
              </a:graphicData>
            </a:graphic>
          </wp:anchor>
        </w:drawing>
      </w:r>
    </w:p>
    <w:p>
      <w:pPr>
        <w:spacing w:after="0" w:line="159" w:lineRule="exact"/>
        <w:rPr>
          <w:sz w:val="20"/>
          <w:szCs w:val="20"/>
          <w:color w:val="auto"/>
        </w:rPr>
      </w:pPr>
    </w:p>
    <w:p>
      <w:pPr>
        <w:jc w:val="both"/>
        <w:ind w:left="1560"/>
        <w:spacing w:after="0" w:line="266" w:lineRule="auto"/>
        <w:rPr>
          <w:sz w:val="20"/>
          <w:szCs w:val="20"/>
          <w:color w:val="auto"/>
        </w:rPr>
      </w:pPr>
      <w:r>
        <w:rPr>
          <w:rFonts w:ascii="Times New Roman" w:cs="Times New Roman" w:eastAsia="Times New Roman" w:hAnsi="Times New Roman"/>
          <w:sz w:val="18"/>
          <w:szCs w:val="18"/>
          <w:color w:val="auto"/>
        </w:rPr>
        <w:t>The expected volatility is based on volatility of similar companies whose share prices are publicly available over an historical period equivalent to the option’s expected term. The computation of the suboptimal exercise multiple based on empirical studies, the early exercise factor of public companies is approximately 100% for employees and 150% for managers.</w:t>
      </w:r>
    </w:p>
    <w:p>
      <w:pPr>
        <w:spacing w:after="0" w:line="176" w:lineRule="exact"/>
        <w:rPr>
          <w:sz w:val="20"/>
          <w:szCs w:val="20"/>
          <w:color w:val="auto"/>
        </w:rPr>
      </w:pPr>
    </w:p>
    <w:p>
      <w:pPr>
        <w:jc w:val="both"/>
        <w:ind w:left="1560"/>
        <w:spacing w:after="0" w:line="266" w:lineRule="auto"/>
        <w:rPr>
          <w:sz w:val="20"/>
          <w:szCs w:val="20"/>
          <w:color w:val="auto"/>
        </w:rPr>
      </w:pPr>
      <w:r>
        <w:rPr>
          <w:rFonts w:ascii="Times New Roman" w:cs="Times New Roman" w:eastAsia="Times New Roman" w:hAnsi="Times New Roman"/>
          <w:sz w:val="18"/>
          <w:szCs w:val="18"/>
          <w:color w:val="auto"/>
        </w:rPr>
        <w:t>The interest rate for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spacing w:after="0" w:line="176" w:lineRule="exact"/>
        <w:rPr>
          <w:sz w:val="20"/>
          <w:szCs w:val="20"/>
          <w:color w:val="auto"/>
        </w:rPr>
      </w:pPr>
    </w:p>
    <w:p>
      <w:pPr>
        <w:jc w:val="both"/>
        <w:ind w:left="1560" w:right="20"/>
        <w:spacing w:after="0" w:line="282" w:lineRule="auto"/>
        <w:rPr>
          <w:sz w:val="20"/>
          <w:szCs w:val="20"/>
          <w:color w:val="auto"/>
        </w:rPr>
      </w:pPr>
      <w:r>
        <w:rPr>
          <w:rFonts w:ascii="Times New Roman" w:cs="Times New Roman" w:eastAsia="Times New Roman" w:hAnsi="Times New Roman"/>
          <w:sz w:val="18"/>
          <w:szCs w:val="18"/>
          <w:color w:val="auto"/>
        </w:rPr>
        <w:t>The fair value of each restricted stock unit (“RSU”) is the market value as determined by the closing price of the common share prior to the day of grant.</w:t>
      </w:r>
    </w:p>
    <w:p>
      <w:pPr>
        <w:spacing w:after="0" w:line="162" w:lineRule="exact"/>
        <w:rPr>
          <w:sz w:val="20"/>
          <w:szCs w:val="20"/>
          <w:color w:val="auto"/>
        </w:rPr>
      </w:pPr>
    </w:p>
    <w:p>
      <w:pPr>
        <w:jc w:val="both"/>
        <w:ind w:left="1560"/>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expenses for the value of its awards, which have graded vesting based on service conditions, using the straight-line method, over the requisite service period of each of the awards. The Company recognizes forfeitures of awards as they occur.</w:t>
      </w:r>
    </w:p>
    <w:p>
      <w:pPr>
        <w:spacing w:after="0" w:line="176" w:lineRule="exact"/>
        <w:rPr>
          <w:sz w:val="20"/>
          <w:szCs w:val="20"/>
          <w:color w:val="auto"/>
        </w:rPr>
      </w:pPr>
    </w:p>
    <w:p>
      <w:pPr>
        <w:jc w:val="both"/>
        <w:ind w:left="1560"/>
        <w:spacing w:after="0" w:line="258" w:lineRule="auto"/>
        <w:rPr>
          <w:sz w:val="20"/>
          <w:szCs w:val="20"/>
          <w:color w:val="auto"/>
        </w:rPr>
      </w:pPr>
      <w:r>
        <w:rPr>
          <w:rFonts w:ascii="Times New Roman" w:cs="Times New Roman" w:eastAsia="Times New Roman" w:hAnsi="Times New Roman"/>
          <w:sz w:val="18"/>
          <w:szCs w:val="18"/>
          <w:color w:val="auto"/>
        </w:rPr>
        <w:t>On January 1, 2017, the Company adopted Financial Accounting Standards Board (“FASB”) Accounting Standards Update (“ASU”) No. 2016-09 (Topic 718) Compensation—Stock Compensation: Improvements to Employee Stock-Based Payment Accounting, which simplifies several aspects of the accounting for stock-based payment transactions, including the income tax consequences, classification of awards as either equity or liabilities, forfeiture, statutory tax withholding requirements, and classification on the statement of cash flows.</w:t>
      </w:r>
    </w:p>
    <w:p>
      <w:pPr>
        <w:spacing w:after="0" w:line="18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The impact of the adoption on the Company’s Consolidated Financial Statements was as follows:</w:t>
      </w:r>
    </w:p>
    <w:p>
      <w:pPr>
        <w:spacing w:after="0" w:line="225" w:lineRule="exact"/>
        <w:rPr>
          <w:sz w:val="20"/>
          <w:szCs w:val="20"/>
          <w:color w:val="auto"/>
        </w:rPr>
      </w:pPr>
    </w:p>
    <w:p>
      <w:pPr>
        <w:jc w:val="both"/>
        <w:ind w:left="2200" w:hanging="639"/>
        <w:spacing w:after="0" w:line="266" w:lineRule="auto"/>
        <w:tabs>
          <w:tab w:leader="none" w:pos="22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Forfeitures: The Company elected to account for forfeitures as they occur using a modified retrospective transition method, rather than estimating forfeitures, resulting in a cumulative-effect of $69, which decreased the January 1, 2017 opening retained earnings balance on the Consolidated Balance Sheets.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34" w:name="page135"/>
    <w:bookmarkEnd w:id="134"/>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jc w:val="both"/>
        <w:ind w:left="2200" w:hanging="639"/>
        <w:spacing w:after="0" w:line="261" w:lineRule="auto"/>
        <w:tabs>
          <w:tab w:leader="none" w:pos="22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excess tax benefits or deficiencies from the Company’s equity awards were recorded as additional paid-in capital in its consolidated balance sheets. As a result of adoption, starting January 1, 2017 the Company prospectively recorded any excess tax benefits or deficiencies from its equity awards as part of its provision for income taxes in its consolidated statements of operations in the reporting periods in which equity vesting occurs.</w:t>
      </w:r>
    </w:p>
    <w:p>
      <w:pPr>
        <w:spacing w:after="0" w:line="207" w:lineRule="exact"/>
        <w:rPr>
          <w:rFonts w:ascii="Times New Roman" w:cs="Times New Roman" w:eastAsia="Times New Roman" w:hAnsi="Times New Roman"/>
          <w:sz w:val="18"/>
          <w:szCs w:val="18"/>
          <w:color w:val="auto"/>
        </w:rPr>
      </w:pPr>
    </w:p>
    <w:p>
      <w:pPr>
        <w:jc w:val="both"/>
        <w:ind w:left="2200" w:hanging="639"/>
        <w:spacing w:after="0" w:line="266" w:lineRule="auto"/>
        <w:tabs>
          <w:tab w:leader="none" w:pos="22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presentation of excess tax benefits: The Company is required to classify excess tax benefits along with other income tax cash flows as an operating activity either prospectively or retrospectively. The Company elected to apply the change in presentation to the statements of cash flows prospectively from January 1, 2017. Prior periods have not been adjusted.</w:t>
      </w:r>
    </w:p>
    <w:p>
      <w:pPr>
        <w:spacing w:after="0" w:line="176"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and hedging:</w:t>
      </w:r>
    </w:p>
    <w:p>
      <w:pPr>
        <w:spacing w:after="0" w:line="225" w:lineRule="exact"/>
        <w:rPr>
          <w:rFonts w:ascii="Times New Roman" w:cs="Times New Roman" w:eastAsia="Times New Roman" w:hAnsi="Times New Roman"/>
          <w:sz w:val="18"/>
          <w:szCs w:val="18"/>
          <w:color w:val="auto"/>
        </w:rPr>
      </w:pPr>
    </w:p>
    <w:p>
      <w:pPr>
        <w:jc w:val="both"/>
        <w:ind w:left="1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derivatives and hedging based on ASC No. 815, “Derivatives and Hedging” (“ASC No. 815”). ASC No. 815 requires the Company to recognize all derivatives on the balance sheet at fair value. The accounting for changes in the fair value (i.e., gains or losses) of a derivative instrument depends on whether it has been designated and qualifies as part of a hedging relationship and further, on the type of hedging relationship.</w:t>
      </w:r>
    </w:p>
    <w:p>
      <w:pPr>
        <w:spacing w:after="0" w:line="180" w:lineRule="exact"/>
        <w:rPr>
          <w:rFonts w:ascii="Times New Roman" w:cs="Times New Roman" w:eastAsia="Times New Roman" w:hAnsi="Times New Roman"/>
          <w:sz w:val="18"/>
          <w:szCs w:val="18"/>
          <w:color w:val="auto"/>
        </w:rPr>
      </w:pPr>
    </w:p>
    <w:p>
      <w:pPr>
        <w:jc w:val="both"/>
        <w:ind w:left="15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ASC No. 815, for derivative instruments that are designated and qualify as hedging instruments, the Company must designate the hedging instrument, based upon the exposure being hedged, as a fair value hedge, cash flow hedge, or a hedge of a net investment in a foreign operation. If the derivatives meet the definition of a hedge and are so designated, depending on the nature of the hedge, changes in the fair value of such derivatives will either be offset against the change in fair value of the hedged assets, liabilities, or firm commitments through earnings, or recognized in accumulated other comprehensive income until the hedged item is recognized in earnings. The ineffective portion of a derivative’s change in fair value is recognized in earnings.</w:t>
      </w:r>
    </w:p>
    <w:p>
      <w:pPr>
        <w:spacing w:after="0" w:line="187" w:lineRule="exact"/>
        <w:rPr>
          <w:rFonts w:ascii="Times New Roman" w:cs="Times New Roman" w:eastAsia="Times New Roman" w:hAnsi="Times New Roman"/>
          <w:sz w:val="18"/>
          <w:szCs w:val="18"/>
          <w:color w:val="auto"/>
        </w:rPr>
      </w:pPr>
    </w:p>
    <w:p>
      <w:pPr>
        <w:jc w:val="both"/>
        <w:ind w:left="1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2015, the Company entered into forward and option contracts to hedge against the risk of overall changes in future cash flow from payments of payroll and related expenses denominated in New Israeli Shekels (“NIS”). As of December 31, 2016 and 2017, the fair value of the Company’s outstanding forward and option contracts amounted to $3 and $45 which is included within other payables and accrued expenses, respectively on the balance sheets.</w:t>
      </w:r>
    </w:p>
    <w:p>
      <w:pPr>
        <w:spacing w:after="0" w:line="180" w:lineRule="exact"/>
        <w:rPr>
          <w:rFonts w:ascii="Times New Roman" w:cs="Times New Roman" w:eastAsia="Times New Roman" w:hAnsi="Times New Roman"/>
          <w:sz w:val="18"/>
          <w:szCs w:val="18"/>
          <w:color w:val="auto"/>
        </w:rPr>
      </w:pPr>
    </w:p>
    <w:p>
      <w:pPr>
        <w:ind w:left="1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measured the fair value of these contracts in accordance with ASC No. 820, “Fair Value Measurements and Disclosures” (“ASC No. 820”), and they were classified as level 2 of the fair value hierarchy.</w:t>
      </w:r>
    </w:p>
    <w:p>
      <w:pPr>
        <w:spacing w:after="0" w:line="161" w:lineRule="exact"/>
        <w:rPr>
          <w:rFonts w:ascii="Times New Roman" w:cs="Times New Roman" w:eastAsia="Times New Roman" w:hAnsi="Times New Roman"/>
          <w:sz w:val="18"/>
          <w:szCs w:val="18"/>
          <w:color w:val="auto"/>
        </w:rPr>
      </w:pPr>
    </w:p>
    <w:p>
      <w:pPr>
        <w:ind w:left="15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2016 and December 31, 2017, the Company had outstanding hedging contracts in the notional amount of $8,636 and $3,651,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35" w:name="page136"/>
    <w:bookmarkEnd w:id="135"/>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560" w:hanging="647"/>
        <w:spacing w:after="0"/>
        <w:tabs>
          <w:tab w:leader="none" w:pos="15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w:t>
      </w:r>
    </w:p>
    <w:p>
      <w:pPr>
        <w:spacing w:after="0" w:line="225" w:lineRule="exact"/>
        <w:rPr>
          <w:rFonts w:ascii="Times New Roman" w:cs="Times New Roman" w:eastAsia="Times New Roman" w:hAnsi="Times New Roman"/>
          <w:sz w:val="18"/>
          <w:szCs w:val="18"/>
          <w:color w:val="auto"/>
        </w:rPr>
      </w:pPr>
    </w:p>
    <w:p>
      <w:pPr>
        <w:ind w:left="1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costs are charged to operations as incurred and were $283, $526 and $612 for the years ended December 31, 2015, 2016 and 2017, respectively.</w:t>
      </w:r>
    </w:p>
    <w:p>
      <w:pPr>
        <w:spacing w:after="0" w:line="161"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rFonts w:ascii="Times New Roman" w:cs="Times New Roman" w:eastAsia="Times New Roman" w:hAnsi="Times New Roman"/>
          <w:sz w:val="18"/>
          <w:szCs w:val="18"/>
          <w:color w:val="auto"/>
        </w:rPr>
      </w:pPr>
    </w:p>
    <w:p>
      <w:pPr>
        <w:jc w:val="both"/>
        <w:ind w:left="15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income taxes and uncertain tax positions in accordance with ASC No. 740, “Income Taxes” (“ASC No. 740”). ASC No. 740 prescribes the use of the liability method, whereby deferred tax asset and liability account balances are determined based on temporary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amounts more likely than not to be realized. Deferred tax assets and liabilities are classified to non-current assets and liabilities, respectively.</w:t>
      </w:r>
    </w:p>
    <w:p>
      <w:pPr>
        <w:spacing w:after="0" w:line="187" w:lineRule="exact"/>
        <w:rPr>
          <w:rFonts w:ascii="Times New Roman" w:cs="Times New Roman" w:eastAsia="Times New Roman" w:hAnsi="Times New Roman"/>
          <w:sz w:val="18"/>
          <w:szCs w:val="18"/>
          <w:color w:val="auto"/>
        </w:rPr>
      </w:pPr>
    </w:p>
    <w:p>
      <w:pPr>
        <w:jc w:val="both"/>
        <w:ind w:left="15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No.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penalties related to unrecognized tax benefits on its taxes on income.</w:t>
      </w:r>
    </w:p>
    <w:p>
      <w:pPr>
        <w:spacing w:after="0" w:line="187"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of credit risks:</w:t>
      </w:r>
    </w:p>
    <w:p>
      <w:pPr>
        <w:spacing w:after="0" w:line="225" w:lineRule="exact"/>
        <w:rPr>
          <w:rFonts w:ascii="Times New Roman" w:cs="Times New Roman" w:eastAsia="Times New Roman" w:hAnsi="Times New Roman"/>
          <w:sz w:val="18"/>
          <w:szCs w:val="18"/>
          <w:color w:val="auto"/>
        </w:rPr>
      </w:pPr>
    </w:p>
    <w:p>
      <w:pPr>
        <w:ind w:left="1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that potentially subject the Company and its subsidiaries to concentrations of credit risk consist principally of cash and cash equivalents, bank deposits, marketable securities, foreign exchange contracts and trade receivables.</w:t>
      </w:r>
    </w:p>
    <w:p>
      <w:pPr>
        <w:spacing w:after="0" w:line="161" w:lineRule="exact"/>
        <w:rPr>
          <w:rFonts w:ascii="Times New Roman" w:cs="Times New Roman" w:eastAsia="Times New Roman" w:hAnsi="Times New Roman"/>
          <w:sz w:val="18"/>
          <w:szCs w:val="18"/>
          <w:color w:val="auto"/>
        </w:rPr>
      </w:pPr>
    </w:p>
    <w:p>
      <w:pPr>
        <w:jc w:val="both"/>
        <w:ind w:left="1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Company’s and its subsidiaries’ cash and cash equivalents, bank deposits and marketable securities are invested in major banks in Israel and the U.S. Generally, these cash equivalents may be redeemed upon demand and, therefore management believes that it bears a lower risk.</w:t>
      </w:r>
    </w:p>
    <w:p>
      <w:pPr>
        <w:spacing w:after="0" w:line="176" w:lineRule="exact"/>
        <w:rPr>
          <w:rFonts w:ascii="Times New Roman" w:cs="Times New Roman" w:eastAsia="Times New Roman" w:hAnsi="Times New Roman"/>
          <w:sz w:val="18"/>
          <w:szCs w:val="18"/>
          <w:color w:val="auto"/>
        </w:rPr>
      </w:pPr>
    </w:p>
    <w:p>
      <w:pPr>
        <w:jc w:val="both"/>
        <w:ind w:left="15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attempts to limit its exposure to interest rate risk by investing in securities with maturities of less than three years; however, the Company may be unable to successfully limit its risk to interest rate fluctuations. At any time, a sharp rise in interest rates could have a material adverse impact on the fair value of its investment portfolio. Conversely, declines in interest rates could have a material favorable impact on the fair value of its investment portfolio. Increases or decreases in interest rates could have a material impact on interest earnings related to new investments during the period.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36" w:name="page137"/>
    <w:bookmarkEnd w:id="136"/>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jc w:val="both"/>
        <w:ind w:left="1560"/>
        <w:spacing w:after="0" w:line="261" w:lineRule="auto"/>
        <w:rPr>
          <w:sz w:val="20"/>
          <w:szCs w:val="20"/>
          <w:color w:val="auto"/>
        </w:rPr>
      </w:pPr>
      <w:r>
        <w:rPr>
          <w:rFonts w:ascii="Times New Roman" w:cs="Times New Roman" w:eastAsia="Times New Roman" w:hAnsi="Times New Roman"/>
          <w:sz w:val="18"/>
          <w:szCs w:val="18"/>
          <w:color w:val="auto"/>
        </w:rPr>
        <w:t>The trade receivables of the Company and its subsidiaries are mainly derived from sales to customers located in the United States, Europe, the Middle East, Africa and Asia Pacific. The Company performs ongoing credit evaluations of its customers. In certain circumstances, the Company may require from its customers letters of credit, other collateral or additional guarantees. An allowance for doubtful accounts is determined with respect to those amounts that the Company has determined to be doubtful of collection.</w:t>
      </w:r>
    </w:p>
    <w:p>
      <w:pPr>
        <w:spacing w:after="0" w:line="180" w:lineRule="exact"/>
        <w:rPr>
          <w:sz w:val="20"/>
          <w:szCs w:val="20"/>
          <w:color w:val="auto"/>
        </w:rPr>
      </w:pPr>
    </w:p>
    <w:p>
      <w:pPr>
        <w:jc w:val="both"/>
        <w:ind w:left="1560"/>
        <w:spacing w:after="0" w:line="282" w:lineRule="auto"/>
        <w:rPr>
          <w:sz w:val="20"/>
          <w:szCs w:val="20"/>
          <w:color w:val="auto"/>
        </w:rPr>
      </w:pPr>
      <w:r>
        <w:rPr>
          <w:rFonts w:ascii="Times New Roman" w:cs="Times New Roman" w:eastAsia="Times New Roman" w:hAnsi="Times New Roman"/>
          <w:sz w:val="18"/>
          <w:szCs w:val="18"/>
          <w:color w:val="auto"/>
        </w:rPr>
        <w:t>Historically, the Company has not recorded allowance for doubtful accounts, however certain immaterial bad debt expenses amounted to $21, $216 and $97 was recorded for the years ended December 31, 2015, 2016 and 2017 respectively.</w:t>
      </w:r>
    </w:p>
    <w:p>
      <w:pPr>
        <w:spacing w:after="0" w:line="162" w:lineRule="exact"/>
        <w:rPr>
          <w:sz w:val="20"/>
          <w:szCs w:val="20"/>
          <w:color w:val="auto"/>
        </w:rPr>
      </w:pPr>
    </w:p>
    <w:p>
      <w:pPr>
        <w:ind w:left="1560" w:hanging="647"/>
        <w:spacing w:after="0"/>
        <w:tabs>
          <w:tab w:leader="none" w:pos="15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w:t>
      </w:r>
    </w:p>
    <w:p>
      <w:pPr>
        <w:spacing w:after="0" w:line="225" w:lineRule="exact"/>
        <w:rPr>
          <w:rFonts w:ascii="Times New Roman" w:cs="Times New Roman" w:eastAsia="Times New Roman" w:hAnsi="Times New Roman"/>
          <w:sz w:val="18"/>
          <w:szCs w:val="18"/>
          <w:color w:val="auto"/>
        </w:rPr>
      </w:pPr>
    </w:p>
    <w:p>
      <w:pPr>
        <w:jc w:val="both"/>
        <w:ind w:left="15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 the severance liabilities in respect of those employees. Neither severance pay liability nor severance pay fund under Section 14 for such employees is recorded on the Company’s balance sheet.</w:t>
      </w:r>
    </w:p>
    <w:p>
      <w:pPr>
        <w:spacing w:after="0" w:line="183" w:lineRule="exact"/>
        <w:rPr>
          <w:rFonts w:ascii="Times New Roman" w:cs="Times New Roman" w:eastAsia="Times New Roman" w:hAnsi="Times New Roman"/>
          <w:sz w:val="18"/>
          <w:szCs w:val="18"/>
          <w:color w:val="auto"/>
        </w:rPr>
      </w:pPr>
    </w:p>
    <w:p>
      <w:pPr>
        <w:jc w:val="both"/>
        <w:ind w:left="15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one-month salary for each year of employment or a portion thereof. The Company’s liability for these employees is fully provided for via monthly deposits with severance pay funds, insurance policies and an accrual. The value of these deposits is recorded as an asset with other assets on the Company’s balance sheet.</w:t>
      </w:r>
    </w:p>
    <w:p>
      <w:pPr>
        <w:spacing w:after="0" w:line="183" w:lineRule="exact"/>
        <w:rPr>
          <w:rFonts w:ascii="Times New Roman" w:cs="Times New Roman" w:eastAsia="Times New Roman" w:hAnsi="Times New Roman"/>
          <w:sz w:val="18"/>
          <w:szCs w:val="18"/>
          <w:color w:val="auto"/>
        </w:rPr>
      </w:pPr>
    </w:p>
    <w:p>
      <w:pPr>
        <w:ind w:left="1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deposited funds include profits accumulated up to the balance sheet date. The deposited funds may be withdrawn only upon the fulfillment of the obligation pursuant to the Severance Pay Law or labor agreements.</w:t>
      </w:r>
    </w:p>
    <w:p>
      <w:pPr>
        <w:spacing w:after="0" w:line="16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 expenses for the years ended December 31, 2015, 2016 and 2017 were $1,354, $1,590 and $2,088 respectively.</w:t>
      </w:r>
    </w:p>
    <w:p>
      <w:pPr>
        <w:spacing w:after="0" w:line="225"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financial instruments:</w:t>
      </w:r>
    </w:p>
    <w:p>
      <w:pPr>
        <w:spacing w:after="0" w:line="225" w:lineRule="exact"/>
        <w:rPr>
          <w:rFonts w:ascii="Times New Roman" w:cs="Times New Roman" w:eastAsia="Times New Roman" w:hAnsi="Times New Roman"/>
          <w:sz w:val="18"/>
          <w:szCs w:val="18"/>
          <w:color w:val="auto"/>
        </w:rPr>
      </w:pPr>
    </w:p>
    <w:p>
      <w:pPr>
        <w:ind w:left="15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applies ASC No. 820 Under this standard, fair value is defined as the price that would be received to sell an asset or paid to transfer a liability (i.e., the “exit price”) in an orderly transaction between market participants at the measurement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37" w:name="page138"/>
    <w:bookmarkEnd w:id="137"/>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jc w:val="both"/>
        <w:ind w:left="1560"/>
        <w:spacing w:after="0" w:line="256" w:lineRule="auto"/>
        <w:rPr>
          <w:sz w:val="20"/>
          <w:szCs w:val="20"/>
          <w:color w:val="auto"/>
        </w:rPr>
      </w:pPr>
      <w:r>
        <w:rPr>
          <w:rFonts w:ascii="Times New Roman" w:cs="Times New Roman" w:eastAsia="Times New Roman" w:hAnsi="Times New Roman"/>
          <w:sz w:val="18"/>
          <w:szCs w:val="18"/>
          <w:color w:val="auto"/>
        </w:rPr>
        <w:t>In determining fair value, the Company uses various valuation approaches. ASC No.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8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The hierarchy is broken down into three levels based on the inputs as follows:</w:t>
      </w:r>
    </w:p>
    <w:p>
      <w:pPr>
        <w:sectPr>
          <w:pgSz w:w="11900" w:h="16838" w:orient="portrait"/>
          <w:cols w:equalWidth="0" w:num="1">
            <w:col w:w="11420"/>
          </w:cols>
          <w:pgMar w:left="240" w:top="220" w:right="239" w:bottom="1440" w:gutter="0" w:footer="0" w:header="0"/>
        </w:sectPr>
      </w:pP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Level 1 -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Valuations based on quoted prices (unadjusted) in active markets for identical assets or liabilities that the Company can access at the measurement date.</w:t>
      </w:r>
    </w:p>
    <w:p>
      <w:pPr>
        <w:spacing w:after="0" w:line="162" w:lineRule="exact"/>
        <w:rPr>
          <w:sz w:val="20"/>
          <w:szCs w:val="20"/>
          <w:color w:val="auto"/>
        </w:rPr>
      </w:pPr>
    </w:p>
    <w:p>
      <w:pPr>
        <w:sectPr>
          <w:pgSz w:w="11900" w:h="16838" w:orient="portrait"/>
          <w:cols w:equalWidth="0" w:num="2">
            <w:col w:w="2220" w:space="660"/>
            <w:col w:w="8540"/>
          </w:cols>
          <w:pgMar w:left="240" w:top="220" w:right="23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8"/>
          <w:szCs w:val="18"/>
          <w:color w:val="auto"/>
        </w:rPr>
        <w:t>Level 2 -</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Valuations based on one or more quoted prices in markets that are not active or for which all significant inputs are observable, either directly or indirectly.</w:t>
      </w:r>
    </w:p>
    <w:p>
      <w:pPr>
        <w:spacing w:after="0" w:line="162" w:lineRule="exact"/>
        <w:rPr>
          <w:sz w:val="20"/>
          <w:szCs w:val="20"/>
          <w:color w:val="auto"/>
        </w:rPr>
      </w:pPr>
    </w:p>
    <w:p>
      <w:pPr>
        <w:sectPr>
          <w:pgSz w:w="11900" w:h="16838" w:orient="portrait"/>
          <w:cols w:equalWidth="0" w:num="2">
            <w:col w:w="2220" w:space="660"/>
            <w:col w:w="8540"/>
          </w:cols>
          <w:pgMar w:left="240" w:top="220" w:right="23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8"/>
          <w:szCs w:val="18"/>
          <w:color w:val="auto"/>
        </w:rPr>
        <w:t>Level 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Valuations based on inputs that are unobservable and significant to the overall fair value measurement.</w:t>
      </w:r>
    </w:p>
    <w:p>
      <w:pPr>
        <w:spacing w:after="0" w:line="211" w:lineRule="exact"/>
        <w:rPr>
          <w:sz w:val="20"/>
          <w:szCs w:val="20"/>
          <w:color w:val="auto"/>
        </w:rPr>
      </w:pPr>
    </w:p>
    <w:p>
      <w:pPr>
        <w:sectPr>
          <w:pgSz w:w="11900" w:h="16838" w:orient="portrait"/>
          <w:cols w:equalWidth="0" w:num="2">
            <w:col w:w="2220" w:space="660"/>
            <w:col w:w="8540"/>
          </w:cols>
          <w:pgMar w:left="240" w:top="220" w:right="239" w:bottom="1440" w:gutter="0" w:footer="0" w:header="0"/>
          <w:type w:val="continuous"/>
        </w:sectPr>
      </w:pPr>
    </w:p>
    <w:p>
      <w:pPr>
        <w:spacing w:after="0" w:line="160" w:lineRule="exact"/>
        <w:rPr>
          <w:sz w:val="20"/>
          <w:szCs w:val="20"/>
          <w:color w:val="auto"/>
        </w:rPr>
      </w:pPr>
    </w:p>
    <w:p>
      <w:pPr>
        <w:jc w:val="both"/>
        <w:ind w:left="1560"/>
        <w:spacing w:after="0" w:line="282"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 the use of unobservable inputs when measuring fair value.</w:t>
      </w:r>
    </w:p>
    <w:p>
      <w:pPr>
        <w:spacing w:after="0" w:line="162" w:lineRule="exact"/>
        <w:rPr>
          <w:sz w:val="20"/>
          <w:szCs w:val="20"/>
          <w:color w:val="auto"/>
        </w:rPr>
      </w:pPr>
    </w:p>
    <w:p>
      <w:pPr>
        <w:jc w:val="both"/>
        <w:ind w:left="1560"/>
        <w:spacing w:after="0" w:line="282" w:lineRule="auto"/>
        <w:rPr>
          <w:sz w:val="20"/>
          <w:szCs w:val="20"/>
          <w:color w:val="auto"/>
        </w:rPr>
      </w:pPr>
      <w:r>
        <w:rPr>
          <w:rFonts w:ascii="Times New Roman" w:cs="Times New Roman" w:eastAsia="Times New Roman" w:hAnsi="Times New Roman"/>
          <w:sz w:val="18"/>
          <w:szCs w:val="18"/>
          <w:color w:val="auto"/>
        </w:rPr>
        <w:t>The carrying amount of cash, cash equivalents, short term bank deposits, trade receivables, other accounts receivable, trade payables and other accounts payable and accrued expenses approximates their fair value due to the short-term maturities of such instruments.</w:t>
      </w:r>
    </w:p>
    <w:p>
      <w:pPr>
        <w:spacing w:after="0" w:line="162" w:lineRule="exact"/>
        <w:rPr>
          <w:sz w:val="20"/>
          <w:szCs w:val="20"/>
          <w:color w:val="auto"/>
        </w:rPr>
      </w:pPr>
    </w:p>
    <w:p>
      <w:pPr>
        <w:jc w:val="both"/>
        <w:ind w:left="1560"/>
        <w:spacing w:after="0" w:line="266" w:lineRule="auto"/>
        <w:rPr>
          <w:sz w:val="20"/>
          <w:szCs w:val="20"/>
          <w:color w:val="auto"/>
        </w:rPr>
      </w:pPr>
      <w:r>
        <w:rPr>
          <w:rFonts w:ascii="Times New Roman" w:cs="Times New Roman" w:eastAsia="Times New Roman" w:hAnsi="Times New Roman"/>
          <w:sz w:val="18"/>
          <w:szCs w:val="18"/>
          <w:color w:val="auto"/>
        </w:rPr>
        <w:t>The Company measures its marketable securities and foreign currency derivative instruments at fair value. Marketable securities and foreign currency derivative instruments are classified within Level 2 as the valuation inputs are based on quoted prices and market observable data of similar instruments.</w:t>
      </w:r>
    </w:p>
    <w:p>
      <w:pPr>
        <w:spacing w:after="0" w:line="176" w:lineRule="exact"/>
        <w:rPr>
          <w:sz w:val="20"/>
          <w:szCs w:val="20"/>
          <w:color w:val="auto"/>
        </w:rPr>
      </w:pPr>
    </w:p>
    <w:p>
      <w:pPr>
        <w:jc w:val="both"/>
        <w:ind w:left="1560"/>
        <w:spacing w:after="0" w:line="282" w:lineRule="auto"/>
        <w:rPr>
          <w:sz w:val="20"/>
          <w:szCs w:val="20"/>
          <w:color w:val="auto"/>
        </w:rPr>
      </w:pPr>
      <w:r>
        <w:rPr>
          <w:rFonts w:ascii="Times New Roman" w:cs="Times New Roman" w:eastAsia="Times New Roman" w:hAnsi="Times New Roman"/>
          <w:sz w:val="18"/>
          <w:szCs w:val="18"/>
          <w:color w:val="auto"/>
        </w:rPr>
        <w:t>The contingent payment related to the SPSI acquisition is classified within Level 3 as it is based on significant inputs not observable in the market.</w:t>
      </w:r>
    </w:p>
    <w:p>
      <w:pPr>
        <w:spacing w:after="0" w:line="162" w:lineRule="exact"/>
        <w:rPr>
          <w:sz w:val="20"/>
          <w:szCs w:val="20"/>
          <w:color w:val="auto"/>
        </w:rPr>
      </w:pPr>
    </w:p>
    <w:p>
      <w:pPr>
        <w:ind w:left="1560" w:hanging="647"/>
        <w:spacing w:after="0"/>
        <w:tabs>
          <w:tab w:leader="none" w:pos="15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income:</w:t>
      </w:r>
    </w:p>
    <w:p>
      <w:pPr>
        <w:spacing w:after="0" w:line="225" w:lineRule="exact"/>
        <w:rPr>
          <w:rFonts w:ascii="Times New Roman" w:cs="Times New Roman" w:eastAsia="Times New Roman" w:hAnsi="Times New Roman"/>
          <w:sz w:val="18"/>
          <w:szCs w:val="18"/>
          <w:color w:val="auto"/>
        </w:rPr>
      </w:pPr>
    </w:p>
    <w:p>
      <w:pPr>
        <w:jc w:val="both"/>
        <w:ind w:left="15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comprehensive income in accordance with FASB ASC No. 220, “Comprehensive Income.” Comprehensive income generally represents all changes in shareholders’ equity during the period except those resulting from investments by, or distributions to, shareholders. The Company determined that its items of other comprehensive income relate to gains and losses on hedging derivative instruments, unrealized gains and losses on available-for-sale securities and unrealized gain and losses from foreign currency translation adjustments.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38" w:name="page139"/>
    <w:bookmarkEnd w:id="138"/>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560" w:hanging="647"/>
        <w:spacing w:after="0"/>
        <w:tabs>
          <w:tab w:leader="none" w:pos="15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income per share:</w:t>
      </w:r>
    </w:p>
    <w:p>
      <w:pPr>
        <w:spacing w:after="0" w:line="225" w:lineRule="exact"/>
        <w:rPr>
          <w:rFonts w:ascii="Times New Roman" w:cs="Times New Roman" w:eastAsia="Times New Roman" w:hAnsi="Times New Roman"/>
          <w:sz w:val="18"/>
          <w:szCs w:val="18"/>
          <w:color w:val="auto"/>
        </w:rPr>
      </w:pPr>
    </w:p>
    <w:p>
      <w:pPr>
        <w:jc w:val="both"/>
        <w:ind w:left="15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per share is computed based on the weighted average number of ordinary shares outstanding during each period. Diluted net income per share is computed based on the weighted average number of ordinary shares outstanding during each period, plus dilutive potential ordinary shares considered outstanding during the period, in accordance with ASC No. 260, “Earnings Per Share”.</w:t>
      </w:r>
    </w:p>
    <w:p>
      <w:pPr>
        <w:spacing w:after="0" w:line="400" w:lineRule="exact"/>
        <w:rPr>
          <w:sz w:val="20"/>
          <w:szCs w:val="20"/>
          <w:color w:val="auto"/>
        </w:rPr>
      </w:pPr>
    </w:p>
    <w:p>
      <w:pPr>
        <w:jc w:val="both"/>
        <w:ind w:left="15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2017, all outstanding options and RSU’s have been excluded from the calculation of the diluted earnings per share since their effect was anti-dilutive. The total number of shares related to the outstanding options and RSU’s excluded from the calculation of diluted net earnings per share due to their anti-dilutive effect was 762,152 and 1,498,503 for the years ended December 31, 2015 and 2016, respectively.</w:t>
      </w:r>
    </w:p>
    <w:p>
      <w:pPr>
        <w:spacing w:after="0" w:line="180" w:lineRule="exact"/>
        <w:rPr>
          <w:sz w:val="20"/>
          <w:szCs w:val="20"/>
          <w:color w:val="auto"/>
        </w:rPr>
      </w:pPr>
    </w:p>
    <w:p>
      <w:pPr>
        <w:ind w:left="1560" w:hanging="647"/>
        <w:spacing w:after="0"/>
        <w:tabs>
          <w:tab w:leader="none" w:pos="15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recently issued accounting standard:</w:t>
      </w:r>
    </w:p>
    <w:p>
      <w:pPr>
        <w:spacing w:after="0" w:line="225" w:lineRule="exact"/>
        <w:rPr>
          <w:rFonts w:ascii="Times New Roman" w:cs="Times New Roman" w:eastAsia="Times New Roman" w:hAnsi="Times New Roman"/>
          <w:sz w:val="18"/>
          <w:szCs w:val="18"/>
          <w:color w:val="auto"/>
        </w:rPr>
      </w:pPr>
    </w:p>
    <w:p>
      <w:pPr>
        <w:jc w:val="both"/>
        <w:ind w:left="2200" w:hanging="639"/>
        <w:spacing w:after="0" w:line="253" w:lineRule="auto"/>
        <w:tabs>
          <w:tab w:leader="none" w:pos="22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2014, and in following related amendments, the FASB issued a new comprehensive revenue recognition guidance on revenue from contracts with customers (hereinafter “the Standard”) that will supersede the current revenue recognition guidance. The Standard provides a unified model (five-step analysis of transactions) to determine when and how revenue is recognized. The core principle of the Standard is that an entity should recognize revenue to depict the transfer of promised goods or services to customers in an amount that reflects the consideration to which the entity expects to be entitled in exchange for those goods or services. Under the new standard, a good or service is transferred to the customer when (or as) the customer obtains control of the good or service, which differs from the risk and rewards approach under current guidance. Other major provisions include capitalization of certain contract costs, consideration of the time value of money in the transaction price and allowing estimates of variable consideration to be recognized before contingencies are resolved in certain circumstances. The Standard is effective for annual reporting periods beginning after December 15, 2017, including interim periods within that reporting period. This Standard may be applied retrospectively to each prior period presented or retrospectively with the cumulative effect recognized in retained earnings as of the date of adoption.</w:t>
      </w:r>
    </w:p>
    <w:p>
      <w:pPr>
        <w:spacing w:after="0" w:line="190" w:lineRule="exact"/>
        <w:rPr>
          <w:rFonts w:ascii="Times New Roman" w:cs="Times New Roman" w:eastAsia="Times New Roman" w:hAnsi="Times New Roman"/>
          <w:sz w:val="18"/>
          <w:szCs w:val="18"/>
          <w:color w:val="auto"/>
        </w:rPr>
      </w:pPr>
    </w:p>
    <w:p>
      <w:pPr>
        <w:jc w:val="both"/>
        <w:ind w:left="2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adopt the Standard using the modified retrospective approach in the first quarter of fiscal 2018. The Company has completed its evaluation of the Standard and does not expect a material change in its pattern of revenue recognition.</w:t>
      </w:r>
    </w:p>
    <w:p>
      <w:pPr>
        <w:spacing w:after="0" w:line="176" w:lineRule="exact"/>
        <w:rPr>
          <w:rFonts w:ascii="Times New Roman" w:cs="Times New Roman" w:eastAsia="Times New Roman" w:hAnsi="Times New Roman"/>
          <w:sz w:val="18"/>
          <w:szCs w:val="18"/>
          <w:color w:val="auto"/>
        </w:rPr>
      </w:pPr>
    </w:p>
    <w:p>
      <w:pPr>
        <w:jc w:val="both"/>
        <w:ind w:left="2200" w:hanging="639"/>
        <w:spacing w:after="0" w:line="254" w:lineRule="auto"/>
        <w:tabs>
          <w:tab w:leader="none" w:pos="22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2016, the FASB issued ASU 2016-02, “Leases” (Topic 842), whereby, lessees will be required to recognize for all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A modified retrospective transition approach for leases existing at, or entered into after, the beginning of the earliest comparative period presented in the financial statements must be applied. The modified retrospective approach would not require any transition accounting for leases that expired before the earliest comparative period presented. Companies may not apply a full retrospective transition approach. ASU 2016-02 is effective for annual and interim periods beginning after December 15, 2018. Early application is permitted. The Company is evaluating the potential impact of this pronouncement.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39" w:name="page140"/>
    <w:bookmarkEnd w:id="139"/>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jc w:val="both"/>
        <w:ind w:left="2200" w:hanging="639"/>
        <w:spacing w:after="0" w:line="256" w:lineRule="auto"/>
        <w:tabs>
          <w:tab w:leader="none" w:pos="22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2016, the FASB issued Accounting Standards Update No. 2016-13 (ASU 2016-13) “Financial Instruments-Credit Losses (Topic 326): Measurement of Credit Losses on Financial Instruments” which requires the measurement and recognition of expected credit losses for financial assets held at amortized cost. ASU 2016-13 replaces the existing incurred loss impairment model with an expected loss methodology, which will result in more timely recognition of credit losses. ASU 2016-13 is effective for annual reporting periods, and interim periods within those years, beginning after December 15, 2019. The Company is evaluating the potential impact of this pronouncement.</w:t>
      </w:r>
    </w:p>
    <w:p>
      <w:pPr>
        <w:spacing w:after="0" w:line="187" w:lineRule="exact"/>
        <w:rPr>
          <w:rFonts w:ascii="Times New Roman" w:cs="Times New Roman" w:eastAsia="Times New Roman" w:hAnsi="Times New Roman"/>
          <w:sz w:val="18"/>
          <w:szCs w:val="18"/>
          <w:color w:val="auto"/>
        </w:rPr>
      </w:pPr>
    </w:p>
    <w:p>
      <w:pPr>
        <w:jc w:val="both"/>
        <w:ind w:left="2200" w:hanging="639"/>
        <w:spacing w:after="0" w:line="258" w:lineRule="auto"/>
        <w:tabs>
          <w:tab w:leader="none" w:pos="22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2016, the FASB issued Accounting Standards Update No. 2016-16, Income Taxes (Topic 740): Intra-Entity Transfers Other than Inventory (ASU 2016-16), which requires the recognition of the income tax consequences of an intra-entity transfer of an asset, other than inventory, when the transfer occurs. This ASU will be effective for annual and interim reporting periods beginning after December 15, 2017 and is to be applied on a modified retrospective basis. The adoption of this standard will not have a material impact on the Consolidated Financial Statements.</w:t>
      </w:r>
    </w:p>
    <w:p>
      <w:pPr>
        <w:spacing w:after="0" w:line="183" w:lineRule="exact"/>
        <w:rPr>
          <w:rFonts w:ascii="Times New Roman" w:cs="Times New Roman" w:eastAsia="Times New Roman" w:hAnsi="Times New Roman"/>
          <w:sz w:val="18"/>
          <w:szCs w:val="18"/>
          <w:color w:val="auto"/>
        </w:rPr>
      </w:pPr>
    </w:p>
    <w:p>
      <w:pPr>
        <w:jc w:val="both"/>
        <w:ind w:left="2200" w:hanging="639"/>
        <w:spacing w:after="0" w:line="255" w:lineRule="auto"/>
        <w:tabs>
          <w:tab w:leader="none" w:pos="22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2017, the FASB issued Accounting Standards Update No. 2017-04 (ASU 2017-04) “Intangibles-Goodwill and Other (Topic 350): Simplifying the Test for Goodwill Impairment.” ASU 2017-04 eliminates step two of the goodwill impairment test and specifies that goodwill impairment should be measured by comparing the fair value of a reporting unit with its carrying amount. Additionally, the amount of goodwill allocated to each reporting unit with a zero or negative carrying amount of net assets should be disclosed. ASU 2017-04 is effective for annual or interim goodwill impairment tests performed in fiscal years beginning after December 15, 2019; early adoption is permitted. The Company does not expect that this new guidance will have a material impact on the Company’s Consolidated Financial Statements.</w:t>
      </w:r>
    </w:p>
    <w:p>
      <w:pPr>
        <w:spacing w:after="0" w:line="189" w:lineRule="exact"/>
        <w:rPr>
          <w:rFonts w:ascii="Times New Roman" w:cs="Times New Roman" w:eastAsia="Times New Roman" w:hAnsi="Times New Roman"/>
          <w:sz w:val="18"/>
          <w:szCs w:val="18"/>
          <w:color w:val="auto"/>
        </w:rPr>
      </w:pPr>
    </w:p>
    <w:p>
      <w:pPr>
        <w:jc w:val="both"/>
        <w:ind w:left="2200" w:hanging="639"/>
        <w:spacing w:after="0" w:line="255" w:lineRule="auto"/>
        <w:tabs>
          <w:tab w:leader="none" w:pos="22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2017, the FASB issued Accounting Standards Update No. 2017-01 (ASU 2017-01) “Business Combinations (Topic 805): Clarifying the Definition of a Business.” ASU 2017-01 provides guidance to evaluate whether transactions should be accounted for as acquisitions (or disposals) of assets or businesses. If substantially all of the fair value of the gross assets acquired (or disposed of) is concentrated in a single asset or a group of similar assets, the assets acquired (or disposed of) are not considered a business. The guidance is effective for public companies for fiscal years beginning after December 15, 2017, including interim periods within those periods. The Company expects no material impact on its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40" w:name="page141"/>
    <w:bookmarkEnd w:id="140"/>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jc w:val="both"/>
        <w:ind w:left="2200" w:hanging="639"/>
        <w:spacing w:after="0" w:line="256" w:lineRule="auto"/>
        <w:tabs>
          <w:tab w:leader="none" w:pos="22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2017, the FASB issued ASU No. 2017-12 (Topic 815) Derivatives and Hedging — Targeted Improvements to Accounting for Hedging Activities, which expands an entity’s ability to hedge financial and nonfinancial risk components and amends how companies assess effectiveness as well as changes the presentation and disclosure requirements. The new standard is to be applied on a modified retrospective basis and is effective for interim and annual periods beginning after December 15, 2018, with early adoption permitted. The Company is currently evaluating the impact of adoption on the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w:t>
      </w:r>
    </w:p>
    <w:p>
      <w:pPr>
        <w:spacing w:after="0" w:line="229"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On July 1, 2016 (the “Closing Date”), the Company, through its wholly owned subsidiary Kornit Digital North America Inc., acquired the digital direct to garment printing assets of SPSI Inc., a North American distributor and service provider for graphic arts, printing and garment decoration solutions. Under the related acquisition agreement, the total consideration of $11,443 is composed as follows:</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$9,206 in cash paid on the Closing Date, of which $741 was held in escrow for twelve to eighteen months following the Closing Date.</w:t>
      </w:r>
    </w:p>
    <w:p>
      <w:pPr>
        <w:spacing w:after="0" w:line="225"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18"/>
          <w:szCs w:val="18"/>
          <w:color w:val="auto"/>
        </w:rPr>
        <w:t>Milestone-based contingent payments in a total of up to $2,700 payable in 2016, 2017 and 2018. The milestone-based contingent payments are subject to the acquired business territory meeting revenues targets in 2016, 2017 and 2018 as described at the asset purchase agreement. These milestone-based contingent payments were measured at fair value at the Closing Date and recorded as a liability on the balance sheet in the amount of $2,237 ($2,470 and $1,234 as of December 31, 2016 and 2017, respectively).</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 addition, the Company incurred acquisition-related costs in a total amount of $493, which are included in general and administrative expenses.</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Acquisition-related costs include legal, accounting, consulting fees and other external costs directly related to the acquisition.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41" w:name="page142"/>
    <w:bookmarkEnd w:id="141"/>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6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The following is a summary of marketable securities: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5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5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gain</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00" w:type="dxa"/>
            <w:vAlign w:val="bottom"/>
          </w:tcPr>
          <w:p>
            <w:pPr>
              <w:spacing w:after="0"/>
              <w:rPr>
                <w:sz w:val="21"/>
                <w:szCs w:val="21"/>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432"/>
        </w:trPr>
        <w:tc>
          <w:tcPr>
            <w:tcW w:w="56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Matures within one year:</w:t>
            </w:r>
          </w:p>
        </w:tc>
        <w:tc>
          <w:tcPr>
            <w:tcW w:w="9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6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Corporate debentures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5,231</w:t>
            </w:r>
          </w:p>
        </w:tc>
        <w:tc>
          <w:tcPr>
            <w:tcW w:w="80" w:type="dxa"/>
            <w:vAlign w:val="bottom"/>
            <w:shd w:val="clear" w:color="auto" w:fill="CCEEFF"/>
          </w:tcPr>
          <w:p>
            <w:pPr>
              <w:spacing w:after="0"/>
              <w:rPr>
                <w:sz w:val="18"/>
                <w:szCs w:val="18"/>
                <w:color w:val="auto"/>
              </w:rPr>
            </w:pPr>
          </w:p>
        </w:tc>
      </w:tr>
      <w:tr>
        <w:trPr>
          <w:trHeight w:val="237"/>
        </w:trPr>
        <w:tc>
          <w:tcPr>
            <w:tcW w:w="56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Government debentures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20"/>
                <w:szCs w:val="20"/>
                <w:color w:val="auto"/>
              </w:rPr>
            </w:pPr>
          </w:p>
        </w:tc>
      </w:tr>
      <w:tr>
        <w:trPr>
          <w:trHeight w:val="223"/>
        </w:trPr>
        <w:tc>
          <w:tcPr>
            <w:tcW w:w="56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Matures after one year through three years: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Corporate debentures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56,514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56,449</w:t>
            </w:r>
          </w:p>
        </w:tc>
        <w:tc>
          <w:tcPr>
            <w:tcW w:w="80" w:type="dxa"/>
            <w:vAlign w:val="bottom"/>
          </w:tcPr>
          <w:p>
            <w:pPr>
              <w:spacing w:after="0"/>
              <w:rPr>
                <w:sz w:val="18"/>
                <w:szCs w:val="18"/>
                <w:color w:val="auto"/>
              </w:rPr>
            </w:pPr>
          </w:p>
        </w:tc>
      </w:tr>
      <w:tr>
        <w:trPr>
          <w:trHeight w:val="250"/>
        </w:trPr>
        <w:tc>
          <w:tcPr>
            <w:tcW w:w="56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Government debentures</w:t>
            </w: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12,403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12,386</w:t>
            </w:r>
          </w:p>
        </w:tc>
        <w:tc>
          <w:tcPr>
            <w:tcW w:w="80" w:type="dxa"/>
            <w:vAlign w:val="bottom"/>
            <w:shd w:val="clear" w:color="auto" w:fill="CCEEFF"/>
          </w:tcPr>
          <w:p>
            <w:pPr>
              <w:spacing w:after="0"/>
              <w:rPr>
                <w:sz w:val="21"/>
                <w:szCs w:val="21"/>
                <w:color w:val="auto"/>
              </w:rPr>
            </w:pPr>
          </w:p>
        </w:tc>
      </w:tr>
      <w:tr>
        <w:trPr>
          <w:trHeight w:val="210"/>
        </w:trPr>
        <w:tc>
          <w:tcPr>
            <w:tcW w:w="568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68,917</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68,835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56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74,402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line="256" w:lineRule="exact"/>
              <w:rPr>
                <w:sz w:val="20"/>
                <w:szCs w:val="20"/>
                <w:color w:val="auto"/>
              </w:rPr>
            </w:pPr>
            <w:r>
              <w:rPr>
                <w:rFonts w:ascii="Times New Roman" w:cs="Times New Roman" w:eastAsia="Times New Roman" w:hAnsi="Times New Roman"/>
                <w:sz w:val="16"/>
                <w:szCs w:val="16"/>
                <w:color w:val="auto"/>
              </w:rPr>
              <w:t>(82</w:t>
            </w:r>
            <w:r>
              <w:rPr>
                <w:rFonts w:ascii="Times New Roman" w:cs="Times New Roman" w:eastAsia="Times New Roman" w:hAnsi="Times New Roman"/>
                <w:sz w:val="29"/>
                <w:szCs w:val="29"/>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74,372</w:t>
            </w:r>
          </w:p>
        </w:tc>
        <w:tc>
          <w:tcPr>
            <w:tcW w:w="80" w:type="dxa"/>
            <w:vAlign w:val="bottom"/>
          </w:tcPr>
          <w:p>
            <w:pPr>
              <w:spacing w:after="0"/>
              <w:rPr>
                <w:sz w:val="22"/>
                <w:szCs w:val="22"/>
                <w:color w:val="auto"/>
              </w:rPr>
            </w:pPr>
          </w:p>
        </w:tc>
      </w:tr>
      <w:tr>
        <w:trPr>
          <w:trHeight w:val="21"/>
        </w:trPr>
        <w:tc>
          <w:tcPr>
            <w:tcW w:w="5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5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gain</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00" w:type="dxa"/>
            <w:vAlign w:val="bottom"/>
          </w:tcPr>
          <w:p>
            <w:pPr>
              <w:spacing w:after="0"/>
              <w:rPr>
                <w:sz w:val="21"/>
                <w:szCs w:val="21"/>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432"/>
        </w:trPr>
        <w:tc>
          <w:tcPr>
            <w:tcW w:w="56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Matures within one year:</w:t>
            </w:r>
          </w:p>
        </w:tc>
        <w:tc>
          <w:tcPr>
            <w:tcW w:w="9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6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Corporate debentures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16,500</w:t>
            </w: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Matures after one year through three years: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56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Corporate debentures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21,724</w:t>
            </w:r>
          </w:p>
        </w:tc>
        <w:tc>
          <w:tcPr>
            <w:tcW w:w="80" w:type="dxa"/>
            <w:vAlign w:val="bottom"/>
          </w:tcPr>
          <w:p>
            <w:pPr>
              <w:spacing w:after="0"/>
              <w:rPr>
                <w:sz w:val="20"/>
                <w:szCs w:val="20"/>
                <w:color w:val="auto"/>
              </w:rPr>
            </w:pPr>
          </w:p>
        </w:tc>
      </w:tr>
      <w:tr>
        <w:trPr>
          <w:trHeight w:val="216"/>
        </w:trPr>
        <w:tc>
          <w:tcPr>
            <w:tcW w:w="56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56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38,324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line="256" w:lineRule="exact"/>
              <w:rPr>
                <w:sz w:val="20"/>
                <w:szCs w:val="20"/>
                <w:color w:val="auto"/>
              </w:rPr>
            </w:pPr>
            <w:r>
              <w:rPr>
                <w:rFonts w:ascii="Times New Roman" w:cs="Times New Roman" w:eastAsia="Times New Roman" w:hAnsi="Times New Roman"/>
                <w:sz w:val="16"/>
                <w:szCs w:val="16"/>
                <w:color w:val="auto"/>
              </w:rPr>
              <w:t>(107</w:t>
            </w:r>
            <w:r>
              <w:rPr>
                <w:rFonts w:ascii="Times New Roman" w:cs="Times New Roman" w:eastAsia="Times New Roman" w:hAnsi="Times New Roman"/>
                <w:sz w:val="29"/>
                <w:szCs w:val="29"/>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38,224</w:t>
            </w:r>
          </w:p>
        </w:tc>
        <w:tc>
          <w:tcPr>
            <w:tcW w:w="80" w:type="dxa"/>
            <w:vAlign w:val="bottom"/>
          </w:tcPr>
          <w:p>
            <w:pPr>
              <w:spacing w:after="0"/>
              <w:rPr>
                <w:sz w:val="22"/>
                <w:szCs w:val="22"/>
                <w:color w:val="auto"/>
              </w:rPr>
            </w:pPr>
          </w:p>
        </w:tc>
      </w:tr>
      <w:tr>
        <w:trPr>
          <w:trHeight w:val="21"/>
        </w:trPr>
        <w:tc>
          <w:tcPr>
            <w:tcW w:w="5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-4312920</wp:posOffset>
            </wp:positionV>
            <wp:extent cx="574675" cy="42881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574675" cy="4288155"/>
                    </a:xfrm>
                    <a:prstGeom prst="rect">
                      <a:avLst/>
                    </a:prstGeom>
                    <a:noFill/>
                  </pic:spPr>
                </pic:pic>
              </a:graphicData>
            </a:graphic>
          </wp:anchor>
        </w:drawing>
      </w:r>
    </w:p>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All investments with an unrealized loss as of December 31, 2017 are with continuous unrealized losses for less than 12 months.</w:t>
      </w:r>
    </w:p>
    <w:p>
      <w:pPr>
        <w:spacing w:after="0" w:line="225"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18"/>
          <w:szCs w:val="18"/>
          <w:color w:val="auto"/>
        </w:rPr>
        <w:t>The below table sets forth the Company’s assets and liabilities that were measured at fair value as of December 31, 2017 and December 31, 2016 by level within the fair value hierarchy.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42" w:name="page143"/>
    <w:bookmarkEnd w:id="142"/>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 (Cont.)</w:t>
            </w: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380" w:type="dxa"/>
            <w:vAlign w:val="bottom"/>
            <w:gridSpan w:val="4"/>
            <w:vMerge w:val="restart"/>
          </w:tcPr>
          <w:p>
            <w:pPr>
              <w:ind w:left="920"/>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380" w:type="dxa"/>
            <w:vAlign w:val="bottom"/>
            <w:gridSpan w:val="4"/>
            <w:vMerge w:val="continue"/>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80" w:type="dxa"/>
            <w:vAlign w:val="bottom"/>
            <w:gridSpan w:val="4"/>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Marketable securities</w:t>
            </w:r>
          </w:p>
        </w:tc>
        <w:tc>
          <w:tcPr>
            <w:tcW w:w="210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74,372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74,372</w:t>
            </w:r>
          </w:p>
        </w:tc>
        <w:tc>
          <w:tcPr>
            <w:tcW w:w="0" w:type="dxa"/>
            <w:vAlign w:val="bottom"/>
          </w:tcPr>
          <w:p>
            <w:pPr>
              <w:spacing w:after="0"/>
              <w:rPr>
                <w:sz w:val="1"/>
                <w:szCs w:val="1"/>
                <w:color w:val="auto"/>
              </w:rPr>
            </w:pPr>
          </w:p>
        </w:tc>
      </w:tr>
      <w:tr>
        <w:trPr>
          <w:trHeight w:val="237"/>
        </w:trPr>
        <w:tc>
          <w:tcPr>
            <w:tcW w:w="538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auto"/>
              </w:rPr>
              <w:t>Foreign currency derivative contracts</w:t>
            </w: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38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auto"/>
              </w:rPr>
              <w:t>Total financial assets</w:t>
            </w:r>
          </w:p>
        </w:tc>
        <w:tc>
          <w:tcPr>
            <w:tcW w:w="210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74,417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74,417</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380" w:type="dxa"/>
            <w:vAlign w:val="bottom"/>
            <w:gridSpan w:val="4"/>
          </w:tcPr>
          <w:p>
            <w:pPr>
              <w:ind w:left="920"/>
              <w:spacing w:after="0" w:line="176" w:lineRule="exact"/>
              <w:rPr>
                <w:sz w:val="20"/>
                <w:szCs w:val="20"/>
                <w:color w:val="auto"/>
              </w:rPr>
            </w:pPr>
            <w:r>
              <w:rPr>
                <w:rFonts w:ascii="Times New Roman" w:cs="Times New Roman" w:eastAsia="Times New Roman" w:hAnsi="Times New Roman"/>
                <w:sz w:val="18"/>
                <w:szCs w:val="18"/>
                <w:color w:val="auto"/>
              </w:rPr>
              <w:t>Liabilities:</w:t>
            </w: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gridSpan w:val="4"/>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Payment obligation related to acquisition</w:t>
            </w:r>
          </w:p>
        </w:tc>
        <w:tc>
          <w:tcPr>
            <w:tcW w:w="210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380" w:type="dxa"/>
            <w:vAlign w:val="bottom"/>
            <w:gridSpan w:val="4"/>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liabilities</w:t>
            </w:r>
          </w:p>
        </w:tc>
        <w:tc>
          <w:tcPr>
            <w:tcW w:w="210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-1894840</wp:posOffset>
            </wp:positionV>
            <wp:extent cx="574675" cy="18694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574675" cy="186944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gridSpan w:val="4"/>
            <w:vMerge w:val="restart"/>
          </w:tcPr>
          <w:p>
            <w:pPr>
              <w:ind w:left="920"/>
              <w:spacing w:after="0"/>
              <w:rPr>
                <w:sz w:val="20"/>
                <w:szCs w:val="20"/>
                <w:color w:val="auto"/>
              </w:rPr>
            </w:pPr>
            <w:r>
              <w:rPr>
                <w:rFonts w:ascii="Times New Roman" w:cs="Times New Roman" w:eastAsia="Times New Roman" w:hAnsi="Times New Roman"/>
                <w:sz w:val="18"/>
                <w:szCs w:val="18"/>
                <w:color w:val="auto"/>
              </w:rPr>
              <w:t>Assets:</w:t>
            </w:r>
          </w:p>
        </w:tc>
        <w:tc>
          <w:tcPr>
            <w:tcW w:w="1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240" w:type="dxa"/>
            <w:vAlign w:val="bottom"/>
            <w:gridSpan w:val="4"/>
            <w:vMerge w:val="continue"/>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Marketable securities</w:t>
            </w:r>
          </w:p>
        </w:tc>
        <w:tc>
          <w:tcPr>
            <w:tcW w:w="224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38,224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38,224</w:t>
            </w:r>
          </w:p>
        </w:tc>
        <w:tc>
          <w:tcPr>
            <w:tcW w:w="0" w:type="dxa"/>
            <w:vAlign w:val="bottom"/>
          </w:tcPr>
          <w:p>
            <w:pPr>
              <w:spacing w:after="0"/>
              <w:rPr>
                <w:sz w:val="1"/>
                <w:szCs w:val="1"/>
                <w:color w:val="auto"/>
              </w:rPr>
            </w:pPr>
          </w:p>
        </w:tc>
      </w:tr>
      <w:tr>
        <w:trPr>
          <w:trHeight w:val="237"/>
        </w:trPr>
        <w:tc>
          <w:tcPr>
            <w:tcW w:w="524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auto"/>
              </w:rPr>
              <w:t>Foreign currency derivative contracts</w:t>
            </w: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24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auto"/>
              </w:rPr>
              <w:t>Total financial assets</w:t>
            </w:r>
          </w:p>
        </w:tc>
        <w:tc>
          <w:tcPr>
            <w:tcW w:w="224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38,227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38,227</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40" w:type="dxa"/>
            <w:vAlign w:val="bottom"/>
            <w:gridSpan w:val="4"/>
          </w:tcPr>
          <w:p>
            <w:pPr>
              <w:ind w:left="920"/>
              <w:spacing w:after="0" w:line="176" w:lineRule="exact"/>
              <w:rPr>
                <w:sz w:val="20"/>
                <w:szCs w:val="20"/>
                <w:color w:val="auto"/>
              </w:rPr>
            </w:pPr>
            <w:r>
              <w:rPr>
                <w:rFonts w:ascii="Times New Roman" w:cs="Times New Roman" w:eastAsia="Times New Roman" w:hAnsi="Times New Roman"/>
                <w:sz w:val="18"/>
                <w:szCs w:val="18"/>
                <w:color w:val="auto"/>
              </w:rPr>
              <w:t>Liabilities:</w:t>
            </w: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gridSpan w:val="4"/>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Payment obligation related to acquisition</w:t>
            </w:r>
          </w:p>
        </w:tc>
        <w:tc>
          <w:tcPr>
            <w:tcW w:w="224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240" w:type="dxa"/>
            <w:vAlign w:val="bottom"/>
            <w:gridSpan w:val="4"/>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liabilities</w:t>
            </w:r>
          </w:p>
        </w:tc>
        <w:tc>
          <w:tcPr>
            <w:tcW w:w="224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-1894840</wp:posOffset>
            </wp:positionV>
            <wp:extent cx="574675" cy="18694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574675" cy="186944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set forth the change of fair value measurements that are categorized within Level 3:</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Total fair value as of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7543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7246620" cy="754380"/>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Settlement of payment obligation *)</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Accretion of payment obligation</w:t>
      </w:r>
    </w:p>
    <w:p>
      <w:pPr>
        <w:spacing w:after="0" w:line="2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Total fair value as of December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1" w:hanging="601"/>
        <w:spacing w:after="0"/>
        <w:tabs>
          <w:tab w:leader="none" w:pos="60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1,070</w:t>
      </w:r>
    </w:p>
    <w:p>
      <w:pPr>
        <w:spacing w:after="0" w:line="27" w:lineRule="exact"/>
        <w:rPr>
          <w:rFonts w:ascii="Times New Roman" w:cs="Times New Roman" w:eastAsia="Times New Roman" w:hAnsi="Times New Roman"/>
          <w:sz w:val="18"/>
          <w:szCs w:val="18"/>
          <w:color w:val="auto"/>
        </w:rPr>
      </w:pPr>
    </w:p>
    <w:p>
      <w:pPr>
        <w:ind w:left="68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w:t>
      </w:r>
    </w:p>
    <w:p>
      <w:pPr>
        <w:spacing w:after="0" w:line="9" w:lineRule="exact"/>
        <w:rPr>
          <w:rFonts w:ascii="Times New Roman" w:cs="Times New Roman" w:eastAsia="Times New Roman" w:hAnsi="Times New Roman"/>
          <w:sz w:val="18"/>
          <w:szCs w:val="18"/>
          <w:color w:val="auto"/>
        </w:rPr>
      </w:pPr>
    </w:p>
    <w:p>
      <w:pPr>
        <w:ind w:left="7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w:t>
      </w:r>
    </w:p>
    <w:p>
      <w:pPr>
        <w:spacing w:after="0" w:line="288" w:lineRule="exact"/>
        <w:rPr>
          <w:sz w:val="20"/>
          <w:szCs w:val="20"/>
          <w:color w:val="auto"/>
        </w:rPr>
      </w:pPr>
    </w:p>
    <w:p>
      <w:pPr>
        <w:ind w:left="741" w:hanging="741"/>
        <w:spacing w:after="0"/>
        <w:tabs>
          <w:tab w:leader="none" w:pos="74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64325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6432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79" w:space="720"/>
            <w:col w:w="1121"/>
          </w:cols>
          <w:pgMar w:left="240" w:top="220" w:right="239" w:bottom="1440" w:gutter="0" w:footer="0" w:header="0"/>
          <w:type w:val="continuous"/>
        </w:sectPr>
      </w:pPr>
    </w:p>
    <w:p>
      <w:pPr>
        <w:spacing w:after="0" w:line="93"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$900 is included within other payables and accrued expenses on the balance sheet as the set milestone was met as of December 31,</w:t>
      </w:r>
    </w:p>
    <w:p>
      <w:pPr>
        <w:spacing w:after="0" w:line="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2017.</w:t>
      </w:r>
    </w:p>
    <w:p>
      <w:pPr>
        <w:spacing w:after="0" w:line="207" w:lineRule="exact"/>
        <w:rPr>
          <w:sz w:val="20"/>
          <w:szCs w:val="20"/>
          <w:color w:val="auto"/>
        </w:rPr>
      </w:pPr>
    </w:p>
    <w:p>
      <w:pPr>
        <w:jc w:val="both"/>
        <w:ind w:left="920"/>
        <w:spacing w:after="0" w:line="255" w:lineRule="auto"/>
        <w:rPr>
          <w:sz w:val="20"/>
          <w:szCs w:val="20"/>
          <w:color w:val="auto"/>
        </w:rPr>
      </w:pPr>
      <w:r>
        <w:rPr>
          <w:rFonts w:ascii="Times New Roman" w:cs="Times New Roman" w:eastAsia="Times New Roman" w:hAnsi="Times New Roman"/>
          <w:sz w:val="18"/>
          <w:szCs w:val="18"/>
          <w:color w:val="auto"/>
        </w:rPr>
        <w:t>The fair value of the payment obligation related to acquisition was estimated based on several factors of which the most significant is the Company’s revenue projections. The Company used a Monte Carlo Simulation of the triangular model with a discount rate of 15%. Payment obligations related to acquisition are revalued to current fair value at each reporting date. Any change in the fair value as a result of time passage is recognized in the financial expenses; any other changes in significant inputs such as the discount rate, the discount period or other factors used in the calculation, is recognized in operating expenses in the consolidated results of operations in the period the estimated fair value changes. Payment obligation related to acquisition will continue to be accounted for and measured at fair value until the contingencies are settled during fiscal year 2018. Accretion of the payment obligation related to acquisition is included in financial expenses, net.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43" w:name="page144"/>
    <w:bookmarkEnd w:id="143"/>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6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6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3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12,322</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100" w:type="dxa"/>
            <w:vAlign w:val="bottom"/>
            <w:shd w:val="clear" w:color="auto" w:fill="CCEEFF"/>
          </w:tcPr>
          <w:p>
            <w:pPr>
              <w:spacing w:after="0"/>
              <w:rPr>
                <w:sz w:val="18"/>
                <w:szCs w:val="18"/>
                <w:color w:val="auto"/>
              </w:rPr>
            </w:pPr>
          </w:p>
        </w:tc>
      </w:tr>
      <w:tr>
        <w:trPr>
          <w:trHeight w:val="237"/>
        </w:trPr>
        <w:tc>
          <w:tcPr>
            <w:tcW w:w="61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Finished products (*)</w:t>
            </w: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11,800</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19,099</w:t>
            </w:r>
          </w:p>
        </w:tc>
        <w:tc>
          <w:tcPr>
            <w:tcW w:w="100" w:type="dxa"/>
            <w:vAlign w:val="bottom"/>
          </w:tcPr>
          <w:p>
            <w:pPr>
              <w:spacing w:after="0"/>
              <w:rPr>
                <w:sz w:val="20"/>
                <w:szCs w:val="20"/>
                <w:color w:val="auto"/>
              </w:rPr>
            </w:pPr>
          </w:p>
        </w:tc>
      </w:tr>
      <w:tr>
        <w:trPr>
          <w:trHeight w:val="216"/>
        </w:trPr>
        <w:tc>
          <w:tcPr>
            <w:tcW w:w="61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6120" w:type="dxa"/>
            <w:vAlign w:val="bottom"/>
          </w:tcPr>
          <w:p>
            <w:pPr>
              <w:spacing w:after="0"/>
              <w:rPr>
                <w:sz w:val="22"/>
                <w:szCs w:val="22"/>
                <w:color w:val="auto"/>
              </w:rPr>
            </w:pPr>
          </w:p>
        </w:tc>
        <w:tc>
          <w:tcPr>
            <w:tcW w:w="3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24,122</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34,855</w:t>
            </w:r>
          </w:p>
        </w:tc>
        <w:tc>
          <w:tcPr>
            <w:tcW w:w="100" w:type="dxa"/>
            <w:vAlign w:val="bottom"/>
          </w:tcPr>
          <w:p>
            <w:pPr>
              <w:spacing w:after="0"/>
              <w:rPr>
                <w:sz w:val="22"/>
                <w:szCs w:val="22"/>
                <w:color w:val="auto"/>
              </w:rPr>
            </w:pPr>
          </w:p>
        </w:tc>
      </w:tr>
      <w:tr>
        <w:trPr>
          <w:trHeight w:val="21"/>
        </w:trPr>
        <w:tc>
          <w:tcPr>
            <w:tcW w:w="6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-1105535</wp:posOffset>
            </wp:positionV>
            <wp:extent cx="574675" cy="10807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574675" cy="1080770"/>
                    </a:xfrm>
                    <a:prstGeom prst="rect">
                      <a:avLst/>
                    </a:prstGeom>
                    <a:noFill/>
                  </pic:spPr>
                </pic:pic>
              </a:graphicData>
            </a:graphic>
          </wp:anchor>
        </w:drawing>
      </w:r>
    </w:p>
    <w:p>
      <w:pPr>
        <w:spacing w:after="0" w:line="178" w:lineRule="exact"/>
        <w:rPr>
          <w:sz w:val="20"/>
          <w:szCs w:val="20"/>
          <w:color w:val="auto"/>
        </w:rPr>
      </w:pPr>
    </w:p>
    <w:p>
      <w:pPr>
        <w:ind w:left="1560" w:hanging="647"/>
        <w:spacing w:after="0" w:line="282" w:lineRule="auto"/>
        <w:tabs>
          <w:tab w:leader="none" w:pos="15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amounts of $705 and $34 for the years ended December 31, 2016 and 2017, respectively, with respect to inventory delivered to customers for which revenue was not yet recognized.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5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6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65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Cost:</w:t>
            </w: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Computer and peripheral equipment</w:t>
            </w:r>
          </w:p>
        </w:tc>
        <w:tc>
          <w:tcPr>
            <w:tcW w:w="2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1,935</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Machinery and equipment</w:t>
            </w:r>
          </w:p>
        </w:tc>
        <w:tc>
          <w:tcPr>
            <w:tcW w:w="2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00" w:type="dxa"/>
            <w:vAlign w:val="bottom"/>
            <w:shd w:val="clear" w:color="auto" w:fill="CCEEFF"/>
          </w:tcPr>
          <w:p>
            <w:pPr>
              <w:spacing w:after="0"/>
              <w:rPr>
                <w:sz w:val="18"/>
                <w:szCs w:val="18"/>
                <w:color w:val="auto"/>
              </w:rPr>
            </w:pPr>
          </w:p>
        </w:tc>
      </w:tr>
      <w:tr>
        <w:trPr>
          <w:trHeight w:val="237"/>
        </w:trPr>
        <w:tc>
          <w:tcPr>
            <w:tcW w:w="65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Leasehold improvements</w:t>
            </w: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4,978</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00" w:type="dxa"/>
            <w:vAlign w:val="bottom"/>
          </w:tcPr>
          <w:p>
            <w:pPr>
              <w:spacing w:after="0"/>
              <w:rPr>
                <w:sz w:val="20"/>
                <w:szCs w:val="20"/>
                <w:color w:val="auto"/>
              </w:rPr>
            </w:pPr>
          </w:p>
        </w:tc>
      </w:tr>
      <w:tr>
        <w:trPr>
          <w:trHeight w:val="216"/>
        </w:trPr>
        <w:tc>
          <w:tcPr>
            <w:tcW w:w="65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17,207</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00" w:type="dxa"/>
            <w:vAlign w:val="bottom"/>
          </w:tcPr>
          <w:p>
            <w:pPr>
              <w:spacing w:after="0"/>
              <w:rPr>
                <w:sz w:val="20"/>
                <w:szCs w:val="20"/>
                <w:color w:val="auto"/>
              </w:rPr>
            </w:pPr>
          </w:p>
        </w:tc>
      </w:tr>
      <w:tr>
        <w:trPr>
          <w:trHeight w:val="216"/>
        </w:trPr>
        <w:tc>
          <w:tcPr>
            <w:tcW w:w="65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5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(7,960)</w:t>
            </w: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(11,003)</w:t>
            </w:r>
          </w:p>
        </w:tc>
      </w:tr>
      <w:tr>
        <w:trPr>
          <w:trHeight w:val="216"/>
        </w:trPr>
        <w:tc>
          <w:tcPr>
            <w:tcW w:w="65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65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9,247</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100" w:type="dxa"/>
            <w:vAlign w:val="bottom"/>
          </w:tcPr>
          <w:p>
            <w:pPr>
              <w:spacing w:after="0"/>
              <w:rPr>
                <w:sz w:val="22"/>
                <w:szCs w:val="22"/>
                <w:color w:val="auto"/>
              </w:rPr>
            </w:pPr>
          </w:p>
        </w:tc>
      </w:tr>
      <w:tr>
        <w:trPr>
          <w:trHeight w:val="21"/>
        </w:trPr>
        <w:tc>
          <w:tcPr>
            <w:tcW w:w="6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-2117725</wp:posOffset>
            </wp:positionV>
            <wp:extent cx="574675" cy="20923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574675" cy="2092325"/>
                    </a:xfrm>
                    <a:prstGeom prst="rect">
                      <a:avLst/>
                    </a:prstGeom>
                    <a:noFill/>
                  </pic:spPr>
                </pic:pic>
              </a:graphicData>
            </a:graphic>
          </wp:anchor>
        </w:drawing>
      </w:r>
    </w:p>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Depreciation expenses for the years ended December 31, 2015, 2016 and 2017 were $1,560, $2,447 and $3,505 respectively.</w:t>
      </w:r>
    </w:p>
    <w:p>
      <w:pPr>
        <w:spacing w:after="0" w:line="225"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2015, 2016 and 2017, the Company recorded a reduction of $166, $297 and $298, respectively to the cost and accumulated depreciation of fully depreciated equipment no longer used.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44" w:name="page145"/>
    <w:bookmarkEnd w:id="144"/>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 NET</w:t>
      </w:r>
    </w:p>
    <w:p>
      <w:pPr>
        <w:spacing w:after="0" w:line="229" w:lineRule="exact"/>
        <w:rPr>
          <w:sz w:val="20"/>
          <w:szCs w:val="20"/>
          <w:color w:val="auto"/>
        </w:rPr>
      </w:pPr>
    </w:p>
    <w:p>
      <w:pPr>
        <w:ind w:left="1560" w:hanging="647"/>
        <w:spacing w:after="0"/>
        <w:tabs>
          <w:tab w:leader="none" w:pos="15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8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78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Original amount:</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Acquired technology</w:t>
            </w:r>
          </w:p>
        </w:tc>
        <w:tc>
          <w:tcPr>
            <w:tcW w:w="1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8.14</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16"/>
        </w:trPr>
        <w:tc>
          <w:tcPr>
            <w:tcW w:w="78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2,614</w:t>
            </w:r>
          </w:p>
        </w:tc>
        <w:tc>
          <w:tcPr>
            <w:tcW w:w="0" w:type="dxa"/>
            <w:vAlign w:val="bottom"/>
          </w:tcPr>
          <w:p>
            <w:pPr>
              <w:spacing w:after="0"/>
              <w:rPr>
                <w:sz w:val="1"/>
                <w:szCs w:val="1"/>
                <w:color w:val="auto"/>
              </w:rPr>
            </w:pPr>
          </w:p>
        </w:tc>
      </w:tr>
      <w:tr>
        <w:trPr>
          <w:trHeight w:val="237"/>
        </w:trPr>
        <w:tc>
          <w:tcPr>
            <w:tcW w:w="78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78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8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4,445</w:t>
            </w:r>
          </w:p>
        </w:tc>
        <w:tc>
          <w:tcPr>
            <w:tcW w:w="0" w:type="dxa"/>
            <w:vAlign w:val="bottom"/>
          </w:tcPr>
          <w:p>
            <w:pPr>
              <w:spacing w:after="0"/>
              <w:rPr>
                <w:sz w:val="1"/>
                <w:szCs w:val="1"/>
                <w:color w:val="auto"/>
              </w:rPr>
            </w:pPr>
          </w:p>
        </w:tc>
      </w:tr>
      <w:tr>
        <w:trPr>
          <w:trHeight w:val="21"/>
        </w:trPr>
        <w:tc>
          <w:tcPr>
            <w:tcW w:w="7840" w:type="dxa"/>
            <w:vAlign w:val="bottom"/>
            <w:tcBorders>
              <w:top w:val="single" w:sz="8" w:color="CCEEFF"/>
              <w:bottom w:val="single" w:sz="8" w:color="CCEEFF"/>
            </w:tcBorders>
            <w:vMerge w:val="restart"/>
          </w:tcPr>
          <w:p>
            <w:pPr>
              <w:ind w:left="156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8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Acquired technology</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16"/>
        </w:trPr>
        <w:tc>
          <w:tcPr>
            <w:tcW w:w="78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37"/>
        </w:trPr>
        <w:tc>
          <w:tcPr>
            <w:tcW w:w="78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78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16"/>
        </w:trPr>
        <w:tc>
          <w:tcPr>
            <w:tcW w:w="78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84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Intangible assets, net</w:t>
            </w:r>
          </w:p>
        </w:tc>
        <w:tc>
          <w:tcPr>
            <w:tcW w:w="10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1"/>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-3001010</wp:posOffset>
            </wp:positionV>
            <wp:extent cx="986155" cy="29756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986155" cy="2975610"/>
                    </a:xfrm>
                    <a:prstGeom prst="rect">
                      <a:avLst/>
                    </a:prstGeom>
                    <a:noFill/>
                  </pic:spPr>
                </pic:pic>
              </a:graphicData>
            </a:graphic>
          </wp:anchor>
        </w:drawing>
      </w:r>
    </w:p>
    <w:p>
      <w:pPr>
        <w:spacing w:after="0" w:line="17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Amortization expenses for the years ended December 31, 2015, 2016 and 2017 were $222, $519 and $1,309, respectively.</w:t>
      </w:r>
    </w:p>
    <w:p>
      <w:pPr>
        <w:spacing w:after="0" w:line="225" w:lineRule="exact"/>
        <w:rPr>
          <w:sz w:val="20"/>
          <w:szCs w:val="20"/>
          <w:color w:val="auto"/>
        </w:rPr>
      </w:pPr>
    </w:p>
    <w:p>
      <w:pPr>
        <w:ind w:left="1560" w:hanging="647"/>
        <w:spacing w:after="0"/>
        <w:tabs>
          <w:tab w:leader="none" w:pos="15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amortization expenses for the years ending:</w:t>
      </w:r>
    </w:p>
    <w:p>
      <w:pPr>
        <w:spacing w:after="0" w:line="234"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6388735" cy="13290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6388735" cy="13290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2018</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2019</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2020</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2021</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2022 and Thereafter</w:t>
            </w:r>
          </w:p>
        </w:tc>
        <w:tc>
          <w:tcPr>
            <w:tcW w:w="2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98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OTHER PAYABLES AND ACCRUED EXPENSES</w:t>
            </w:r>
          </w:p>
        </w:tc>
        <w:tc>
          <w:tcPr>
            <w:tcW w:w="2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980" w:type="dxa"/>
            <w:vAlign w:val="bottom"/>
            <w:vMerge w:val="continue"/>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Government authorities</w:t>
            </w:r>
          </w:p>
        </w:tc>
        <w:tc>
          <w:tcPr>
            <w:tcW w:w="2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993</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Warranty provision short term</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Professional services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Payment obligation related to acquisition</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Restructuring</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Accrued expenses</w:t>
            </w: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6,103</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-1654810</wp:posOffset>
            </wp:positionV>
            <wp:extent cx="574675" cy="16294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574675" cy="162941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45" w:name="page146"/>
    <w:bookmarkEnd w:id="145"/>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CONTINGENT LIABILITIES</w:t>
      </w:r>
    </w:p>
    <w:p>
      <w:pPr>
        <w:spacing w:after="0" w:line="229" w:lineRule="exact"/>
        <w:rPr>
          <w:sz w:val="20"/>
          <w:szCs w:val="20"/>
          <w:color w:val="auto"/>
        </w:rPr>
      </w:pPr>
    </w:p>
    <w:p>
      <w:pPr>
        <w:ind w:left="1560" w:hanging="647"/>
        <w:spacing w:after="0"/>
        <w:tabs>
          <w:tab w:leader="none" w:pos="1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commitments:</w:t>
      </w:r>
    </w:p>
    <w:p>
      <w:pPr>
        <w:spacing w:after="0" w:line="225" w:lineRule="exact"/>
        <w:rPr>
          <w:rFonts w:ascii="Times New Roman" w:cs="Times New Roman" w:eastAsia="Times New Roman" w:hAnsi="Times New Roman"/>
          <w:sz w:val="18"/>
          <w:szCs w:val="18"/>
          <w:color w:val="auto"/>
        </w:rPr>
      </w:pPr>
    </w:p>
    <w:p>
      <w:pPr>
        <w:jc w:val="both"/>
        <w:ind w:left="1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leases facilities and vehicles under operating leases that expire on various dates through 2025. Aggregate minimum lease and rental payments under non-cancelable operating leases as of December 31, 2017, are (in the aggregate) and for each succeeding fiscal year below:</w:t>
      </w:r>
    </w:p>
    <w:p>
      <w:pPr>
        <w:spacing w:after="0" w:line="185"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6388735" cy="13290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6388735" cy="13290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2018</w:t>
            </w:r>
          </w:p>
        </w:tc>
        <w:tc>
          <w:tcPr>
            <w:tcW w:w="3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2,504</w:t>
            </w:r>
          </w:p>
        </w:tc>
      </w:tr>
      <w:tr>
        <w:trPr>
          <w:trHeight w:val="216"/>
        </w:trPr>
        <w:tc>
          <w:tcPr>
            <w:tcW w:w="65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2019</w:t>
            </w:r>
          </w:p>
        </w:tc>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2,494</w:t>
            </w:r>
          </w:p>
        </w:tc>
      </w:tr>
      <w:tr>
        <w:trPr>
          <w:trHeight w:val="216"/>
        </w:trPr>
        <w:tc>
          <w:tcPr>
            <w:tcW w:w="656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2020</w:t>
            </w:r>
          </w:p>
        </w:tc>
        <w:tc>
          <w:tcPr>
            <w:tcW w:w="3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2,465</w:t>
            </w:r>
          </w:p>
        </w:tc>
      </w:tr>
      <w:tr>
        <w:trPr>
          <w:trHeight w:val="216"/>
        </w:trPr>
        <w:tc>
          <w:tcPr>
            <w:tcW w:w="65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2021</w:t>
            </w:r>
          </w:p>
        </w:tc>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2,195</w:t>
            </w:r>
          </w:p>
        </w:tc>
      </w:tr>
      <w:tr>
        <w:trPr>
          <w:trHeight w:val="237"/>
        </w:trPr>
        <w:tc>
          <w:tcPr>
            <w:tcW w:w="656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2022 and thereafter</w:t>
            </w:r>
          </w:p>
        </w:tc>
        <w:tc>
          <w:tcPr>
            <w:tcW w:w="3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6,982</w:t>
            </w:r>
          </w:p>
        </w:tc>
      </w:tr>
      <w:tr>
        <w:trPr>
          <w:trHeight w:val="216"/>
        </w:trPr>
        <w:tc>
          <w:tcPr>
            <w:tcW w:w="656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6560" w:type="dxa"/>
            <w:vAlign w:val="bottom"/>
            <w:shd w:val="clear" w:color="auto" w:fill="CCEEFF"/>
          </w:tcPr>
          <w:p>
            <w:pPr>
              <w:spacing w:after="0"/>
              <w:rPr>
                <w:sz w:val="22"/>
                <w:szCs w:val="22"/>
                <w:color w:val="auto"/>
              </w:rPr>
            </w:pPr>
          </w:p>
        </w:tc>
        <w:tc>
          <w:tcPr>
            <w:tcW w:w="3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16,640</w:t>
            </w:r>
          </w:p>
        </w:tc>
      </w:tr>
      <w:tr>
        <w:trPr>
          <w:trHeight w:val="21"/>
        </w:trPr>
        <w:tc>
          <w:tcPr>
            <w:tcW w:w="6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Total rent expenses for the years ended December 31, 2015, 2016 and 2017 were $1,443, $1,664 and $2,963, respectively.</w:t>
      </w:r>
    </w:p>
    <w:p>
      <w:pPr>
        <w:spacing w:after="0" w:line="225" w:lineRule="exact"/>
        <w:rPr>
          <w:sz w:val="20"/>
          <w:szCs w:val="20"/>
          <w:color w:val="auto"/>
        </w:rPr>
      </w:pPr>
    </w:p>
    <w:p>
      <w:pPr>
        <w:ind w:left="1560" w:hanging="647"/>
        <w:spacing w:after="0"/>
        <w:tabs>
          <w:tab w:leader="none" w:pos="15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w:t>
      </w:r>
    </w:p>
    <w:p>
      <w:pPr>
        <w:spacing w:after="0" w:line="225" w:lineRule="exact"/>
        <w:rPr>
          <w:rFonts w:ascii="Times New Roman" w:cs="Times New Roman" w:eastAsia="Times New Roman" w:hAnsi="Times New Roman"/>
          <w:sz w:val="18"/>
          <w:szCs w:val="18"/>
          <w:color w:val="auto"/>
        </w:rPr>
      </w:pPr>
    </w:p>
    <w:p>
      <w:pPr>
        <w:jc w:val="both"/>
        <w:ind w:left="1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the Company has two lines of credit with Israeli banks for total borrowings of up to $3 million, all of which was undrawn as of December 31, 2017. These lines of credit are unsecured and available subject to the Company’s maintenance of a 30% ratio of total tangible shareholders’ equity to total tangible assets and that the total credit use will be less than 70% of the Company and its subsidiaries’ receivables. Interest rates across these credit lines varied from 0.2% to 2.3% as of December 31, 2017.</w:t>
      </w:r>
    </w:p>
    <w:p>
      <w:pPr>
        <w:spacing w:after="0" w:line="180"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The Company is in compliance with the financial covenants.</w:t>
      </w:r>
    </w:p>
    <w:p>
      <w:pPr>
        <w:spacing w:after="0" w:line="225"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commitments: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As of December 31, 2017, the Company has $16,475 of purchase commitments for goods and services from vendors.</w:t>
      </w:r>
    </w:p>
    <w:p>
      <w:pPr>
        <w:spacing w:after="0" w:line="225" w:lineRule="exact"/>
        <w:rPr>
          <w:sz w:val="20"/>
          <w:szCs w:val="20"/>
          <w:color w:val="auto"/>
        </w:rPr>
      </w:pPr>
    </w:p>
    <w:p>
      <w:pPr>
        <w:ind w:left="1560" w:hanging="647"/>
        <w:spacing w:after="0"/>
        <w:tabs>
          <w:tab w:leader="none" w:pos="15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225" w:lineRule="exact"/>
        <w:rPr>
          <w:rFonts w:ascii="Times New Roman" w:cs="Times New Roman" w:eastAsia="Times New Roman" w:hAnsi="Times New Roman"/>
          <w:sz w:val="18"/>
          <w:szCs w:val="18"/>
          <w:color w:val="auto"/>
        </w:rPr>
      </w:pPr>
    </w:p>
    <w:p>
      <w:pPr>
        <w:jc w:val="both"/>
        <w:ind w:left="1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46" w:name="page147"/>
    <w:bookmarkEnd w:id="146"/>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CONTINGENT LIABILITIES (Cont.)</w:t>
      </w:r>
    </w:p>
    <w:p>
      <w:pPr>
        <w:spacing w:after="0" w:line="229" w:lineRule="exact"/>
        <w:rPr>
          <w:sz w:val="20"/>
          <w:szCs w:val="20"/>
          <w:color w:val="auto"/>
        </w:rPr>
      </w:pPr>
    </w:p>
    <w:p>
      <w:pPr>
        <w:ind w:left="1560" w:hanging="647"/>
        <w:spacing w:after="0"/>
        <w:tabs>
          <w:tab w:leader="none" w:pos="15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Commitments:</w:t>
      </w:r>
    </w:p>
    <w:p>
      <w:pPr>
        <w:spacing w:after="0" w:line="225" w:lineRule="exact"/>
        <w:rPr>
          <w:rFonts w:ascii="Times New Roman" w:cs="Times New Roman" w:eastAsia="Times New Roman" w:hAnsi="Times New Roman"/>
          <w:sz w:val="18"/>
          <w:szCs w:val="18"/>
          <w:color w:val="auto"/>
        </w:rPr>
      </w:pPr>
    </w:p>
    <w:p>
      <w:pPr>
        <w:ind w:left="1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Company’s agreement for purchasing print heads and other products, which was amended and restated in 2016, the Company is obligated to pay royalties at a rate set forth in the agreement up to an agreed maximum amount of $625 per year.</w:t>
      </w:r>
    </w:p>
    <w:p>
      <w:pPr>
        <w:spacing w:after="0" w:line="161"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expenses for the years ended December 31, 2015, 2016 and 2017 were $625.</w:t>
      </w:r>
    </w:p>
    <w:p>
      <w:pPr>
        <w:spacing w:after="0" w:line="225"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25"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the Company provided two bank guarantees of $398 in the aggregate for its rented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w:t>
      </w:r>
    </w:p>
    <w:p>
      <w:pPr>
        <w:spacing w:after="0" w:line="229" w:lineRule="exact"/>
        <w:rPr>
          <w:sz w:val="20"/>
          <w:szCs w:val="20"/>
          <w:color w:val="auto"/>
        </w:rPr>
      </w:pPr>
    </w:p>
    <w:p>
      <w:pPr>
        <w:ind w:left="1560" w:hanging="647"/>
        <w:spacing w:after="0"/>
        <w:tabs>
          <w:tab w:leader="none" w:pos="15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shares:</w:t>
      </w:r>
    </w:p>
    <w:p>
      <w:pPr>
        <w:spacing w:after="0" w:line="225" w:lineRule="exact"/>
        <w:rPr>
          <w:rFonts w:ascii="Times New Roman" w:cs="Times New Roman" w:eastAsia="Times New Roman" w:hAnsi="Times New Roman"/>
          <w:sz w:val="18"/>
          <w:szCs w:val="18"/>
          <w:color w:val="auto"/>
        </w:rPr>
      </w:pPr>
    </w:p>
    <w:p>
      <w:pPr>
        <w:ind w:left="2200" w:hanging="639"/>
        <w:spacing w:after="0"/>
        <w:tabs>
          <w:tab w:leader="none" w:pos="22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w:t>
      </w:r>
    </w:p>
    <w:p>
      <w:pPr>
        <w:spacing w:after="0" w:line="225" w:lineRule="exact"/>
        <w:rPr>
          <w:rFonts w:ascii="Times New Roman" w:cs="Times New Roman" w:eastAsia="Times New Roman" w:hAnsi="Times New Roman"/>
          <w:sz w:val="18"/>
          <w:szCs w:val="18"/>
          <w:color w:val="auto"/>
        </w:rPr>
      </w:pPr>
    </w:p>
    <w:p>
      <w:pPr>
        <w:jc w:val="both"/>
        <w:ind w:left="2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in the general meeting of the Company and one vote in the voting.</w:t>
      </w:r>
    </w:p>
    <w:p>
      <w:pPr>
        <w:spacing w:after="0" w:line="180" w:lineRule="exact"/>
        <w:rPr>
          <w:rFonts w:ascii="Times New Roman" w:cs="Times New Roman" w:eastAsia="Times New Roman" w:hAnsi="Times New Roman"/>
          <w:sz w:val="18"/>
          <w:szCs w:val="18"/>
          <w:color w:val="auto"/>
        </w:rPr>
      </w:pPr>
    </w:p>
    <w:p>
      <w:pPr>
        <w:ind w:left="2200" w:hanging="639"/>
        <w:spacing w:after="0"/>
        <w:tabs>
          <w:tab w:leader="none" w:pos="22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Public Offering:</w:t>
      </w:r>
    </w:p>
    <w:p>
      <w:pPr>
        <w:spacing w:after="0" w:line="225" w:lineRule="exact"/>
        <w:rPr>
          <w:rFonts w:ascii="Times New Roman" w:cs="Times New Roman" w:eastAsia="Times New Roman" w:hAnsi="Times New Roman"/>
          <w:sz w:val="18"/>
          <w:szCs w:val="18"/>
          <w:color w:val="auto"/>
        </w:rPr>
      </w:pPr>
    </w:p>
    <w:p>
      <w:pPr>
        <w:jc w:val="both"/>
        <w:ind w:left="22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8, 2015, the Company closed its initial public offering (“IPO”) whereby 8,165,000 ordinary shares were sold by the Company to the public (inclusive of 1,065,000 ordinary shares pursuant to the full exercise of an overallotment option granted to the underwriters). The aggregate net proceeds received by the Company from the offering were $73,519, net of underwriting discounts and commissions and offering expenses all of which have already been paid by the Company. Upon the closing of the IPO, all of the Company’s outstanding preferred shares automatically converted into 12,628,741 ordinary shares.</w:t>
      </w:r>
    </w:p>
    <w:p>
      <w:pPr>
        <w:spacing w:after="0" w:line="183" w:lineRule="exact"/>
        <w:rPr>
          <w:rFonts w:ascii="Times New Roman" w:cs="Times New Roman" w:eastAsia="Times New Roman" w:hAnsi="Times New Roman"/>
          <w:sz w:val="18"/>
          <w:szCs w:val="18"/>
          <w:color w:val="auto"/>
        </w:rPr>
      </w:pPr>
    </w:p>
    <w:p>
      <w:pPr>
        <w:jc w:val="both"/>
        <w:ind w:left="2200" w:hanging="639"/>
        <w:spacing w:after="0" w:line="258" w:lineRule="auto"/>
        <w:tabs>
          <w:tab w:leader="none" w:pos="22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2017 the Company closed a follow on and secondary offering where by 8,625,000 ordinary shares were sold in the transaction to the public of which 2,300,000 were issued by the Company and 6,325,000 were sold by the selling shareholders (inclusive of 1,125,000 ordinary shares pursuant to the full exercise of an overallotment option granted to the underwriters). The aggregate net proceeds received by the Company from the offering were $35,077, net of underwriting discounts, commissions and offering expenses.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47" w:name="page148"/>
    <w:bookmarkEnd w:id="147"/>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 (Cont.)</w:t>
      </w:r>
    </w:p>
    <w:p>
      <w:pPr>
        <w:spacing w:after="0" w:line="229" w:lineRule="exact"/>
        <w:rPr>
          <w:sz w:val="20"/>
          <w:szCs w:val="20"/>
          <w:color w:val="auto"/>
        </w:rPr>
      </w:pPr>
    </w:p>
    <w:p>
      <w:pPr>
        <w:ind w:left="1560" w:hanging="647"/>
        <w:spacing w:after="0"/>
        <w:tabs>
          <w:tab w:leader="none" w:pos="15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and RSU’s plans:</w:t>
      </w:r>
    </w:p>
    <w:p>
      <w:pPr>
        <w:spacing w:after="0" w:line="225"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Company’s share option activity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66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upon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6620" w:type="dxa"/>
            <w:vAlign w:val="bottom"/>
          </w:tcPr>
          <w:p>
            <w:pPr>
              <w:spacing w:after="0"/>
              <w:rPr>
                <w:sz w:val="21"/>
                <w:szCs w:val="21"/>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6"/>
        </w:trPr>
        <w:tc>
          <w:tcPr>
            <w:tcW w:w="66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2,733,166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663,983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(834,350)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6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(202,152)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66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2,360,647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100" w:type="dxa"/>
            <w:vAlign w:val="bottom"/>
          </w:tcPr>
          <w:p>
            <w:pPr>
              <w:spacing w:after="0"/>
              <w:rPr>
                <w:sz w:val="24"/>
                <w:szCs w:val="24"/>
                <w:color w:val="auto"/>
              </w:rPr>
            </w:pPr>
          </w:p>
        </w:tc>
      </w:tr>
      <w:tr>
        <w:trPr>
          <w:trHeight w:val="216"/>
        </w:trPr>
        <w:tc>
          <w:tcPr>
            <w:tcW w:w="6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66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887,913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00" w:type="dxa"/>
            <w:vAlign w:val="bottom"/>
          </w:tcPr>
          <w:p>
            <w:pPr>
              <w:spacing w:after="0"/>
              <w:rPr>
                <w:sz w:val="22"/>
                <w:szCs w:val="22"/>
                <w:color w:val="auto"/>
              </w:rPr>
            </w:pPr>
          </w:p>
        </w:tc>
      </w:tr>
      <w:tr>
        <w:trPr>
          <w:trHeight w:val="21"/>
        </w:trPr>
        <w:tc>
          <w:tcPr>
            <w:tcW w:w="6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-2237740</wp:posOffset>
            </wp:positionV>
            <wp:extent cx="986155" cy="22123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986155" cy="2212340"/>
                    </a:xfrm>
                    <a:prstGeom prst="rect">
                      <a:avLst/>
                    </a:prstGeom>
                    <a:noFill/>
                  </pic:spPr>
                </pic:pic>
              </a:graphicData>
            </a:graphic>
          </wp:anchor>
        </w:drawing>
      </w:r>
    </w:p>
    <w:p>
      <w:pPr>
        <w:spacing w:after="0" w:line="178" w:lineRule="exact"/>
        <w:rPr>
          <w:sz w:val="20"/>
          <w:szCs w:val="20"/>
          <w:color w:val="auto"/>
        </w:rPr>
      </w:pPr>
    </w:p>
    <w:p>
      <w:pPr>
        <w:jc w:val="both"/>
        <w:ind w:left="1560"/>
        <w:spacing w:after="0" w:line="282" w:lineRule="auto"/>
        <w:rPr>
          <w:sz w:val="20"/>
          <w:szCs w:val="20"/>
          <w:color w:val="auto"/>
        </w:rPr>
      </w:pPr>
      <w:r>
        <w:rPr>
          <w:rFonts w:ascii="Times New Roman" w:cs="Times New Roman" w:eastAsia="Times New Roman" w:hAnsi="Times New Roman"/>
          <w:sz w:val="18"/>
          <w:szCs w:val="18"/>
          <w:color w:val="auto"/>
        </w:rPr>
        <w:t>As of December 31, 2017, $11,177 in unrecognized compensation cost related to share options is expected to be recognized over a weighted average vesting period of 3 years.</w:t>
      </w:r>
    </w:p>
    <w:p>
      <w:pPr>
        <w:spacing w:after="0" w:line="162" w:lineRule="exact"/>
        <w:rPr>
          <w:sz w:val="20"/>
          <w:szCs w:val="20"/>
          <w:color w:val="auto"/>
        </w:rPr>
      </w:pPr>
    </w:p>
    <w:p>
      <w:pPr>
        <w:jc w:val="both"/>
        <w:ind w:left="1560"/>
        <w:spacing w:after="0" w:line="261"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years ended December 31, 2015, 2016 and 2017 were $7.11, $5.64 and $9.24 per share, respectively. The weighted average fair value of options vested during the year ended December 31, 2017 was $5.53. The total intrinsic value of options exercised during the years ended December 31, 2015, 2016 and 2017 were $5,281, $7,822 and $10,588, respectively.</w:t>
      </w:r>
    </w:p>
    <w:p>
      <w:pPr>
        <w:spacing w:after="0" w:line="180" w:lineRule="exact"/>
        <w:rPr>
          <w:sz w:val="20"/>
          <w:szCs w:val="20"/>
          <w:color w:val="auto"/>
        </w:rPr>
      </w:pPr>
    </w:p>
    <w:p>
      <w:pPr>
        <w:ind w:left="1560" w:hanging="647"/>
        <w:spacing w:after="0"/>
        <w:tabs>
          <w:tab w:leader="none" w:pos="15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outstanding as of December 31, 2017, have been classified by exercise price,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5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8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at December 31, 2017</w:t>
            </w:r>
          </w:p>
        </w:tc>
        <w:tc>
          <w:tcPr>
            <w:tcW w:w="358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at December 31, 2017</w:t>
            </w:r>
          </w:p>
        </w:tc>
      </w:tr>
      <w:tr>
        <w:trPr>
          <w:trHeight w:val="194"/>
        </w:trPr>
        <w:tc>
          <w:tcPr>
            <w:tcW w:w="15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1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1560" w:type="dxa"/>
            <w:vAlign w:val="bottom"/>
          </w:tcPr>
          <w:p>
            <w:pPr>
              <w:spacing w:after="0"/>
              <w:rPr>
                <w:sz w:val="18"/>
                <w:szCs w:val="18"/>
                <w:color w:val="auto"/>
              </w:rPr>
            </w:pPr>
          </w:p>
        </w:tc>
        <w:tc>
          <w:tcPr>
            <w:tcW w:w="2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r>
      <w:tr>
        <w:trPr>
          <w:trHeight w:val="245"/>
        </w:trPr>
        <w:tc>
          <w:tcPr>
            <w:tcW w:w="1560" w:type="dxa"/>
            <w:vAlign w:val="bottom"/>
          </w:tcPr>
          <w:p>
            <w:pPr>
              <w:spacing w:after="0"/>
              <w:rPr>
                <w:sz w:val="21"/>
                <w:szCs w:val="21"/>
                <w:color w:val="auto"/>
              </w:rPr>
            </w:pPr>
          </w:p>
        </w:tc>
        <w:tc>
          <w:tcPr>
            <w:tcW w:w="2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life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life</w:t>
            </w:r>
          </w:p>
        </w:tc>
      </w:tr>
      <w:tr>
        <w:trPr>
          <w:trHeight w:val="223"/>
        </w:trPr>
        <w:tc>
          <w:tcPr>
            <w:tcW w:w="1560" w:type="dxa"/>
            <w:vAlign w:val="bottom"/>
          </w:tcPr>
          <w:p>
            <w:pPr>
              <w:spacing w:after="0"/>
              <w:rPr>
                <w:sz w:val="19"/>
                <w:szCs w:val="19"/>
                <w:color w:val="auto"/>
              </w:rPr>
            </w:pPr>
          </w:p>
        </w:tc>
        <w:tc>
          <w:tcPr>
            <w:tcW w:w="2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Pr>
          <w:p>
            <w:pPr>
              <w:spacing w:after="0"/>
              <w:rPr>
                <w:sz w:val="19"/>
                <w:szCs w:val="19"/>
                <w:color w:val="auto"/>
              </w:rPr>
            </w:pPr>
          </w:p>
        </w:tc>
      </w:tr>
      <w:tr>
        <w:trPr>
          <w:trHeight w:val="216"/>
        </w:trPr>
        <w:tc>
          <w:tcPr>
            <w:tcW w:w="1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0.36-0.92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41,734</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0.73</w:t>
            </w:r>
          </w:p>
        </w:tc>
        <w:tc>
          <w:tcPr>
            <w:tcW w:w="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0.97</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41,734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0.73</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0.97</w:t>
            </w:r>
          </w:p>
        </w:tc>
      </w:tr>
      <w:tr>
        <w:trPr>
          <w:trHeight w:val="216"/>
        </w:trPr>
        <w:tc>
          <w:tcPr>
            <w:tcW w:w="404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1.14-1.60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21,299</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21,299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404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2.07-2.17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473,688</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319,266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404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9.38-9.49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145,000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w:t>
            </w:r>
          </w:p>
        </w:tc>
        <w:tc>
          <w:tcPr>
            <w:tcW w:w="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46,875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w:t>
            </w:r>
          </w:p>
        </w:tc>
        <w:tc>
          <w:tcPr>
            <w:tcW w:w="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w:t>
            </w:r>
          </w:p>
        </w:tc>
      </w:tr>
      <w:tr>
        <w:trPr>
          <w:trHeight w:val="216"/>
        </w:trPr>
        <w:tc>
          <w:tcPr>
            <w:tcW w:w="404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9.97-10.10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616,783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238,193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10.03</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404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11.49-11.90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66,000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11.86</w:t>
            </w:r>
          </w:p>
        </w:tc>
        <w:tc>
          <w:tcPr>
            <w:tcW w:w="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17,625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11.84</w:t>
            </w:r>
          </w:p>
        </w:tc>
        <w:tc>
          <w:tcPr>
            <w:tcW w:w="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r>
      <w:tr>
        <w:trPr>
          <w:trHeight w:val="216"/>
        </w:trPr>
        <w:tc>
          <w:tcPr>
            <w:tcW w:w="404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12.97-15.29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479,811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202,921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13.91</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w:t>
            </w:r>
          </w:p>
        </w:tc>
      </w:tr>
      <w:tr>
        <w:trPr>
          <w:trHeight w:val="237"/>
        </w:trPr>
        <w:tc>
          <w:tcPr>
            <w:tcW w:w="404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15.80-21.15</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516,332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6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15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2,360,647</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887,913</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
        </w:trPr>
        <w:tc>
          <w:tcPr>
            <w:tcW w:w="1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-2752090</wp:posOffset>
            </wp:positionV>
            <wp:extent cx="986155" cy="27273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986155" cy="272732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48" w:name="page149"/>
    <w:bookmarkEnd w:id="148"/>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 (Cont.)</w:t>
      </w:r>
    </w:p>
    <w:p>
      <w:pPr>
        <w:spacing w:after="0" w:line="2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A summary of the Company’s RSUs activity is as follows: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Outstanding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-711200</wp:posOffset>
            </wp:positionV>
            <wp:extent cx="7246620" cy="13379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246620" cy="1337945"/>
                    </a:xfrm>
                    <a:prstGeom prst="rect">
                      <a:avLst/>
                    </a:prstGeom>
                    <a:noFill/>
                  </pic:spPr>
                </pic:pic>
              </a:graphicData>
            </a:graphic>
          </wp:anchor>
        </w:drawing>
      </w:r>
    </w:p>
    <w:p>
      <w:pPr>
        <w:spacing w:after="0" w:line="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Forfeited</w:t>
      </w:r>
    </w:p>
    <w:p>
      <w:pPr>
        <w:spacing w:after="0" w:line="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Outstanding as of December 31,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2017</w:t>
      </w:r>
    </w:p>
    <w:p>
      <w:pPr>
        <w:spacing w:after="0" w:line="25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94,570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(5,811)</w:t>
      </w:r>
    </w:p>
    <w:p>
      <w:pPr>
        <w:spacing w:after="0" w:line="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88,759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66040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60" w:space="720"/>
            <w:col w:w="1140"/>
          </w:cols>
          <w:pgMar w:left="240" w:top="220" w:right="239" w:bottom="1440" w:gutter="0" w:footer="0" w:header="0"/>
          <w:type w:val="continuous"/>
        </w:sectPr>
      </w:pP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weighted average fair values at grant date of RSUs granted for the year ended December 31, 2017 was $ 17.77.</w:t>
      </w:r>
    </w:p>
    <w:p>
      <w:pPr>
        <w:spacing w:after="0" w:line="225" w:lineRule="exact"/>
        <w:rPr>
          <w:sz w:val="20"/>
          <w:szCs w:val="20"/>
          <w:color w:val="auto"/>
        </w:rPr>
      </w:pPr>
    </w:p>
    <w:p>
      <w:pPr>
        <w:jc w:val="both"/>
        <w:ind w:left="1560" w:hanging="647"/>
        <w:spacing w:after="0" w:line="254" w:lineRule="auto"/>
        <w:tabs>
          <w:tab w:leader="none" w:pos="15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approved Equity Incentive Plans pursuant to which the Company is authorized to issue to employees, directors and officers of the Company and its subsidiaries (the “optionees”) options to purchase ordinary shares of NIS 0.01 par value each, at an exercise price equal to at least the fair market value of the ordinary shares at the date of grant. Under the plans, options granted before 2014 generally vest in portions as follows: 50% of total options are exercisable two years after the date determined for each optionee, a further 25% three years after the date determined for each optionee and a 25% four years after the date determined for each optionee. Starting 2014, 25% of total options are exercisable one year after the date determined for each optionee and a further 6.25% at the end of each subsequent three-month period for 3 years. Under the Equity Incentive Plans and starting 2017, the Company grants Restricted Stock Units (“RSUs”). The RSU’s generally vest over a period of four years of employment. Options and RSU that have vested are exercisable for up to 10 years from the grant date of the options or RSU to each employee. Options and RSUs that are cancelled or forfeited before expiration become available for future grants.</w:t>
      </w:r>
    </w:p>
    <w:p>
      <w:pPr>
        <w:spacing w:after="0" w:line="186" w:lineRule="exact"/>
        <w:rPr>
          <w:rFonts w:ascii="Times New Roman" w:cs="Times New Roman" w:eastAsia="Times New Roman" w:hAnsi="Times New Roman"/>
          <w:sz w:val="18"/>
          <w:szCs w:val="18"/>
          <w:color w:val="auto"/>
        </w:rPr>
      </w:pPr>
    </w:p>
    <w:p>
      <w:pPr>
        <w:ind w:left="15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2017, the Board of Directors approved an increase in the ordinary shares reserved for issuance to 4,324,412 ordinary shares. As of December 31, 2017, an aggregate of 1,875,006 ordinary shares were available for future grants.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49" w:name="page150"/>
    <w:bookmarkEnd w:id="149"/>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 (Cont.)</w:t>
      </w:r>
    </w:p>
    <w:p>
      <w:pPr>
        <w:spacing w:after="0" w:line="229" w:lineRule="exact"/>
        <w:rPr>
          <w:sz w:val="20"/>
          <w:szCs w:val="20"/>
          <w:color w:val="auto"/>
        </w:rPr>
      </w:pPr>
    </w:p>
    <w:p>
      <w:pPr>
        <w:ind w:left="1560" w:hanging="647"/>
        <w:spacing w:after="0" w:line="282" w:lineRule="auto"/>
        <w:tabs>
          <w:tab w:leader="none" w:pos="15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total share based compensation expense included in the consolidated statements of operations for the years ended December 31, 2015, 2016 and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8"/>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6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Cost of products</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61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Cost of services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16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r>
      <w:tr>
        <w:trPr>
          <w:trHeight w:val="216"/>
        </w:trPr>
        <w:tc>
          <w:tcPr>
            <w:tcW w:w="61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Sales and marketing</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r>
      <w:tr>
        <w:trPr>
          <w:trHeight w:val="237"/>
        </w:trPr>
        <w:tc>
          <w:tcPr>
            <w:tcW w:w="616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2,087</w:t>
            </w:r>
          </w:p>
        </w:tc>
      </w:tr>
      <w:tr>
        <w:trPr>
          <w:trHeight w:val="216"/>
        </w:trPr>
        <w:tc>
          <w:tcPr>
            <w:tcW w:w="61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616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2,993</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4,411</w:t>
            </w:r>
          </w:p>
        </w:tc>
      </w:tr>
      <w:tr>
        <w:trPr>
          <w:trHeight w:val="21"/>
        </w:trPr>
        <w:tc>
          <w:tcPr>
            <w:tcW w:w="6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-1517015</wp:posOffset>
            </wp:positionV>
            <wp:extent cx="986155" cy="14922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986155" cy="1492250"/>
                    </a:xfrm>
                    <a:prstGeom prst="rect">
                      <a:avLst/>
                    </a:prstGeom>
                    <a:noFill/>
                  </pic:spPr>
                </pic:pic>
              </a:graphicData>
            </a:graphic>
          </wp:anchor>
        </w:drawing>
      </w:r>
    </w:p>
    <w:p>
      <w:pPr>
        <w:spacing w:after="0" w:line="178" w:lineRule="exact"/>
        <w:rPr>
          <w:sz w:val="20"/>
          <w:szCs w:val="20"/>
          <w:color w:val="auto"/>
        </w:rPr>
      </w:pPr>
    </w:p>
    <w:p>
      <w:pPr>
        <w:jc w:val="both"/>
        <w:ind w:left="1560" w:hanging="647"/>
        <w:spacing w:after="0" w:line="261" w:lineRule="auto"/>
        <w:tabs>
          <w:tab w:leader="none" w:pos="15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10, 2017, the Company signed a master purchase agreement with Amazon Inc. under which 2,932,176 warrants to purchase ordinary shares of the Company in exercise price of $13.03 were issued to Amazon as a customer incentive. The warrants are subject to vesting as a function of payments for purchased products and services of up to $150 million over a five years period beginning on May 1, 2016, with the shares vesting incrementally each time Amazon makes a payment totaling $5 million to the Company.</w:t>
      </w:r>
    </w:p>
    <w:p>
      <w:pPr>
        <w:spacing w:after="0" w:line="180" w:lineRule="exact"/>
        <w:rPr>
          <w:rFonts w:ascii="Times New Roman" w:cs="Times New Roman" w:eastAsia="Times New Roman" w:hAnsi="Times New Roman"/>
          <w:sz w:val="18"/>
          <w:szCs w:val="18"/>
          <w:color w:val="auto"/>
        </w:rPr>
      </w:pPr>
    </w:p>
    <w:p>
      <w:pPr>
        <w:jc w:val="both"/>
        <w:ind w:left="1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utilizes a Monte Carlo simulation approach to estimate the fair value of the warrants, which requires inputs such as common ordinary share, the warrant strike price, estimated ordinary share price volatility and risk-free interest rate, among others. The Company recognized a reduction to revenues of $2,030 and $2,895 during the years ended December 31, 2016 and 2017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50" w:name="page151"/>
    <w:bookmarkEnd w:id="150"/>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(LOSSES) PER SHARE</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earnings (losses) per share:</w:t>
      </w:r>
    </w:p>
    <w:p>
      <w:pPr>
        <w:spacing w:after="0" w:line="235"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574675" cy="26587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574675" cy="265874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19685</wp:posOffset>
            </wp:positionV>
            <wp:extent cx="220408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2204085" cy="17145"/>
                    </a:xfrm>
                    <a:prstGeom prst="rect">
                      <a:avLst/>
                    </a:prstGeom>
                    <a:noFill/>
                  </pic:spPr>
                </pic:pic>
              </a:graphicData>
            </a:graphic>
          </wp:anchor>
        </w:drawing>
      </w:r>
    </w:p>
    <w:p>
      <w:pPr>
        <w:spacing w:after="0" w:line="30" w:lineRule="exact"/>
        <w:rPr>
          <w:sz w:val="20"/>
          <w:szCs w:val="20"/>
          <w:color w:val="auto"/>
        </w:rPr>
      </w:pPr>
    </w:p>
    <w:p>
      <w:pPr>
        <w:ind w:left="8160"/>
        <w:spacing w:after="0"/>
        <w:tabs>
          <w:tab w:leader="none" w:pos="9380" w:val="left"/>
          <w:tab w:leader="none" w:pos="10600" w:val="left"/>
        </w:tabs>
        <w:rPr>
          <w:sz w:val="20"/>
          <w:szCs w:val="20"/>
          <w:color w:val="auto"/>
        </w:rPr>
      </w:pPr>
      <w:r>
        <w:rPr>
          <w:rFonts w:ascii="Times New Roman" w:cs="Times New Roman" w:eastAsia="Times New Roman" w:hAnsi="Times New Roman"/>
          <w:sz w:val="18"/>
          <w:szCs w:val="18"/>
          <w:b w:val="1"/>
          <w:bCs w:val="1"/>
          <w:color w:val="auto"/>
        </w:rPr>
        <w:t>2015</w:t>
      </w:r>
      <w:r>
        <w:rPr>
          <w:sz w:val="20"/>
          <w:szCs w:val="20"/>
          <w:color w:val="auto"/>
        </w:rPr>
        <w:tab/>
      </w:r>
      <w:r>
        <w:rPr>
          <w:rFonts w:ascii="Times New Roman" w:cs="Times New Roman" w:eastAsia="Times New Roman" w:hAnsi="Times New Roman"/>
          <w:sz w:val="18"/>
          <w:szCs w:val="18"/>
          <w:b w:val="1"/>
          <w:bCs w:val="1"/>
          <w:color w:val="auto"/>
        </w:rPr>
        <w:t>2016</w:t>
      </w:r>
      <w:r>
        <w:rPr>
          <w:sz w:val="20"/>
          <w:szCs w:val="20"/>
          <w:color w:val="auto"/>
        </w:rPr>
        <w:tab/>
      </w:r>
      <w:r>
        <w:rPr>
          <w:rFonts w:ascii="Times New Roman" w:cs="Times New Roman" w:eastAsia="Times New Roman" w:hAnsi="Times New Roman"/>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19685</wp:posOffset>
            </wp:positionV>
            <wp:extent cx="220408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2204085" cy="1714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Numerator for basic and diluted net earnings (losses) per share: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66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Net income (loss)</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(2,015</w:t>
            </w:r>
            <w:r>
              <w:rPr>
                <w:rFonts w:ascii="Times New Roman" w:cs="Times New Roman" w:eastAsia="Times New Roman" w:hAnsi="Times New Roman"/>
                <w:sz w:val="36"/>
                <w:szCs w:val="36"/>
                <w:color w:val="auto"/>
                <w:vertAlign w:val="superscript"/>
              </w:rPr>
              <w:t>)</w:t>
            </w:r>
          </w:p>
        </w:tc>
      </w:tr>
      <w:tr>
        <w:trPr>
          <w:trHeight w:val="21"/>
        </w:trPr>
        <w:tc>
          <w:tcPr>
            <w:tcW w:w="6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6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net of treasury stock:</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Denominator for basic net earnings (losses) per share</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24,633,369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30,562,255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33,574,147</w:t>
            </w:r>
          </w:p>
        </w:tc>
      </w:tr>
      <w:tr>
        <w:trPr>
          <w:trHeight w:val="216"/>
        </w:trPr>
        <w:tc>
          <w:tcPr>
            <w:tcW w:w="6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6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Employee share options</w:t>
            </w: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1,825,215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1,170,277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66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Denominator for diluted net earnings (losses) per share</w:t>
            </w:r>
          </w:p>
        </w:tc>
        <w:tc>
          <w:tcPr>
            <w:tcW w:w="1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26,458,584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31,732,532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33,574,147</w:t>
            </w:r>
          </w:p>
        </w:tc>
      </w:tr>
      <w:tr>
        <w:trPr>
          <w:trHeight w:val="21"/>
        </w:trPr>
        <w:tc>
          <w:tcPr>
            <w:tcW w:w="6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6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66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Basic net earnings (losses) per share</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(0.06</w:t>
            </w:r>
            <w:r>
              <w:rPr>
                <w:rFonts w:ascii="Times New Roman" w:cs="Times New Roman" w:eastAsia="Times New Roman" w:hAnsi="Times New Roman"/>
                <w:sz w:val="29"/>
                <w:szCs w:val="29"/>
                <w:color w:val="auto"/>
                <w:vertAlign w:val="superscript"/>
              </w:rPr>
              <w:t>)</w:t>
            </w:r>
          </w:p>
        </w:tc>
      </w:tr>
      <w:tr>
        <w:trPr>
          <w:trHeight w:val="21"/>
        </w:trPr>
        <w:tc>
          <w:tcPr>
            <w:tcW w:w="6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6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66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Diluted net earnings (losses) per share</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(0.06</w:t>
            </w:r>
            <w:r>
              <w:rPr>
                <w:rFonts w:ascii="Times New Roman" w:cs="Times New Roman" w:eastAsia="Times New Roman" w:hAnsi="Times New Roman"/>
                <w:sz w:val="29"/>
                <w:szCs w:val="29"/>
                <w:color w:val="auto"/>
                <w:vertAlign w:val="superscript"/>
              </w:rPr>
              <w:t>)</w:t>
            </w:r>
          </w:p>
        </w:tc>
      </w:tr>
      <w:tr>
        <w:trPr>
          <w:trHeight w:val="21"/>
        </w:trPr>
        <w:tc>
          <w:tcPr>
            <w:tcW w:w="6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balances of other comprehensive income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4"/>
              </w:rPr>
              <w:t>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marketable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cash flow</w:t>
            </w:r>
          </w:p>
        </w:tc>
        <w:tc>
          <w:tcPr>
            <w:tcW w:w="8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80" w:type="dxa"/>
            <w:vAlign w:val="bottom"/>
          </w:tcPr>
          <w:p>
            <w:pPr>
              <w:spacing w:after="0"/>
              <w:rPr>
                <w:sz w:val="21"/>
                <w:szCs w:val="21"/>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6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Year ended December 31, 2017:</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6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6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6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line="256" w:lineRule="exact"/>
              <w:rPr>
                <w:sz w:val="20"/>
                <w:szCs w:val="20"/>
                <w:color w:val="auto"/>
              </w:rPr>
            </w:pPr>
            <w:r>
              <w:rPr>
                <w:rFonts w:ascii="Times New Roman" w:cs="Times New Roman" w:eastAsia="Times New Roman" w:hAnsi="Times New Roman"/>
                <w:sz w:val="16"/>
                <w:szCs w:val="16"/>
                <w:color w:val="auto"/>
              </w:rPr>
              <w:t>(30</w:t>
            </w:r>
            <w:r>
              <w:rPr>
                <w:rFonts w:ascii="Times New Roman" w:cs="Times New Roman" w:eastAsia="Times New Roman" w:hAnsi="Times New Roman"/>
                <w:sz w:val="29"/>
                <w:szCs w:val="29"/>
                <w:color w:val="auto"/>
                <w:vertAlign w:val="superscript"/>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
        </w:trPr>
        <w:tc>
          <w:tcPr>
            <w:tcW w:w="6480" w:type="dxa"/>
            <w:vAlign w:val="bottom"/>
            <w:tcBorders>
              <w:top w:val="single" w:sz="8" w:color="CCEEFF"/>
              <w:bottom w:val="single" w:sz="8" w:color="CCEEFF"/>
            </w:tcBorders>
            <w:vMerge w:val="restart"/>
          </w:tcPr>
          <w:p>
            <w:pPr>
              <w:ind w:left="5560"/>
              <w:spacing w:after="0"/>
              <w:rPr>
                <w:sz w:val="20"/>
                <w:szCs w:val="20"/>
                <w:color w:val="auto"/>
              </w:rPr>
            </w:pPr>
            <w:r>
              <w:rPr>
                <w:rFonts w:ascii="Times New Roman" w:cs="Times New Roman" w:eastAsia="Times New Roman" w:hAnsi="Times New Roman"/>
                <w:sz w:val="18"/>
                <w:szCs w:val="18"/>
                <w:color w:val="auto"/>
              </w:rPr>
              <w:t>F-34</w:t>
            </w: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64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-2486660</wp:posOffset>
            </wp:positionV>
            <wp:extent cx="574675" cy="20326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574675" cy="203263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51" w:name="page152"/>
    <w:bookmarkEnd w:id="151"/>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 (Cont.)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4"/>
              </w:rPr>
              <w:t>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marketable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cash flow</w:t>
            </w:r>
          </w:p>
        </w:tc>
        <w:tc>
          <w:tcPr>
            <w:tcW w:w="8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80" w:type="dxa"/>
            <w:vAlign w:val="bottom"/>
          </w:tcPr>
          <w:p>
            <w:pPr>
              <w:spacing w:after="0"/>
              <w:rPr>
                <w:sz w:val="21"/>
                <w:szCs w:val="21"/>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6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6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37"/>
        </w:trPr>
        <w:tc>
          <w:tcPr>
            <w:tcW w:w="6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6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6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6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6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line="256" w:lineRule="exact"/>
              <w:rPr>
                <w:sz w:val="20"/>
                <w:szCs w:val="20"/>
                <w:color w:val="auto"/>
              </w:rPr>
            </w:pPr>
            <w:r>
              <w:rPr>
                <w:rFonts w:ascii="Times New Roman" w:cs="Times New Roman" w:eastAsia="Times New Roman" w:hAnsi="Times New Roman"/>
                <w:sz w:val="16"/>
                <w:szCs w:val="16"/>
                <w:color w:val="auto"/>
              </w:rPr>
              <w:t>(100</w:t>
            </w:r>
            <w:r>
              <w:rPr>
                <w:rFonts w:ascii="Times New Roman" w:cs="Times New Roman" w:eastAsia="Times New Roman" w:hAnsi="Times New Roman"/>
                <w:sz w:val="29"/>
                <w:szCs w:val="29"/>
                <w:color w:val="auto"/>
                <w:vertAlign w:val="superscript"/>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(82</w:t>
            </w:r>
            <w:r>
              <w:rPr>
                <w:rFonts w:ascii="Times New Roman" w:cs="Times New Roman" w:eastAsia="Times New Roman" w:hAnsi="Times New Roman"/>
                <w:sz w:val="29"/>
                <w:szCs w:val="29"/>
                <w:color w:val="auto"/>
                <w:vertAlign w:val="superscript"/>
              </w:rPr>
              <w:t>)</w:t>
            </w:r>
          </w:p>
        </w:tc>
      </w:tr>
      <w:tr>
        <w:trPr>
          <w:trHeight w:val="21"/>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-2057400</wp:posOffset>
            </wp:positionV>
            <wp:extent cx="574675" cy="20326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574675" cy="203263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TAXES ON INCOME</w:t>
      </w:r>
    </w:p>
    <w:p>
      <w:pPr>
        <w:spacing w:after="0" w:line="229" w:lineRule="exact"/>
        <w:rPr>
          <w:sz w:val="20"/>
          <w:szCs w:val="20"/>
          <w:color w:val="auto"/>
        </w:rPr>
      </w:pPr>
    </w:p>
    <w:p>
      <w:pPr>
        <w:ind w:left="1560" w:hanging="647"/>
        <w:spacing w:after="0"/>
        <w:tabs>
          <w:tab w:leader="none" w:pos="15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w:t>
      </w:r>
    </w:p>
    <w:p>
      <w:pPr>
        <w:spacing w:after="0" w:line="225" w:lineRule="exact"/>
        <w:rPr>
          <w:rFonts w:ascii="Times New Roman" w:cs="Times New Roman" w:eastAsia="Times New Roman" w:hAnsi="Times New Roman"/>
          <w:sz w:val="18"/>
          <w:szCs w:val="18"/>
          <w:color w:val="auto"/>
        </w:rPr>
      </w:pPr>
    </w:p>
    <w:p>
      <w:pPr>
        <w:ind w:left="15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of the Israeli companies is subject to the Israeli corporate tax at the rate as follows: 2015: 26.5%, 2016: 25% and 2017: 24%</w:t>
      </w:r>
    </w:p>
    <w:p>
      <w:pPr>
        <w:spacing w:after="0" w:line="161" w:lineRule="exact"/>
        <w:rPr>
          <w:rFonts w:ascii="Times New Roman" w:cs="Times New Roman" w:eastAsia="Times New Roman" w:hAnsi="Times New Roman"/>
          <w:sz w:val="18"/>
          <w:szCs w:val="18"/>
          <w:color w:val="auto"/>
        </w:rPr>
      </w:pPr>
    </w:p>
    <w:p>
      <w:pPr>
        <w:jc w:val="both"/>
        <w:ind w:left="1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2016, the Israeli Parliament approved the Economic Efficiency Law (Legislative Amendments for Applying the Economic Policy for the 2017 and 2018 Budget Years), which reduces the corporate income tax rate to 24% (instead of 25%) effective from January 1, 2017 and to 23% effective from January 1, 2018.</w:t>
      </w:r>
    </w:p>
    <w:p>
      <w:pPr>
        <w:spacing w:after="0" w:line="176"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under the Law for the Encouragement of Capital Investments, 1959 (the “Law”):</w:t>
      </w:r>
    </w:p>
    <w:p>
      <w:pPr>
        <w:spacing w:after="0" w:line="225" w:lineRule="exact"/>
        <w:rPr>
          <w:rFonts w:ascii="Times New Roman" w:cs="Times New Roman" w:eastAsia="Times New Roman" w:hAnsi="Times New Roman"/>
          <w:sz w:val="18"/>
          <w:szCs w:val="18"/>
          <w:color w:val="auto"/>
        </w:rPr>
      </w:pPr>
    </w:p>
    <w:p>
      <w:pPr>
        <w:jc w:val="both"/>
        <w:ind w:left="1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production facilities in Israel have been granted “Beneficiary Enterprise” status under the Law. The Companies have been granted the “Alternative Benefit Track” under which the main benefits are a tax exemption for undistributed income and a reduced tax rate.</w:t>
      </w:r>
    </w:p>
    <w:p>
      <w:pPr>
        <w:spacing w:after="0" w:line="176" w:lineRule="exact"/>
        <w:rPr>
          <w:rFonts w:ascii="Times New Roman" w:cs="Times New Roman" w:eastAsia="Times New Roman" w:hAnsi="Times New Roman"/>
          <w:sz w:val="18"/>
          <w:szCs w:val="18"/>
          <w:color w:val="auto"/>
        </w:rPr>
      </w:pPr>
    </w:p>
    <w:p>
      <w:pPr>
        <w:ind w:left="1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tax benefits is subject to a limitation of the earlier of 12 years from commencement of production, or 14 years from the approval date. The Israeli Companies began to utilize such tax benefits in 2010.</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52" w:name="page153"/>
    <w:bookmarkEnd w:id="152"/>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TAXES ON INCOME (Cont.)</w:t>
      </w:r>
    </w:p>
    <w:p>
      <w:pPr>
        <w:spacing w:after="0" w:line="229" w:lineRule="exact"/>
        <w:rPr>
          <w:sz w:val="20"/>
          <w:szCs w:val="20"/>
          <w:color w:val="auto"/>
        </w:rPr>
      </w:pPr>
    </w:p>
    <w:p>
      <w:pPr>
        <w:jc w:val="both"/>
        <w:ind w:left="1560"/>
        <w:spacing w:after="0" w:line="261" w:lineRule="auto"/>
        <w:rPr>
          <w:sz w:val="20"/>
          <w:szCs w:val="20"/>
          <w:color w:val="auto"/>
        </w:rPr>
      </w:pPr>
      <w:r>
        <w:rPr>
          <w:rFonts w:ascii="Times New Roman" w:cs="Times New Roman" w:eastAsia="Times New Roman" w:hAnsi="Times New Roman"/>
          <w:sz w:val="18"/>
          <w:szCs w:val="18"/>
          <w:color w:val="auto"/>
        </w:rPr>
        <w:t>The entitlement to the above benefits is conditional upon the Company and its subsidiary fulfilling the conditions stipulated by the Law and regulations published. In the event of failure to comply with these conditions, the benefits may be partially or fully canceled and the Company or its subsidiary may be required to refund the amount of the benefits, in whole or in part, plus a consumer price index linkage adjustment and including interest.</w:t>
      </w:r>
    </w:p>
    <w:p>
      <w:pPr>
        <w:spacing w:after="0" w:line="18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Income from sources other than the “Beneficiary Enterprise” are subject to the tax at the regular rate.</w:t>
      </w:r>
    </w:p>
    <w:p>
      <w:pPr>
        <w:spacing w:after="0" w:line="225" w:lineRule="exact"/>
        <w:rPr>
          <w:sz w:val="20"/>
          <w:szCs w:val="20"/>
          <w:color w:val="auto"/>
        </w:rPr>
      </w:pPr>
    </w:p>
    <w:p>
      <w:pPr>
        <w:jc w:val="both"/>
        <w:ind w:left="1560"/>
        <w:spacing w:after="0" w:line="282" w:lineRule="auto"/>
        <w:rPr>
          <w:sz w:val="20"/>
          <w:szCs w:val="20"/>
          <w:color w:val="auto"/>
        </w:rPr>
      </w:pPr>
      <w:r>
        <w:rPr>
          <w:rFonts w:ascii="Times New Roman" w:cs="Times New Roman" w:eastAsia="Times New Roman" w:hAnsi="Times New Roman"/>
          <w:sz w:val="18"/>
          <w:szCs w:val="18"/>
          <w:color w:val="auto"/>
        </w:rPr>
        <w:t>In the event of distribution of dividends from the above mentioned tax-exempt income, the amount distributed will be subject to the same reduced corporate tax rate that would have been applied to the Beneficiary Enterprise’s income.</w:t>
      </w:r>
    </w:p>
    <w:p>
      <w:pPr>
        <w:spacing w:after="0" w:line="162" w:lineRule="exact"/>
        <w:rPr>
          <w:sz w:val="20"/>
          <w:szCs w:val="20"/>
          <w:color w:val="auto"/>
        </w:rPr>
      </w:pPr>
    </w:p>
    <w:p>
      <w:pPr>
        <w:ind w:left="1540"/>
        <w:spacing w:after="0" w:line="282" w:lineRule="auto"/>
        <w:rPr>
          <w:sz w:val="20"/>
          <w:szCs w:val="20"/>
          <w:color w:val="auto"/>
        </w:rPr>
      </w:pPr>
      <w:r>
        <w:rPr>
          <w:rFonts w:ascii="Times New Roman" w:cs="Times New Roman" w:eastAsia="Times New Roman" w:hAnsi="Times New Roman"/>
          <w:sz w:val="18"/>
          <w:szCs w:val="18"/>
          <w:color w:val="auto"/>
        </w:rPr>
        <w:t>In addition, tax-exempt income attributed to the Beneficiary Enterprise will subject the Company to taxes upon distribution in any manner including complete liquidation.</w:t>
      </w:r>
    </w:p>
    <w:p>
      <w:pPr>
        <w:spacing w:after="0" w:line="162" w:lineRule="exact"/>
        <w:rPr>
          <w:sz w:val="20"/>
          <w:szCs w:val="20"/>
          <w:color w:val="auto"/>
        </w:rPr>
      </w:pPr>
    </w:p>
    <w:p>
      <w:pPr>
        <w:jc w:val="both"/>
        <w:ind w:left="1560"/>
        <w:spacing w:after="0" w:line="261" w:lineRule="auto"/>
        <w:rPr>
          <w:sz w:val="20"/>
          <w:szCs w:val="20"/>
          <w:color w:val="auto"/>
        </w:rPr>
      </w:pPr>
      <w:r>
        <w:rPr>
          <w:rFonts w:ascii="Times New Roman" w:cs="Times New Roman" w:eastAsia="Times New Roman" w:hAnsi="Times New Roman"/>
          <w:sz w:val="18"/>
          <w:szCs w:val="18"/>
          <w:color w:val="auto"/>
        </w:rPr>
        <w:t>The Company does not intend to distribute any amounts of its undistributed tax-exempt income as dividend. The Company and its board of directors intend to reinvest its tax-exempt income and not to distribute such income as a dividend. Accordingly, no deferred income taxes have been provided on income attributable to the Company’s Beneficiary Enterprise programs as the undistributed tax-exempt income is essentially permanent by reinvestment.</w:t>
      </w:r>
    </w:p>
    <w:p>
      <w:pPr>
        <w:spacing w:after="0" w:line="180" w:lineRule="exact"/>
        <w:rPr>
          <w:sz w:val="20"/>
          <w:szCs w:val="20"/>
          <w:color w:val="auto"/>
        </w:rPr>
      </w:pPr>
    </w:p>
    <w:p>
      <w:pPr>
        <w:jc w:val="both"/>
        <w:ind w:left="1540"/>
        <w:spacing w:after="0" w:line="266" w:lineRule="auto"/>
        <w:rPr>
          <w:sz w:val="20"/>
          <w:szCs w:val="20"/>
          <w:color w:val="auto"/>
        </w:rPr>
      </w:pPr>
      <w:r>
        <w:rPr>
          <w:rFonts w:ascii="Times New Roman" w:cs="Times New Roman" w:eastAsia="Times New Roman" w:hAnsi="Times New Roman"/>
          <w:sz w:val="18"/>
          <w:szCs w:val="18"/>
          <w:color w:val="auto"/>
        </w:rPr>
        <w:t>As of December 31, 2017, tax-exempt income of $74,896 is attributable to the Company’s and its subsidiary’s various Beneficiary Enterprise programs. If such tax-exempt income is distributed, it would be taxed at the reduced corporate tax rate applicable to such income, and $18,724 would be incurred as of December 31, 2017.</w:t>
      </w:r>
    </w:p>
    <w:p>
      <w:pPr>
        <w:spacing w:after="0" w:line="176" w:lineRule="exact"/>
        <w:rPr>
          <w:sz w:val="20"/>
          <w:szCs w:val="20"/>
          <w:color w:val="auto"/>
        </w:rPr>
      </w:pPr>
    </w:p>
    <w:p>
      <w:pPr>
        <w:jc w:val="both"/>
        <w:ind w:left="1540" w:right="20"/>
        <w:spacing w:after="0" w:line="266" w:lineRule="auto"/>
        <w:rPr>
          <w:sz w:val="20"/>
          <w:szCs w:val="20"/>
          <w:color w:val="auto"/>
        </w:rPr>
      </w:pPr>
      <w:r>
        <w:rPr>
          <w:rFonts w:ascii="Times New Roman" w:cs="Times New Roman" w:eastAsia="Times New Roman" w:hAnsi="Times New Roman"/>
          <w:sz w:val="18"/>
          <w:szCs w:val="18"/>
          <w:color w:val="auto"/>
        </w:rPr>
        <w:t>A January 2011 amendment to the Law sets alternative benefit tracks to those previously in place, as follows: an investment grants track designed for enterprises located in national development zone A and two new tax benefits tracks (“Preferred Enterprise” and “Special Preferred Enterprise”), which provide for application of a unified tax rate to all preferred income of the company, as defined in the Law.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53" w:name="page154"/>
    <w:bookmarkEnd w:id="153"/>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TAXES ON INCOME (Cont.)</w:t>
      </w:r>
    </w:p>
    <w:p>
      <w:pPr>
        <w:spacing w:after="0" w:line="229" w:lineRule="exact"/>
        <w:rPr>
          <w:sz w:val="20"/>
          <w:szCs w:val="20"/>
          <w:color w:val="auto"/>
        </w:rPr>
      </w:pPr>
    </w:p>
    <w:p>
      <w:pPr>
        <w:jc w:val="both"/>
        <w:ind w:left="1540"/>
        <w:spacing w:after="0" w:line="254" w:lineRule="auto"/>
        <w:rPr>
          <w:sz w:val="20"/>
          <w:szCs w:val="20"/>
          <w:color w:val="auto"/>
        </w:rPr>
      </w:pPr>
      <w:r>
        <w:rPr>
          <w:rFonts w:ascii="Times New Roman" w:cs="Times New Roman" w:eastAsia="Times New Roman" w:hAnsi="Times New Roman"/>
          <w:sz w:val="18"/>
          <w:szCs w:val="18"/>
          <w:color w:val="auto"/>
        </w:rPr>
        <w:t>The 2011 Amendment canceled the availability of the benefits granted in accordance with the provisions of the Law prior to 2011 and, instead, introduced new benefits for income generated by a “Preferred Company” through its Preferred Enterprise (as such term is defined in the Law) effective as of January 1, 2011 and thereafter. A Preferred Company is defined as either (i) a company incorporated in Israel and not fully owned by a governmental entity or (ii) a limited partnership that: (a) was registered under the Partnerships Ordinance; (b) all of its limited partners are companies incorporated in Israel, but not all of them are governmental entities, which, among other things, has Preferred Enterprise status and are controlled and managed from Israel. Pursuant to the 2011 Amendment, a Preferred Company is entitled to a reduced corporate flat tax rate of 16% with respect to its preferred income, unless the Preferred Enterprise is located in a certain development zone, in which case the rate will be 9%.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w:t>
      </w:r>
    </w:p>
    <w:p>
      <w:pPr>
        <w:spacing w:after="0" w:line="186" w:lineRule="exact"/>
        <w:rPr>
          <w:sz w:val="20"/>
          <w:szCs w:val="20"/>
          <w:color w:val="auto"/>
        </w:rPr>
      </w:pPr>
    </w:p>
    <w:p>
      <w:pPr>
        <w:jc w:val="both"/>
        <w:ind w:left="1560"/>
        <w:spacing w:after="0" w:line="258" w:lineRule="auto"/>
        <w:rPr>
          <w:sz w:val="20"/>
          <w:szCs w:val="20"/>
          <w:color w:val="auto"/>
        </w:rPr>
      </w:pPr>
      <w:r>
        <w:rPr>
          <w:rFonts w:ascii="Times New Roman" w:cs="Times New Roman" w:eastAsia="Times New Roman" w:hAnsi="Times New Roman"/>
          <w:sz w:val="18"/>
          <w:szCs w:val="18"/>
          <w:color w:val="auto"/>
        </w:rPr>
        <w:t>In December 2016, the Economic Efficiency Law (Legislative Amendments for Applying the Economic Policy for the 2017 and 2018 Budget Years), 2016 which includes Amendment 73 to the Law for the Encouragement of Capital Investments (“the Amendment”) was published. According to the Amendment, a preferred enterprise located in development area A will be subject to a tax rate of 7.5% instead of 9% effective from January 1, 2017 and thereafter (the tax rate applicable to preferred enterprises located in other areas remains at 16%).</w:t>
      </w:r>
    </w:p>
    <w:p>
      <w:pPr>
        <w:spacing w:after="0" w:line="184" w:lineRule="exact"/>
        <w:rPr>
          <w:sz w:val="20"/>
          <w:szCs w:val="20"/>
          <w:color w:val="auto"/>
        </w:rPr>
      </w:pPr>
    </w:p>
    <w:p>
      <w:pPr>
        <w:jc w:val="both"/>
        <w:ind w:left="1560"/>
        <w:spacing w:after="0" w:line="266" w:lineRule="auto"/>
        <w:rPr>
          <w:sz w:val="20"/>
          <w:szCs w:val="20"/>
          <w:color w:val="auto"/>
        </w:rPr>
      </w:pPr>
      <w:r>
        <w:rPr>
          <w:rFonts w:ascii="Times New Roman" w:cs="Times New Roman" w:eastAsia="Times New Roman" w:hAnsi="Times New Roman"/>
          <w:sz w:val="18"/>
          <w:szCs w:val="18"/>
          <w:color w:val="auto"/>
        </w:rPr>
        <w:t>Dividends paid out of income attributed to a Preferred Enterprise are generally subject to withholding tax at source at the rate of 20% or such lower rate as may be provided in an applicable tax treaty. However, if such dividends are paid to an Israeli company, no tax will be withheld.</w:t>
      </w:r>
    </w:p>
    <w:p>
      <w:pPr>
        <w:spacing w:after="0" w:line="176" w:lineRule="exact"/>
        <w:rPr>
          <w:sz w:val="20"/>
          <w:szCs w:val="20"/>
          <w:color w:val="auto"/>
        </w:rPr>
      </w:pPr>
    </w:p>
    <w:p>
      <w:pPr>
        <w:jc w:val="both"/>
        <w:ind w:left="1560"/>
        <w:spacing w:after="0" w:line="256" w:lineRule="auto"/>
        <w:rPr>
          <w:sz w:val="20"/>
          <w:szCs w:val="20"/>
          <w:color w:val="auto"/>
        </w:rPr>
      </w:pPr>
      <w:r>
        <w:rPr>
          <w:rFonts w:ascii="Times New Roman" w:cs="Times New Roman" w:eastAsia="Times New Roman" w:hAnsi="Times New Roman"/>
          <w:sz w:val="18"/>
          <w:szCs w:val="18"/>
          <w:color w:val="auto"/>
        </w:rPr>
        <w:t>The 2011 Amendment also provided transitional provisions to address companies already enjoying current benefits. a Beneficiary Enterprise can elect to continue to benefit from the benefits provided to it before the 2011 Amendment came into effect, provided that certain conditions are met, or file a request with the Israeli Tax Authority according to which its income derived as of January 1, 2011 will be subject to the provisions of the Law as amended in 2011. The Company has examined the possible effect, of these provisions of the 2011 Amendment on its financial statements and has decided, not to opt to apply the new benefits under the 2011 Amendment for the Israeli parent company and for its Israeli subsidiary it elected in 2013 to apply the benefit under the 2011 Amendment.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54" w:name="page155"/>
    <w:bookmarkEnd w:id="154"/>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TAXES ON INCOME (Cont.)</w:t>
      </w:r>
    </w:p>
    <w:p>
      <w:pPr>
        <w:spacing w:after="0" w:line="2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Tax benefits under the Israeli Law for the Encouragement of Industry (Taxation), 1969:</w:t>
      </w:r>
    </w:p>
    <w:p>
      <w:pPr>
        <w:spacing w:after="0" w:line="225" w:lineRule="exact"/>
        <w:rPr>
          <w:sz w:val="20"/>
          <w:szCs w:val="20"/>
          <w:color w:val="auto"/>
        </w:rPr>
      </w:pPr>
    </w:p>
    <w:p>
      <w:pPr>
        <w:jc w:val="both"/>
        <w:ind w:left="1560"/>
        <w:spacing w:after="0" w:line="266" w:lineRule="auto"/>
        <w:rPr>
          <w:sz w:val="20"/>
          <w:szCs w:val="20"/>
          <w:color w:val="auto"/>
        </w:rPr>
      </w:pPr>
      <w:r>
        <w:rPr>
          <w:rFonts w:ascii="Times New Roman" w:cs="Times New Roman" w:eastAsia="Times New Roman" w:hAnsi="Times New Roman"/>
          <w:sz w:val="18"/>
          <w:szCs w:val="18"/>
          <w:color w:val="auto"/>
        </w:rPr>
        <w:t>The Israeli companies are an “Industrial Company” as defined by the Israeli Law for the Encouragement of Industry (Taxation), 1969, and, as such, are entitled to certain tax benefits including accelerated depreciation, deduction of public offering expenses in three equal annual installments and amortization of other intangible property rights for tax purposes.</w:t>
      </w:r>
    </w:p>
    <w:p>
      <w:pPr>
        <w:spacing w:after="0" w:line="176" w:lineRule="exact"/>
        <w:rPr>
          <w:sz w:val="20"/>
          <w:szCs w:val="20"/>
          <w:color w:val="auto"/>
        </w:rPr>
      </w:pPr>
    </w:p>
    <w:p>
      <w:pPr>
        <w:ind w:left="1560" w:hanging="647"/>
        <w:spacing w:after="0"/>
        <w:tabs>
          <w:tab w:leader="none" w:pos="15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of non-Israeli subsidiaries:</w:t>
      </w:r>
    </w:p>
    <w:p>
      <w:pPr>
        <w:spacing w:after="0" w:line="225"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Non-Israeli subsidiaries are taxed according to the tax laws in their respective countries of residence.</w:t>
      </w:r>
    </w:p>
    <w:p>
      <w:pPr>
        <w:spacing w:after="0" w:line="225" w:lineRule="exact"/>
        <w:rPr>
          <w:rFonts w:ascii="Times New Roman" w:cs="Times New Roman" w:eastAsia="Times New Roman" w:hAnsi="Times New Roman"/>
          <w:sz w:val="18"/>
          <w:szCs w:val="18"/>
          <w:color w:val="auto"/>
        </w:rPr>
      </w:pPr>
    </w:p>
    <w:p>
      <w:pPr>
        <w:jc w:val="both"/>
        <w:ind w:left="15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were not provided for undistributed earnings of the Company’s foreign subsidiaries. The Company’s board of directors has determined that the Company does not currently intend to distribute any amounts of its undistributed earnings as dividend. The Company intends to reinvest these earnings indefinitely in the foreign subsidiaries. Accordingly, no deferred income taxes have been provided. If these earnings were distributed to Israel in the form of dividends or otherwise, the Company would be subject to additional Israeli income taxes (subject to an adjustment for foreign tax credits) and foreign withholding taxes.</w:t>
      </w:r>
    </w:p>
    <w:p>
      <w:pPr>
        <w:spacing w:after="0" w:line="183" w:lineRule="exact"/>
        <w:rPr>
          <w:rFonts w:ascii="Times New Roman" w:cs="Times New Roman" w:eastAsia="Times New Roman" w:hAnsi="Times New Roman"/>
          <w:sz w:val="18"/>
          <w:szCs w:val="18"/>
          <w:color w:val="auto"/>
        </w:rPr>
      </w:pPr>
    </w:p>
    <w:p>
      <w:pPr>
        <w:jc w:val="both"/>
        <w:ind w:left="1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undistributed earnings of foreign subsidiaries that are considered to be reinvested as of December 31, 2017 was $4,900. If these undistributed earnings are distributed, they would be taxed at the corporate tax rate applicable to such income, and $491 would be incurred as of December 31, 2017.</w:t>
      </w:r>
    </w:p>
    <w:p>
      <w:pPr>
        <w:spacing w:after="0" w:line="176"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Reform in the U.S:</w:t>
      </w:r>
    </w:p>
    <w:p>
      <w:pPr>
        <w:spacing w:after="0" w:line="225" w:lineRule="exact"/>
        <w:rPr>
          <w:rFonts w:ascii="Times New Roman" w:cs="Times New Roman" w:eastAsia="Times New Roman" w:hAnsi="Times New Roman"/>
          <w:sz w:val="18"/>
          <w:szCs w:val="18"/>
          <w:color w:val="auto"/>
        </w:rPr>
      </w:pPr>
    </w:p>
    <w:p>
      <w:pPr>
        <w:ind w:left="15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22, 2017, the U.S. enacted the Tax Cuts and Jobs Act (the “Act”), which among other provisions, reduced the U.S. corporate tax rate from 35% to 21%, effective January 1, 2018.</w:t>
      </w:r>
    </w:p>
    <w:p>
      <w:pPr>
        <w:spacing w:after="0" w:line="161" w:lineRule="exact"/>
        <w:rPr>
          <w:rFonts w:ascii="Times New Roman" w:cs="Times New Roman" w:eastAsia="Times New Roman" w:hAnsi="Times New Roman"/>
          <w:sz w:val="18"/>
          <w:szCs w:val="18"/>
          <w:color w:val="auto"/>
        </w:rPr>
      </w:pPr>
    </w:p>
    <w:p>
      <w:pPr>
        <w:jc w:val="both"/>
        <w:ind w:left="1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2017, the Company has made reasonable estimates of the effects on the existing deferred tax balances for which provisional amounts have been recorded. The Company re-measured certain of its U.S. deferred tax assets and liabilities, based on the rates at which they are expected to reverse in the future. The estimated tax expense recorded related to the re-measurement of the deferred tax balance was $355.</w:t>
      </w:r>
    </w:p>
    <w:p>
      <w:pPr>
        <w:spacing w:after="0" w:line="180" w:lineRule="exact"/>
        <w:rPr>
          <w:rFonts w:ascii="Times New Roman" w:cs="Times New Roman" w:eastAsia="Times New Roman" w:hAnsi="Times New Roman"/>
          <w:sz w:val="18"/>
          <w:szCs w:val="18"/>
          <w:color w:val="auto"/>
        </w:rPr>
      </w:pPr>
    </w:p>
    <w:p>
      <w:pPr>
        <w:jc w:val="both"/>
        <w:ind w:left="1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aforesaid provisional amounts are based on the Company’s initial analysis of the Act as of December 31, 2017. Given the significant complexity of the Act, anticipated guidance from the U.S. Treasury about implementing the Act, the potential for additional guidance from the Securities and Exchange Commission or the Financial Accounting Standards Board related to the Act, as well as additional analysis and revisions to be conducted by the Company, these estimates may be adjusted during 2018.</w:t>
      </w:r>
    </w:p>
    <w:p>
      <w:pPr>
        <w:spacing w:after="0" w:line="180"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tax assessments:</w:t>
      </w:r>
    </w:p>
    <w:p>
      <w:pPr>
        <w:spacing w:after="0" w:line="225" w:lineRule="exact"/>
        <w:rPr>
          <w:rFonts w:ascii="Times New Roman" w:cs="Times New Roman" w:eastAsia="Times New Roman" w:hAnsi="Times New Roman"/>
          <w:sz w:val="18"/>
          <w:szCs w:val="18"/>
          <w:color w:val="auto"/>
        </w:rPr>
      </w:pPr>
    </w:p>
    <w:p>
      <w:pPr>
        <w:ind w:left="1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Israeli subsidiary received final tax assessments through 2012. The U.S subsidiary received final tax assessment through 2011 and the German and the Hong Kong Subsidiaries have not received a final tax assessment since inception.</w:t>
      </w:r>
    </w:p>
    <w:p>
      <w:pPr>
        <w:spacing w:after="0" w:line="161"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Carryforward losses for tax purposes:</w:t>
      </w:r>
    </w:p>
    <w:p>
      <w:pPr>
        <w:spacing w:after="0" w:line="225" w:lineRule="exact"/>
        <w:rPr>
          <w:sz w:val="20"/>
          <w:szCs w:val="20"/>
          <w:color w:val="auto"/>
        </w:rPr>
      </w:pPr>
    </w:p>
    <w:p>
      <w:pPr>
        <w:ind w:left="1540"/>
        <w:spacing w:after="0" w:line="282" w:lineRule="auto"/>
        <w:rPr>
          <w:sz w:val="20"/>
          <w:szCs w:val="20"/>
          <w:color w:val="auto"/>
        </w:rPr>
      </w:pPr>
      <w:r>
        <w:rPr>
          <w:rFonts w:ascii="Times New Roman" w:cs="Times New Roman" w:eastAsia="Times New Roman" w:hAnsi="Times New Roman"/>
          <w:sz w:val="18"/>
          <w:szCs w:val="18"/>
          <w:color w:val="auto"/>
        </w:rPr>
        <w:t>Carryforward operating tax losses of the Company and the Company’s Israeli subsidiary total approximately $50,763 as of December 31, 2017 and may be used indefinitely.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55" w:name="page156"/>
    <w:bookmarkEnd w:id="155"/>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TAXES ON INCOME (Cont.)</w:t>
      </w:r>
    </w:p>
    <w:p>
      <w:pPr>
        <w:spacing w:after="0" w:line="229" w:lineRule="exact"/>
        <w:rPr>
          <w:sz w:val="20"/>
          <w:szCs w:val="20"/>
          <w:color w:val="auto"/>
        </w:rPr>
      </w:pPr>
    </w:p>
    <w:p>
      <w:pPr>
        <w:ind w:left="1560" w:hanging="647"/>
        <w:spacing w:after="0"/>
        <w:tabs>
          <w:tab w:leader="none" w:pos="15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w:t>
      </w:r>
    </w:p>
    <w:p>
      <w:pPr>
        <w:spacing w:after="0" w:line="225" w:lineRule="exact"/>
        <w:rPr>
          <w:rFonts w:ascii="Times New Roman" w:cs="Times New Roman" w:eastAsia="Times New Roman" w:hAnsi="Times New Roman"/>
          <w:sz w:val="18"/>
          <w:szCs w:val="18"/>
          <w:color w:val="auto"/>
        </w:rPr>
      </w:pPr>
    </w:p>
    <w:p>
      <w:pPr>
        <w:jc w:val="both"/>
        <w:ind w:left="1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7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7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Carryforward tax losses</w:t>
            </w:r>
          </w:p>
        </w:tc>
        <w:tc>
          <w:tcPr>
            <w:tcW w:w="2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shd w:val="clear" w:color="auto" w:fill="CCEEFF"/>
          </w:tcPr>
          <w:p>
            <w:pPr>
              <w:spacing w:after="0"/>
              <w:rPr>
                <w:sz w:val="18"/>
                <w:szCs w:val="18"/>
                <w:color w:val="auto"/>
              </w:rPr>
            </w:pPr>
          </w:p>
        </w:tc>
      </w:tr>
      <w:tr>
        <w:trPr>
          <w:trHeight w:val="237"/>
        </w:trPr>
        <w:tc>
          <w:tcPr>
            <w:tcW w:w="72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2,131</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Deferred tax assets</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Deferred tax liability due to property and equipment</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2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Valuation allowance</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(3,605)</w:t>
            </w: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(5,503)</w:t>
            </w:r>
          </w:p>
        </w:tc>
      </w:tr>
      <w:tr>
        <w:trPr>
          <w:trHeight w:val="216"/>
        </w:trPr>
        <w:tc>
          <w:tcPr>
            <w:tcW w:w="72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72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Deferred tax assets, net</w:t>
            </w: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2"/>
                <w:szCs w:val="22"/>
                <w:color w:val="auto"/>
              </w:rPr>
            </w:pPr>
          </w:p>
        </w:tc>
      </w:tr>
      <w:tr>
        <w:trPr>
          <w:trHeight w:val="21"/>
        </w:trPr>
        <w:tc>
          <w:tcPr>
            <w:tcW w:w="7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-1954530</wp:posOffset>
            </wp:positionV>
            <wp:extent cx="986155" cy="19297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986155" cy="1929765"/>
                    </a:xfrm>
                    <a:prstGeom prst="rect">
                      <a:avLst/>
                    </a:prstGeom>
                    <a:noFill/>
                  </pic:spPr>
                </pic:pic>
              </a:graphicData>
            </a:graphic>
          </wp:anchor>
        </w:drawing>
      </w:r>
    </w:p>
    <w:p>
      <w:pPr>
        <w:spacing w:after="0" w:line="178" w:lineRule="exact"/>
        <w:rPr>
          <w:sz w:val="20"/>
          <w:szCs w:val="20"/>
          <w:color w:val="auto"/>
        </w:rPr>
      </w:pPr>
    </w:p>
    <w:p>
      <w:pPr>
        <w:ind w:left="1560"/>
        <w:spacing w:after="0" w:line="282" w:lineRule="auto"/>
        <w:rPr>
          <w:sz w:val="20"/>
          <w:szCs w:val="20"/>
          <w:color w:val="auto"/>
        </w:rPr>
      </w:pPr>
      <w:r>
        <w:rPr>
          <w:rFonts w:ascii="Times New Roman" w:cs="Times New Roman" w:eastAsia="Times New Roman" w:hAnsi="Times New Roman"/>
          <w:sz w:val="18"/>
          <w:szCs w:val="18"/>
          <w:color w:val="auto"/>
        </w:rPr>
        <w:t>The net change in the valuation allowance primarily reflects an increase in deferred tax assets on net operating and other temporary differences for which full valuation allowance is recorded.</w:t>
      </w:r>
    </w:p>
    <w:p>
      <w:pPr>
        <w:spacing w:after="0" w:line="162" w:lineRule="exact"/>
        <w:rPr>
          <w:sz w:val="20"/>
          <w:szCs w:val="20"/>
          <w:color w:val="auto"/>
        </w:rPr>
      </w:pPr>
    </w:p>
    <w:p>
      <w:pPr>
        <w:ind w:left="1560" w:hanging="647"/>
        <w:spacing w:after="0"/>
        <w:tabs>
          <w:tab w:leader="none" w:pos="15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(loss) before income taxes is comprised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8"/>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8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48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Domestic</w:t>
            </w:r>
          </w:p>
        </w:tc>
        <w:tc>
          <w:tcPr>
            <w:tcW w:w="3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(507)</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(3,328)</w:t>
            </w:r>
          </w:p>
        </w:tc>
      </w:tr>
      <w:tr>
        <w:trPr>
          <w:trHeight w:val="237"/>
        </w:trPr>
        <w:tc>
          <w:tcPr>
            <w:tcW w:w="48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Foreign</w:t>
            </w: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1,697</w:t>
            </w:r>
          </w:p>
        </w:tc>
      </w:tr>
      <w:tr>
        <w:trPr>
          <w:trHeight w:val="216"/>
        </w:trPr>
        <w:tc>
          <w:tcPr>
            <w:tcW w:w="480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48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1,476</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(1,631</w:t>
            </w:r>
            <w:r>
              <w:rPr>
                <w:rFonts w:ascii="Times New Roman" w:cs="Times New Roman" w:eastAsia="Times New Roman" w:hAnsi="Times New Roman"/>
                <w:sz w:val="29"/>
                <w:szCs w:val="29"/>
                <w:color w:val="auto"/>
                <w:vertAlign w:val="superscript"/>
              </w:rPr>
              <w:t>)</w:t>
            </w:r>
          </w:p>
        </w:tc>
      </w:tr>
      <w:tr>
        <w:trPr>
          <w:trHeight w:val="21"/>
        </w:trPr>
        <w:tc>
          <w:tcPr>
            <w:tcW w:w="48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8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
          </w:tcPr>
          <w:p>
            <w:pPr>
              <w:jc w:val="right"/>
              <w:ind w:right="2140"/>
              <w:spacing w:after="0"/>
              <w:rPr>
                <w:sz w:val="20"/>
                <w:szCs w:val="20"/>
                <w:color w:val="auto"/>
              </w:rPr>
            </w:pPr>
            <w:r>
              <w:rPr>
                <w:rFonts w:ascii="Times New Roman" w:cs="Times New Roman" w:eastAsia="Times New Roman" w:hAnsi="Times New Roman"/>
                <w:sz w:val="18"/>
                <w:szCs w:val="18"/>
                <w:color w:val="auto"/>
              </w:rPr>
              <w:t>F-39</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-1534160</wp:posOffset>
            </wp:positionV>
            <wp:extent cx="986155" cy="10807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986155" cy="108077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56" w:name="page157"/>
    <w:bookmarkEnd w:id="156"/>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TAXES ON INCOME (Cont.)</w:t>
      </w:r>
    </w:p>
    <w:p>
      <w:pPr>
        <w:spacing w:after="0" w:line="229" w:lineRule="exact"/>
        <w:rPr>
          <w:sz w:val="20"/>
          <w:szCs w:val="20"/>
          <w:color w:val="auto"/>
        </w:rPr>
      </w:pPr>
    </w:p>
    <w:p>
      <w:pPr>
        <w:ind w:left="1560" w:hanging="647"/>
        <w:spacing w:after="0"/>
        <w:tabs>
          <w:tab w:leader="none" w:pos="15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income are comprised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5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Current taxes</w:t>
            </w:r>
          </w:p>
        </w:tc>
        <w:tc>
          <w:tcPr>
            <w:tcW w:w="330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766</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829</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r>
      <w:tr>
        <w:trPr>
          <w:trHeight w:val="237"/>
        </w:trPr>
        <w:tc>
          <w:tcPr>
            <w:tcW w:w="52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Deferred taxes</w:t>
            </w:r>
          </w:p>
        </w:tc>
        <w:tc>
          <w:tcPr>
            <w:tcW w:w="2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52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5220" w:type="dxa"/>
            <w:vAlign w:val="bottom"/>
          </w:tcPr>
          <w:p>
            <w:pPr>
              <w:spacing w:after="0"/>
              <w:rPr>
                <w:sz w:val="24"/>
                <w:szCs w:val="24"/>
                <w:color w:val="auto"/>
              </w:rPr>
            </w:pPr>
          </w:p>
        </w:tc>
        <w:tc>
          <w:tcPr>
            <w:tcW w:w="33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52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Domestic</w:t>
            </w:r>
          </w:p>
        </w:tc>
        <w:tc>
          <w:tcPr>
            <w:tcW w:w="33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(113)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w:t>
            </w:r>
          </w:p>
        </w:tc>
      </w:tr>
      <w:tr>
        <w:trPr>
          <w:trHeight w:val="237"/>
        </w:trPr>
        <w:tc>
          <w:tcPr>
            <w:tcW w:w="52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Foreign</w:t>
            </w:r>
          </w:p>
        </w:tc>
        <w:tc>
          <w:tcPr>
            <w:tcW w:w="26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978</w:t>
            </w:r>
          </w:p>
        </w:tc>
      </w:tr>
      <w:tr>
        <w:trPr>
          <w:trHeight w:val="216"/>
        </w:trPr>
        <w:tc>
          <w:tcPr>
            <w:tcW w:w="52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5220" w:type="dxa"/>
            <w:vAlign w:val="bottom"/>
            <w:shd w:val="clear" w:color="auto" w:fill="CCEEFF"/>
          </w:tcPr>
          <w:p>
            <w:pPr>
              <w:spacing w:after="0"/>
              <w:rPr>
                <w:sz w:val="22"/>
                <w:szCs w:val="22"/>
                <w:color w:val="auto"/>
              </w:rPr>
            </w:pPr>
          </w:p>
        </w:tc>
        <w:tc>
          <w:tcPr>
            <w:tcW w:w="330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648</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1"/>
        </w:trPr>
        <w:tc>
          <w:tcPr>
            <w:tcW w:w="52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-1885950</wp:posOffset>
            </wp:positionV>
            <wp:extent cx="986155" cy="18611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986155" cy="186118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7"/>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53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Domestic taxes: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3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Current taxes</w:t>
            </w:r>
          </w:p>
        </w:tc>
        <w:tc>
          <w:tcPr>
            <w:tcW w:w="2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(594)</w:t>
            </w:r>
          </w:p>
        </w:tc>
      </w:tr>
      <w:tr>
        <w:trPr>
          <w:trHeight w:val="216"/>
        </w:trPr>
        <w:tc>
          <w:tcPr>
            <w:tcW w:w="53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3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Foreign taxes: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Current taxes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CEEFF"/>
          </w:tcPr>
          <w:p>
            <w:pPr>
              <w:spacing w:after="0"/>
              <w:rPr>
                <w:sz w:val="18"/>
                <w:szCs w:val="18"/>
                <w:color w:val="auto"/>
              </w:rPr>
            </w:pPr>
          </w:p>
        </w:tc>
      </w:tr>
      <w:tr>
        <w:trPr>
          <w:trHeight w:val="237"/>
        </w:trPr>
        <w:tc>
          <w:tcPr>
            <w:tcW w:w="53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Deferred taxes</w:t>
            </w: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53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20"/>
                <w:szCs w:val="20"/>
                <w:color w:val="auto"/>
              </w:rPr>
            </w:pPr>
          </w:p>
        </w:tc>
      </w:tr>
      <w:tr>
        <w:trPr>
          <w:trHeight w:val="216"/>
        </w:trPr>
        <w:tc>
          <w:tcPr>
            <w:tcW w:w="53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53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Taxes on income</w:t>
            </w:r>
          </w:p>
        </w:tc>
        <w:tc>
          <w:tcPr>
            <w:tcW w:w="2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2"/>
                <w:szCs w:val="22"/>
                <w:color w:val="auto"/>
              </w:rPr>
            </w:pPr>
          </w:p>
        </w:tc>
      </w:tr>
      <w:tr>
        <w:trPr>
          <w:trHeight w:val="21"/>
        </w:trPr>
        <w:tc>
          <w:tcPr>
            <w:tcW w:w="5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-2117725</wp:posOffset>
            </wp:positionV>
            <wp:extent cx="986155" cy="20923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986155" cy="2092325"/>
                    </a:xfrm>
                    <a:prstGeom prst="rect">
                      <a:avLst/>
                    </a:prstGeom>
                    <a:noFill/>
                  </pic:spPr>
                </pic:pic>
              </a:graphicData>
            </a:graphic>
          </wp:anchor>
        </w:drawing>
      </w:r>
    </w:p>
    <w:p>
      <w:pPr>
        <w:spacing w:after="0" w:line="178" w:lineRule="exact"/>
        <w:rPr>
          <w:sz w:val="20"/>
          <w:szCs w:val="20"/>
          <w:color w:val="auto"/>
        </w:rPr>
      </w:pPr>
    </w:p>
    <w:p>
      <w:pPr>
        <w:ind w:left="1560" w:hanging="647"/>
        <w:spacing w:after="0"/>
        <w:tabs>
          <w:tab w:leader="none" w:pos="15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positions:</w:t>
      </w:r>
    </w:p>
    <w:p>
      <w:pPr>
        <w:spacing w:after="0" w:line="225"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beginning and ending amount of gross unrecognized tax benefits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52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52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Beginning of year</w:t>
            </w:r>
          </w:p>
        </w:tc>
        <w:tc>
          <w:tcPr>
            <w:tcW w:w="4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1,074</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w:t>
            </w:r>
          </w:p>
        </w:tc>
      </w:tr>
      <w:tr>
        <w:trPr>
          <w:trHeight w:val="216"/>
        </w:trPr>
        <w:tc>
          <w:tcPr>
            <w:tcW w:w="52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Lapses of statutes of limitation</w:t>
            </w:r>
          </w:p>
        </w:tc>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w:t>
            </w:r>
          </w:p>
        </w:tc>
      </w:tr>
      <w:tr>
        <w:trPr>
          <w:trHeight w:val="237"/>
        </w:trPr>
        <w:tc>
          <w:tcPr>
            <w:tcW w:w="52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Cumulative translation adjustments and other</w:t>
            </w:r>
          </w:p>
        </w:tc>
        <w:tc>
          <w:tcPr>
            <w:tcW w:w="3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5200" w:type="dxa"/>
            <w:vAlign w:val="bottom"/>
            <w:tcBorders>
              <w:top w:val="single" w:sz="8" w:color="CCEEFF"/>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52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Balance at December 31</w:t>
            </w:r>
          </w:p>
        </w:tc>
        <w:tc>
          <w:tcPr>
            <w:tcW w:w="4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1,004</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r>
      <w:tr>
        <w:trPr>
          <w:trHeight w:val="21"/>
        </w:trPr>
        <w:tc>
          <w:tcPr>
            <w:tcW w:w="52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52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2"/>
          </w:tcPr>
          <w:p>
            <w:pPr>
              <w:jc w:val="right"/>
              <w:ind w:right="3380"/>
              <w:spacing w:after="0"/>
              <w:rPr>
                <w:sz w:val="20"/>
                <w:szCs w:val="20"/>
                <w:color w:val="auto"/>
              </w:rPr>
            </w:pPr>
            <w:r>
              <w:rPr>
                <w:rFonts w:ascii="Times New Roman" w:cs="Times New Roman" w:eastAsia="Times New Roman" w:hAnsi="Times New Roman"/>
                <w:sz w:val="18"/>
                <w:szCs w:val="18"/>
                <w:color w:val="auto"/>
              </w:rPr>
              <w:t>F-40</w:t>
            </w: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-1671955</wp:posOffset>
            </wp:positionV>
            <wp:extent cx="986155" cy="12179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986155" cy="121793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57" w:name="page158"/>
    <w:bookmarkEnd w:id="157"/>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TAXES ON INCOME (Cont.)</w:t>
      </w:r>
    </w:p>
    <w:p>
      <w:pPr>
        <w:spacing w:after="0" w:line="229" w:lineRule="exact"/>
        <w:rPr>
          <w:sz w:val="20"/>
          <w:szCs w:val="20"/>
          <w:color w:val="auto"/>
        </w:rPr>
      </w:pPr>
    </w:p>
    <w:p>
      <w:pPr>
        <w:jc w:val="both"/>
        <w:ind w:left="1560"/>
        <w:spacing w:after="0" w:line="282" w:lineRule="auto"/>
        <w:rPr>
          <w:sz w:val="20"/>
          <w:szCs w:val="20"/>
          <w:color w:val="auto"/>
        </w:rPr>
      </w:pPr>
      <w:r>
        <w:rPr>
          <w:rFonts w:ascii="Times New Roman" w:cs="Times New Roman" w:eastAsia="Times New Roman" w:hAnsi="Times New Roman"/>
          <w:sz w:val="18"/>
          <w:szCs w:val="18"/>
          <w:color w:val="auto"/>
        </w:rPr>
        <w:t>As of December 31, 2017, the entire amount of the unrecognized tax benefits could affect the Company’s income tax provision and the effective tax rate.</w:t>
      </w:r>
    </w:p>
    <w:p>
      <w:pPr>
        <w:spacing w:after="0" w:line="162" w:lineRule="exact"/>
        <w:rPr>
          <w:sz w:val="20"/>
          <w:szCs w:val="20"/>
          <w:color w:val="auto"/>
        </w:rPr>
      </w:pPr>
    </w:p>
    <w:p>
      <w:pPr>
        <w:jc w:val="both"/>
        <w:ind w:left="156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2015, 2016 and 2017, an amount of $26, $0 and $54, respectively, was added to the unrecognized tax benefits derived from interest and exchange rate differences expenses related to prior years’ uncertain tax positions. As of December 31, 2016 and 2017, the Company had accrued interest related to uncertain tax positions in the amounts of $96 and $60, which is included within income tax accrual on the balance sheets.</w:t>
      </w:r>
    </w:p>
    <w:p>
      <w:pPr>
        <w:spacing w:after="0" w:line="18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Exchange rate differences are recorded within financial income (expenses), net, while interest is recorded within income tax expense.</w:t>
      </w:r>
    </w:p>
    <w:p>
      <w:pPr>
        <w:spacing w:after="0" w:line="225" w:lineRule="exact"/>
        <w:rPr>
          <w:sz w:val="20"/>
          <w:szCs w:val="20"/>
          <w:color w:val="auto"/>
        </w:rPr>
      </w:pPr>
    </w:p>
    <w:p>
      <w:pPr>
        <w:jc w:val="both"/>
        <w:ind w:left="1560"/>
        <w:spacing w:after="0" w:line="261" w:lineRule="auto"/>
        <w:rPr>
          <w:sz w:val="20"/>
          <w:szCs w:val="20"/>
          <w:color w:val="auto"/>
        </w:rPr>
      </w:pPr>
      <w:r>
        <w:rPr>
          <w:rFonts w:ascii="Times New Roman" w:cs="Times New Roman" w:eastAsia="Times New Roman" w:hAnsi="Times New Roman"/>
          <w:sz w:val="18"/>
          <w:szCs w:val="18"/>
          <w:color w:val="auto"/>
        </w:rPr>
        <w:t>The Company believes that it has adequately provided for any reasonably foreseeable outcome related to tax audits and settlement. The final tax outcome of its tax audits could be different from that which is reflected in the Company’s income tax provisions and accruals. Such differences could have a material effect on the Company’s income tax provision and net income in the period in which such determination is made.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58" w:name="page159"/>
    <w:bookmarkEnd w:id="158"/>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TAXES ON INCOME (Cont.)</w:t>
      </w:r>
    </w:p>
    <w:p>
      <w:pPr>
        <w:spacing w:after="0" w:line="229" w:lineRule="exact"/>
        <w:rPr>
          <w:sz w:val="20"/>
          <w:szCs w:val="20"/>
          <w:color w:val="auto"/>
        </w:rPr>
      </w:pPr>
    </w:p>
    <w:p>
      <w:pPr>
        <w:ind w:left="1560" w:hanging="647"/>
        <w:spacing w:after="0" w:line="282" w:lineRule="auto"/>
        <w:tabs>
          <w:tab w:leader="none" w:pos="15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between the theoretical tax expense, assuming all income is taxed at the statutory tax rate applicable to income of the Company and the actual tax expense as reported in the statement of operations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8"/>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76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Income (loss) before taxes, as reported in the consolidated statements of income</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5,434</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1,476</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(1,631</w:t>
            </w:r>
            <w:r>
              <w:rPr>
                <w:rFonts w:ascii="Times New Roman" w:cs="Times New Roman" w:eastAsia="Times New Roman" w:hAnsi="Times New Roman"/>
                <w:sz w:val="29"/>
                <w:szCs w:val="29"/>
                <w:color w:val="auto"/>
                <w:vertAlign w:val="superscript"/>
              </w:rPr>
              <w:t>)</w:t>
            </w:r>
          </w:p>
        </w:tc>
      </w:tr>
      <w:tr>
        <w:trPr>
          <w:trHeight w:val="21"/>
        </w:trPr>
        <w:tc>
          <w:tcPr>
            <w:tcW w:w="7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Theoretical tax expense (benefit) at the Israeli statutory tax rate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76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Tax adjustment in respect of different tax rate of foreign subsidiaries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Non-deductible expenses and other permanent differences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r>
      <w:tr>
        <w:trPr>
          <w:trHeight w:val="198"/>
        </w:trPr>
        <w:tc>
          <w:tcPr>
            <w:tcW w:w="7680" w:type="dxa"/>
            <w:vAlign w:val="bottom"/>
          </w:tcPr>
          <w:p>
            <w:pPr>
              <w:ind w:left="1560"/>
              <w:spacing w:after="0" w:line="198" w:lineRule="exact"/>
              <w:rPr>
                <w:sz w:val="20"/>
                <w:szCs w:val="20"/>
                <w:color w:val="auto"/>
              </w:rPr>
            </w:pPr>
            <w:r>
              <w:rPr>
                <w:rFonts w:ascii="Times New Roman" w:cs="Times New Roman" w:eastAsia="Times New Roman" w:hAnsi="Times New Roman"/>
                <w:sz w:val="18"/>
                <w:szCs w:val="18"/>
                <w:color w:val="auto"/>
              </w:rPr>
              <w:t>Deferred taxes on losses and other temporary differences for which valuation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allowance was provided, net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Pr>
          <w:p>
            <w:pPr>
              <w:spacing w:after="0"/>
              <w:rPr>
                <w:sz w:val="20"/>
                <w:szCs w:val="20"/>
                <w:color w:val="auto"/>
              </w:rPr>
            </w:pPr>
          </w:p>
        </w:tc>
      </w:tr>
      <w:tr>
        <w:trPr>
          <w:trHeight w:val="216"/>
        </w:trPr>
        <w:tc>
          <w:tcPr>
            <w:tcW w:w="76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Change in tax rate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6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Beneficiary enterprise benefits (*)</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(1,760)</w:t>
            </w:r>
          </w:p>
        </w:tc>
      </w:tr>
      <w:tr>
        <w:trPr>
          <w:trHeight w:val="216"/>
        </w:trPr>
        <w:tc>
          <w:tcPr>
            <w:tcW w:w="76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Foreign exchange differences (**)</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Decrease in other uncertain tax positions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(594)</w:t>
            </w:r>
          </w:p>
        </w:tc>
      </w:tr>
      <w:tr>
        <w:trPr>
          <w:trHeight w:val="237"/>
        </w:trPr>
        <w:tc>
          <w:tcPr>
            <w:tcW w:w="76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16"/>
        </w:trPr>
        <w:tc>
          <w:tcPr>
            <w:tcW w:w="7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76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Actual tax expense</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4"/>
                <w:szCs w:val="24"/>
                <w:color w:val="auto"/>
              </w:rPr>
            </w:pPr>
          </w:p>
        </w:tc>
      </w:tr>
      <w:tr>
        <w:trPr>
          <w:trHeight w:val="216"/>
        </w:trPr>
        <w:tc>
          <w:tcPr>
            <w:tcW w:w="7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7680" w:type="dxa"/>
            <w:vAlign w:val="bottom"/>
          </w:tcPr>
          <w:p>
            <w:pPr>
              <w:ind w:left="1560"/>
              <w:spacing w:after="0" w:line="198" w:lineRule="exact"/>
              <w:rPr>
                <w:sz w:val="20"/>
                <w:szCs w:val="20"/>
                <w:color w:val="auto"/>
              </w:rPr>
            </w:pPr>
            <w:r>
              <w:rPr>
                <w:rFonts w:ascii="Times New Roman" w:cs="Times New Roman" w:eastAsia="Times New Roman" w:hAnsi="Times New Roman"/>
                <w:sz w:val="18"/>
                <w:szCs w:val="18"/>
                <w:color w:val="auto"/>
              </w:rPr>
              <w:t>(*) Basic earnings per share amounts of the benefit resulting from the “Beneficiary</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22"/>
        </w:trPr>
        <w:tc>
          <w:tcPr>
            <w:tcW w:w="76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Enterprise” status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40"/>
              <w:spacing w:after="0" w:line="275" w:lineRule="exact"/>
              <w:rPr>
                <w:sz w:val="20"/>
                <w:szCs w:val="20"/>
                <w:color w:val="auto"/>
              </w:rPr>
            </w:pPr>
            <w:r>
              <w:rPr>
                <w:rFonts w:ascii="Times New Roman" w:cs="Times New Roman" w:eastAsia="Times New Roman" w:hAnsi="Times New Roman"/>
                <w:sz w:val="16"/>
                <w:szCs w:val="16"/>
                <w:color w:val="auto"/>
              </w:rPr>
              <w:t>(0.05</w:t>
            </w:r>
            <w:r>
              <w:rPr>
                <w:rFonts w:ascii="Times New Roman" w:cs="Times New Roman" w:eastAsia="Times New Roman" w:hAnsi="Times New Roman"/>
                <w:sz w:val="31"/>
                <w:szCs w:val="31"/>
                <w:color w:val="auto"/>
                <w:vertAlign w:val="superscript"/>
              </w:rPr>
              <w:t>)</w:t>
            </w:r>
          </w:p>
        </w:tc>
      </w:tr>
      <w:tr>
        <w:trPr>
          <w:trHeight w:val="216"/>
        </w:trPr>
        <w:tc>
          <w:tcPr>
            <w:tcW w:w="7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7680" w:type="dxa"/>
            <w:vAlign w:val="bottom"/>
          </w:tcPr>
          <w:p>
            <w:pPr>
              <w:ind w:left="1560"/>
              <w:spacing w:after="0" w:line="198" w:lineRule="exact"/>
              <w:rPr>
                <w:sz w:val="20"/>
                <w:szCs w:val="20"/>
                <w:color w:val="auto"/>
              </w:rPr>
            </w:pPr>
            <w:r>
              <w:rPr>
                <w:rFonts w:ascii="Times New Roman" w:cs="Times New Roman" w:eastAsia="Times New Roman" w:hAnsi="Times New Roman"/>
                <w:sz w:val="18"/>
                <w:szCs w:val="18"/>
                <w:color w:val="auto"/>
              </w:rPr>
              <w:t>Diluted earnings per share amounts of the benefit resulting from the “Beneficiary</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82"/>
        </w:trPr>
        <w:tc>
          <w:tcPr>
            <w:tcW w:w="76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Enterprise” status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40"/>
              <w:spacing w:after="0" w:line="275" w:lineRule="exact"/>
              <w:rPr>
                <w:sz w:val="20"/>
                <w:szCs w:val="20"/>
                <w:color w:val="auto"/>
              </w:rPr>
            </w:pPr>
            <w:r>
              <w:rPr>
                <w:rFonts w:ascii="Times New Roman" w:cs="Times New Roman" w:eastAsia="Times New Roman" w:hAnsi="Times New Roman"/>
                <w:sz w:val="16"/>
                <w:szCs w:val="16"/>
                <w:color w:val="auto"/>
              </w:rPr>
              <w:t>(0.05</w:t>
            </w:r>
            <w:r>
              <w:rPr>
                <w:rFonts w:ascii="Times New Roman" w:cs="Times New Roman" w:eastAsia="Times New Roman" w:hAnsi="Times New Roman"/>
                <w:sz w:val="31"/>
                <w:szCs w:val="31"/>
                <w:color w:val="auto"/>
                <w:vertAlign w:val="superscript"/>
              </w:rPr>
              <w:t>)</w:t>
            </w:r>
          </w:p>
        </w:tc>
      </w:tr>
      <w:tr>
        <w:trPr>
          <w:trHeight w:val="21"/>
        </w:trPr>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-3644265</wp:posOffset>
            </wp:positionV>
            <wp:extent cx="986155" cy="3618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986155" cy="3618865"/>
                    </a:xfrm>
                    <a:prstGeom prst="rect">
                      <a:avLst/>
                    </a:prstGeom>
                    <a:noFill/>
                  </pic:spPr>
                </pic:pic>
              </a:graphicData>
            </a:graphic>
          </wp:anchor>
        </w:drawing>
      </w:r>
    </w:p>
    <w:p>
      <w:pPr>
        <w:spacing w:after="0" w:line="178" w:lineRule="exact"/>
        <w:rPr>
          <w:sz w:val="20"/>
          <w:szCs w:val="20"/>
          <w:color w:val="auto"/>
        </w:rPr>
      </w:pPr>
    </w:p>
    <w:p>
      <w:pPr>
        <w:jc w:val="both"/>
        <w:ind w:left="2040" w:hanging="506"/>
        <w:spacing w:after="0" w:line="256" w:lineRule="auto"/>
        <w:tabs>
          <w:tab w:leader="none" w:pos="20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2016 results for tax purposes were measured under, Measurement of results for tax purposes under the Income Tax (Inflationary Adjustments) Law, 1985, in terms of earnings in NIS. As explained in Note 2b, the financial statements are measured in U.S. dollars. The difference between the annual changes in the NIS/dollar exchange rate causes a difference between taxable income and the income before taxes shown in the financial statements. In accordance with ASC 740-10-25-3(F), the Company has not provided deferred income taxes in respect of the difference between the functional currency and the tax bases of assets and liabilities. Starting 2016 the results of the Israeli companies for tax purposes are measured in U.S dollars.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59" w:name="page160"/>
    <w:bookmarkEnd w:id="159"/>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GEOGRAPHIC INFORMATION</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Summary information about geographic areas:</w:t>
      </w:r>
    </w:p>
    <w:p>
      <w:pPr>
        <w:spacing w:after="0" w:line="225"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reportable segment (see Note 1 for a brief description of the Company’s business). Operating segments are defined as components of an enterprise for which separate financial information is evaluated regularly by the chief operating decision maker, who is the chief executive officer, in deciding how to allocate resources and assessing performance. The Company’s chief operating decision maker evaluates the Company’s financial information and resources and assesses the performance of these resources on a consolidated basis.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total revenues are attributed to geographic areas based on the location of the end-users.</w:t>
      </w:r>
    </w:p>
    <w:p>
      <w:pPr>
        <w:spacing w:after="0" w:line="225"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total revenues for the years ended December 31, 2015, 2016 and 2017 and long-lived assets as of December 31, 2016 and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7"/>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0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r>
      <w:tr>
        <w:trPr>
          <w:trHeight w:val="216"/>
        </w:trPr>
        <w:tc>
          <w:tcPr>
            <w:tcW w:w="60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Revenues from sales to customers located in:</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U.S</w:t>
            </w:r>
          </w:p>
        </w:tc>
        <w:tc>
          <w:tcPr>
            <w:tcW w:w="2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45,528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63,656</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60,541</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EMEA</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24,720</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32,015</w:t>
            </w: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Asia Pacific</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11,963</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00" w:type="dxa"/>
            <w:vAlign w:val="bottom"/>
            <w:shd w:val="clear" w:color="auto" w:fill="CCEEFF"/>
          </w:tcPr>
          <w:p>
            <w:pPr>
              <w:spacing w:after="0"/>
              <w:rPr>
                <w:sz w:val="18"/>
                <w:szCs w:val="18"/>
                <w:color w:val="auto"/>
              </w:rPr>
            </w:pPr>
          </w:p>
        </w:tc>
      </w:tr>
      <w:tr>
        <w:trPr>
          <w:trHeight w:val="237"/>
        </w:trPr>
        <w:tc>
          <w:tcPr>
            <w:tcW w:w="6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8,355</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00" w:type="dxa"/>
            <w:vAlign w:val="bottom"/>
          </w:tcPr>
          <w:p>
            <w:pPr>
              <w:spacing w:after="0"/>
              <w:rPr>
                <w:sz w:val="20"/>
                <w:szCs w:val="20"/>
                <w:color w:val="auto"/>
              </w:rPr>
            </w:pPr>
          </w:p>
        </w:tc>
      </w:tr>
      <w:tr>
        <w:trPr>
          <w:trHeight w:val="216"/>
        </w:trPr>
        <w:tc>
          <w:tcPr>
            <w:tcW w:w="60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6000" w:type="dxa"/>
            <w:vAlign w:val="bottom"/>
          </w:tcPr>
          <w:p>
            <w:pPr>
              <w:spacing w:after="0"/>
              <w:rPr>
                <w:sz w:val="22"/>
                <w:szCs w:val="22"/>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86,405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108,694</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114,088</w:t>
            </w:r>
          </w:p>
        </w:tc>
        <w:tc>
          <w:tcPr>
            <w:tcW w:w="100" w:type="dxa"/>
            <w:vAlign w:val="bottom"/>
          </w:tcPr>
          <w:p>
            <w:pPr>
              <w:spacing w:after="0"/>
              <w:rPr>
                <w:sz w:val="22"/>
                <w:szCs w:val="22"/>
                <w:color w:val="auto"/>
              </w:rPr>
            </w:pPr>
          </w:p>
        </w:tc>
      </w:tr>
      <w:tr>
        <w:trPr>
          <w:trHeight w:val="21"/>
        </w:trPr>
        <w:tc>
          <w:tcPr>
            <w:tcW w:w="6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-1517015</wp:posOffset>
            </wp:positionV>
            <wp:extent cx="574675" cy="14922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574675" cy="149225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47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47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Long-lived assets, by geographic region:</w:t>
            </w: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U.S</w:t>
            </w:r>
          </w:p>
        </w:tc>
        <w:tc>
          <w:tcPr>
            <w:tcW w:w="4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47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Israel</w:t>
            </w: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10,342</w:t>
            </w:r>
          </w:p>
        </w:tc>
      </w:tr>
      <w:tr>
        <w:trPr>
          <w:trHeight w:val="216"/>
        </w:trPr>
        <w:tc>
          <w:tcPr>
            <w:tcW w:w="47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EMEA</w:t>
            </w:r>
          </w:p>
        </w:tc>
        <w:tc>
          <w:tcPr>
            <w:tcW w:w="4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r>
      <w:tr>
        <w:trPr>
          <w:trHeight w:val="237"/>
        </w:trPr>
        <w:tc>
          <w:tcPr>
            <w:tcW w:w="47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Asia Pacific</w:t>
            </w:r>
          </w:p>
        </w:tc>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470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4700" w:type="dxa"/>
            <w:vAlign w:val="bottom"/>
          </w:tcPr>
          <w:p>
            <w:pPr>
              <w:spacing w:after="0"/>
              <w:rPr>
                <w:sz w:val="22"/>
                <w:szCs w:val="22"/>
                <w:color w:val="auto"/>
              </w:rPr>
            </w:pPr>
          </w:p>
        </w:tc>
        <w:tc>
          <w:tcPr>
            <w:tcW w:w="4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9,247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11,230</w:t>
            </w:r>
          </w:p>
        </w:tc>
      </w:tr>
      <w:tr>
        <w:trPr>
          <w:trHeight w:val="21"/>
        </w:trPr>
        <w:tc>
          <w:tcPr>
            <w:tcW w:w="47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7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2"/>
          </w:tcPr>
          <w:p>
            <w:pPr>
              <w:jc w:val="right"/>
              <w:ind w:right="3380"/>
              <w:spacing w:after="0"/>
              <w:rPr>
                <w:sz w:val="20"/>
                <w:szCs w:val="20"/>
                <w:color w:val="auto"/>
              </w:rPr>
            </w:pPr>
            <w:r>
              <w:rPr>
                <w:rFonts w:ascii="Times New Roman" w:cs="Times New Roman" w:eastAsia="Times New Roman" w:hAnsi="Times New Roman"/>
                <w:sz w:val="18"/>
                <w:szCs w:val="18"/>
                <w:color w:val="auto"/>
              </w:rPr>
              <w:t>F-43</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-1946275</wp:posOffset>
            </wp:positionV>
            <wp:extent cx="574675" cy="14922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574675" cy="149225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60" w:name="page161"/>
    <w:bookmarkEnd w:id="160"/>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GEOGRAPHIC INFORMATION (Cont.)</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Major customers’ data as a percentage of total revenues: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sets forth the customers that represented 10% or more of the Company’s total revenues in each of the periods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2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10"/>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7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Customer 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6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Customer B</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Customer 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32"/>
        </w:trPr>
        <w:tc>
          <w:tcPr>
            <w:tcW w:w="13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than 10%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15:- SELECTED STATEMENTS OF INCOME DATA</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3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0"/>
          </w:tcPr>
          <w:p>
            <w:pPr>
              <w:jc w:val="center"/>
              <w:ind w:left="55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Financial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Interest on bank deposits and other</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6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Foreign currency translation differences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6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Interest on marketable securities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1,052</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16"/>
        </w:trPr>
        <w:tc>
          <w:tcPr>
            <w:tcW w:w="1320" w:type="dxa"/>
            <w:vAlign w:val="bottom"/>
            <w:tcBorders>
              <w:top w:val="single" w:sz="8" w:color="CCEEFF"/>
            </w:tcBorders>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20" w:type="dxa"/>
            <w:vAlign w:val="bottom"/>
            <w:shd w:val="clear" w:color="auto" w:fill="CCEEFF"/>
          </w:tcPr>
          <w:p>
            <w:pPr>
              <w:spacing w:after="0"/>
              <w:rPr>
                <w:sz w:val="21"/>
                <w:szCs w:val="21"/>
                <w:color w:val="auto"/>
              </w:rPr>
            </w:pPr>
          </w:p>
        </w:tc>
        <w:tc>
          <w:tcPr>
            <w:tcW w:w="6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1,451</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203"/>
        </w:trPr>
        <w:tc>
          <w:tcPr>
            <w:tcW w:w="7680" w:type="dxa"/>
            <w:vAlign w:val="bottom"/>
            <w:tcBorders>
              <w:top w:val="single" w:sz="8" w:color="CCEEFF"/>
            </w:tcBorders>
            <w:gridSpan w:val="2"/>
          </w:tcPr>
          <w:p>
            <w:pPr>
              <w:ind w:left="920"/>
              <w:spacing w:after="0" w:line="203" w:lineRule="exact"/>
              <w:rPr>
                <w:sz w:val="20"/>
                <w:szCs w:val="20"/>
                <w:color w:val="auto"/>
              </w:rPr>
            </w:pPr>
            <w:r>
              <w:rPr>
                <w:rFonts w:ascii="Times New Roman" w:cs="Times New Roman" w:eastAsia="Times New Roman" w:hAnsi="Times New Roman"/>
                <w:sz w:val="18"/>
                <w:szCs w:val="18"/>
                <w:color w:val="auto"/>
              </w:rPr>
              <w:t>Financial expenses:</w:t>
            </w: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Bank charges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Foreign currency translation differences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37"/>
        </w:trPr>
        <w:tc>
          <w:tcPr>
            <w:tcW w:w="76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Amortization of premium and accretion of discount on marketable securities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1320" w:type="dxa"/>
            <w:vAlign w:val="bottom"/>
            <w:tcBorders>
              <w:top w:val="single" w:sz="8" w:color="CCEEFF"/>
            </w:tcBorders>
            <w:shd w:val="clear" w:color="auto" w:fill="CCEEFF"/>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(1,405)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16"/>
        </w:trPr>
        <w:tc>
          <w:tcPr>
            <w:tcW w:w="1320" w:type="dxa"/>
            <w:vAlign w:val="bottom"/>
            <w:tcBorders>
              <w:top w:val="single" w:sz="8" w:color="CCEEFF"/>
            </w:tcBorders>
            <w:shd w:val="clear" w:color="auto" w:fill="CCEEFF"/>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6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 financial expense (income):</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(334</w:t>
            </w:r>
            <w:r>
              <w:rPr>
                <w:rFonts w:ascii="Times New Roman" w:cs="Times New Roman" w:eastAsia="Times New Roman" w:hAnsi="Times New Roman"/>
                <w:sz w:val="29"/>
                <w:szCs w:val="29"/>
                <w:color w:val="auto"/>
                <w:vertAlign w:val="superscript"/>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6360" w:type="dxa"/>
            <w:vAlign w:val="bottom"/>
            <w:vMerge w:val="restart"/>
          </w:tcPr>
          <w:p>
            <w:pPr>
              <w:ind w:left="4240"/>
              <w:spacing w:after="0"/>
              <w:rPr>
                <w:sz w:val="20"/>
                <w:szCs w:val="20"/>
                <w:color w:val="auto"/>
              </w:rPr>
            </w:pPr>
            <w:r>
              <w:rPr>
                <w:rFonts w:ascii="Times New Roman" w:cs="Times New Roman" w:eastAsia="Times New Roman" w:hAnsi="Times New Roman"/>
                <w:sz w:val="18"/>
                <w:szCs w:val="18"/>
                <w:color w:val="auto"/>
              </w:rPr>
              <w:t>F-44</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3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-4956175</wp:posOffset>
            </wp:positionV>
            <wp:extent cx="574675" cy="8750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574675" cy="875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-3121025</wp:posOffset>
            </wp:positionV>
            <wp:extent cx="574675" cy="26670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574675" cy="266700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61" w:name="page162"/>
    <w:bookmarkEnd w:id="161"/>
    <w:p>
      <w:pPr>
        <w:spacing w:after="0"/>
        <w:rPr>
          <w:rFonts w:ascii="Times New Roman" w:cs="Times New Roman" w:eastAsia="Times New Roman" w:hAnsi="Times New Roman"/>
          <w:sz w:val="22"/>
          <w:szCs w:val="22"/>
          <w:u w:val="single" w:color="auto"/>
          <w:color w:val="0000EE"/>
        </w:rPr>
      </w:pPr>
      <w:hyperlink w:anchor="page118">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BALANCES AND TRANSACTIONS WITH RELATED PARTIES</w:t>
      </w:r>
    </w:p>
    <w:p>
      <w:pPr>
        <w:spacing w:after="0" w:line="229"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The Company’s policy is to enter into transactions with related parties on terms that, on the whole, are no less favorable, than those available from unaffiliated third parties. Based on the Company’s experience in the business sectors in which it operates and the terms of its transactions with unaffiliated third parties, the Company believes that all of the transactions described below met this policy at the time they occurred.</w:t>
      </w:r>
    </w:p>
    <w:p>
      <w:pPr>
        <w:spacing w:after="0" w:line="176" w:lineRule="exact"/>
        <w:rPr>
          <w:sz w:val="20"/>
          <w:szCs w:val="20"/>
          <w:color w:val="auto"/>
        </w:rPr>
      </w:pPr>
    </w:p>
    <w:p>
      <w:pPr>
        <w:ind w:left="1560" w:hanging="647"/>
        <w:spacing w:after="0"/>
        <w:tabs>
          <w:tab w:leader="none" w:pos="15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Fortissimo Capital Fund II (GP), L.P (“Fortissimo”)</w:t>
      </w:r>
    </w:p>
    <w:p>
      <w:pPr>
        <w:spacing w:after="0" w:line="225" w:lineRule="exact"/>
        <w:rPr>
          <w:rFonts w:ascii="Times New Roman" w:cs="Times New Roman" w:eastAsia="Times New Roman" w:hAnsi="Times New Roman"/>
          <w:sz w:val="18"/>
          <w:szCs w:val="18"/>
          <w:color w:val="auto"/>
        </w:rPr>
      </w:pPr>
    </w:p>
    <w:p>
      <w:pPr>
        <w:jc w:val="both"/>
        <w:ind w:left="1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Fortissimo is s major shareholder of the Company as of December 31, 2017. Pursuant to a management fee agreement between the Company and Fortissimo, the Company was required to pay Fortissimo an annual fee of $120 plus an amount equal to 5% of the Company’s net income, as defined in the management services agreement, up to a maximum of $250 per year. During the year ended December 31, 2015 the Company recorded an expense of $30, in respect of payments to Fortissimo.</w:t>
      </w:r>
    </w:p>
    <w:p>
      <w:pPr>
        <w:spacing w:after="0" w:line="180" w:lineRule="exact"/>
        <w:rPr>
          <w:rFonts w:ascii="Times New Roman" w:cs="Times New Roman" w:eastAsia="Times New Roman" w:hAnsi="Times New Roman"/>
          <w:sz w:val="18"/>
          <w:szCs w:val="18"/>
          <w:color w:val="auto"/>
        </w:rPr>
      </w:pPr>
    </w:p>
    <w:p>
      <w:pPr>
        <w:ind w:left="15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2015, the Company and Fortissimo agreed to terminate the management service agreement upon the consummation of the IPO. Under the agreement the Company agreed to pay Fortissimo a one-time payment of $750.</w:t>
      </w:r>
    </w:p>
    <w:p>
      <w:pPr>
        <w:spacing w:after="0" w:line="161"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Acord Insurance Agency Ltd. (“Acord”)</w:t>
      </w:r>
    </w:p>
    <w:p>
      <w:pPr>
        <w:spacing w:after="0" w:line="228" w:lineRule="exact"/>
        <w:rPr>
          <w:rFonts w:ascii="Times New Roman" w:cs="Times New Roman" w:eastAsia="Times New Roman" w:hAnsi="Times New Roman"/>
          <w:sz w:val="18"/>
          <w:szCs w:val="18"/>
          <w:color w:val="auto"/>
        </w:rPr>
      </w:pPr>
    </w:p>
    <w:p>
      <w:pPr>
        <w:jc w:val="both"/>
        <w:ind w:left="1560"/>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Acord is an insurance company which is owned, in part, by the Chairman of the Board. Starting December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2017, the Company entered a one-year business and professional insurance contract with Acord. The total annual premium under the contract is $248. During the year ended December 31, 2017 the Company recorded an expense of $21, in respect of payments to Acord.</w:t>
      </w:r>
    </w:p>
    <w:p>
      <w:pPr>
        <w:spacing w:after="0" w:line="199" w:lineRule="exact"/>
        <w:rPr>
          <w:rFonts w:ascii="Times New Roman" w:cs="Times New Roman" w:eastAsia="Times New Roman" w:hAnsi="Times New Roman"/>
          <w:sz w:val="18"/>
          <w:szCs w:val="18"/>
          <w:color w:val="auto"/>
        </w:rPr>
      </w:pPr>
    </w:p>
    <w:p>
      <w:pPr>
        <w:ind w:left="1560" w:hanging="647"/>
        <w:spacing w:after="0"/>
        <w:tabs>
          <w:tab w:leader="none" w:pos="15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Software Ltd. (“Priority”)</w:t>
      </w:r>
    </w:p>
    <w:p>
      <w:pPr>
        <w:spacing w:after="0" w:line="225" w:lineRule="exact"/>
        <w:rPr>
          <w:rFonts w:ascii="Times New Roman" w:cs="Times New Roman" w:eastAsia="Times New Roman" w:hAnsi="Times New Roman"/>
          <w:sz w:val="18"/>
          <w:szCs w:val="18"/>
          <w:color w:val="auto"/>
        </w:rPr>
      </w:pPr>
    </w:p>
    <w:p>
      <w:pPr>
        <w:jc w:val="both"/>
        <w:ind w:left="1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is the Company’s ERP solution provider, which is owned by Fortissimo. In October 2017, the Company amended its contract with Priority, increasing it from 55 general licenses to 250 named licenses including web. The total cost of the licenses was $58. In addition, the Company will pay a yearly maintenance fees of $32. During the year ended December 31, 2017, the Company recorded an expense of $15, in respect of payments to Priority.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 - -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62" w:name="page163"/>
    <w:bookmarkEnd w:id="162"/>
    <w:p>
      <w:pPr>
        <w:ind w:left="10420"/>
        <w:spacing w:after="0"/>
        <w:rPr>
          <w:sz w:val="20"/>
          <w:szCs w:val="20"/>
          <w:color w:val="auto"/>
        </w:rPr>
      </w:pPr>
      <w:r>
        <w:rPr>
          <w:rFonts w:ascii="Times New Roman" w:cs="Times New Roman" w:eastAsia="Times New Roman" w:hAnsi="Times New Roman"/>
          <w:sz w:val="21"/>
          <w:szCs w:val="21"/>
          <w:b w:val="1"/>
          <w:bCs w:val="1"/>
          <w:color w:val="auto"/>
        </w:rPr>
        <w:t>Exhibit 4.7</w:t>
      </w:r>
    </w:p>
    <w:p>
      <w:pPr>
        <w:spacing w:after="0" w:line="2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English Summary of the Office and Parking Space Lease Agreement dated as of December 17, 2007 by and between Industrial Buildings Corporation Ltd. (the “</w:t>
      </w: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 and Kornit Digital Ltd.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color w:val="auto"/>
        </w:rPr>
        <w:t>Original Lease Agreement</w:t>
      </w:r>
      <w:r>
        <w:rPr>
          <w:rFonts w:ascii="Times New Roman" w:cs="Times New Roman" w:eastAsia="Times New Roman" w:hAnsi="Times New Roman"/>
          <w:sz w:val="21"/>
          <w:szCs w:val="21"/>
          <w:color w:val="auto"/>
        </w:rPr>
        <w:t>”), as amended by those certain (i) Addendum dated 2007 (the “</w:t>
      </w:r>
      <w:r>
        <w:rPr>
          <w:rFonts w:ascii="Times New Roman" w:cs="Times New Roman" w:eastAsia="Times New Roman" w:hAnsi="Times New Roman"/>
          <w:sz w:val="21"/>
          <w:szCs w:val="21"/>
          <w:b w:val="1"/>
          <w:bCs w:val="1"/>
          <w:color w:val="auto"/>
        </w:rPr>
        <w:t>First Parking Space Addendum</w:t>
      </w:r>
      <w:r>
        <w:rPr>
          <w:rFonts w:ascii="Times New Roman" w:cs="Times New Roman" w:eastAsia="Times New Roman" w:hAnsi="Times New Roman"/>
          <w:sz w:val="21"/>
          <w:szCs w:val="21"/>
          <w:color w:val="auto"/>
        </w:rPr>
        <w:t>”), (ii) Addendum to Lease Agreement dated 2007 (the “</w:t>
      </w:r>
      <w:r>
        <w:rPr>
          <w:rFonts w:ascii="Times New Roman" w:cs="Times New Roman" w:eastAsia="Times New Roman" w:hAnsi="Times New Roman"/>
          <w:sz w:val="21"/>
          <w:szCs w:val="21"/>
          <w:b w:val="1"/>
          <w:bCs w:val="1"/>
          <w:color w:val="auto"/>
        </w:rPr>
        <w:t>Second Parking Space Addendum</w:t>
      </w:r>
      <w:r>
        <w:rPr>
          <w:rFonts w:ascii="Times New Roman" w:cs="Times New Roman" w:eastAsia="Times New Roman" w:hAnsi="Times New Roman"/>
          <w:sz w:val="21"/>
          <w:szCs w:val="21"/>
          <w:color w:val="auto"/>
        </w:rPr>
        <w:t>”), (iii) Addendum to Lease Agreement dated March 12, 2012 (the “</w:t>
      </w:r>
      <w:r>
        <w:rPr>
          <w:rFonts w:ascii="Times New Roman" w:cs="Times New Roman" w:eastAsia="Times New Roman" w:hAnsi="Times New Roman"/>
          <w:sz w:val="21"/>
          <w:szCs w:val="21"/>
          <w:b w:val="1"/>
          <w:bCs w:val="1"/>
          <w:color w:val="auto"/>
        </w:rPr>
        <w:t>First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Addendum</w:t>
      </w:r>
      <w:r>
        <w:rPr>
          <w:rFonts w:ascii="Times New Roman" w:cs="Times New Roman" w:eastAsia="Times New Roman" w:hAnsi="Times New Roman"/>
          <w:sz w:val="21"/>
          <w:szCs w:val="21"/>
          <w:color w:val="auto"/>
        </w:rPr>
        <w:t>”), (iv) Addendum to Lease Agreement dated 2012 (the “</w:t>
      </w:r>
      <w:r>
        <w:rPr>
          <w:rFonts w:ascii="Times New Roman" w:cs="Times New Roman" w:eastAsia="Times New Roman" w:hAnsi="Times New Roman"/>
          <w:sz w:val="21"/>
          <w:szCs w:val="21"/>
          <w:b w:val="1"/>
          <w:bCs w:val="1"/>
          <w:color w:val="auto"/>
        </w:rPr>
        <w:t>Third Parking Space Addendum</w:t>
      </w:r>
      <w:r>
        <w:rPr>
          <w:rFonts w:ascii="Times New Roman" w:cs="Times New Roman" w:eastAsia="Times New Roman" w:hAnsi="Times New Roman"/>
          <w:sz w:val="21"/>
          <w:szCs w:val="21"/>
          <w:color w:val="auto"/>
        </w:rPr>
        <w:t>”), (v) Addendum to Lease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dated December 16, 2012 (the “</w:t>
      </w:r>
      <w:r>
        <w:rPr>
          <w:rFonts w:ascii="Times New Roman" w:cs="Times New Roman" w:eastAsia="Times New Roman" w:hAnsi="Times New Roman"/>
          <w:sz w:val="21"/>
          <w:szCs w:val="21"/>
          <w:b w:val="1"/>
          <w:bCs w:val="1"/>
          <w:color w:val="auto"/>
        </w:rPr>
        <w:t>Second Addendum</w:t>
      </w:r>
      <w:r>
        <w:rPr>
          <w:rFonts w:ascii="Times New Roman" w:cs="Times New Roman" w:eastAsia="Times New Roman" w:hAnsi="Times New Roman"/>
          <w:sz w:val="21"/>
          <w:szCs w:val="21"/>
          <w:color w:val="auto"/>
        </w:rPr>
        <w:t>”), (vi) Addendum to Lease Agreement dated May 20, 2013 (the “</w:t>
      </w:r>
      <w:r>
        <w:rPr>
          <w:rFonts w:ascii="Times New Roman" w:cs="Times New Roman" w:eastAsia="Times New Roman" w:hAnsi="Times New Roman"/>
          <w:sz w:val="21"/>
          <w:szCs w:val="21"/>
          <w:b w:val="1"/>
          <w:bCs w:val="1"/>
          <w:color w:val="auto"/>
        </w:rPr>
        <w:t>Third Addendum</w:t>
      </w:r>
      <w:r>
        <w:rPr>
          <w:rFonts w:ascii="Times New Roman" w:cs="Times New Roman" w:eastAsia="Times New Roman" w:hAnsi="Times New Roman"/>
          <w:sz w:val="21"/>
          <w:szCs w:val="21"/>
          <w:color w:val="auto"/>
        </w:rPr>
        <w:t>”), (vii) Addendum to Lease Agreement dated January 12, 2014 (the “</w:t>
      </w:r>
      <w:r>
        <w:rPr>
          <w:rFonts w:ascii="Times New Roman" w:cs="Times New Roman" w:eastAsia="Times New Roman" w:hAnsi="Times New Roman"/>
          <w:sz w:val="21"/>
          <w:szCs w:val="21"/>
          <w:b w:val="1"/>
          <w:bCs w:val="1"/>
          <w:color w:val="auto"/>
        </w:rPr>
        <w:t>Fourth Addendum</w:t>
      </w:r>
      <w:r>
        <w:rPr>
          <w:rFonts w:ascii="Times New Roman" w:cs="Times New Roman" w:eastAsia="Times New Roman" w:hAnsi="Times New Roman"/>
          <w:sz w:val="21"/>
          <w:szCs w:val="21"/>
          <w:color w:val="auto"/>
        </w:rPr>
        <w:t>”), (viii) the Addendum to Lease Agreement dated January 12, 2014 (the “</w:t>
      </w:r>
      <w:r>
        <w:rPr>
          <w:rFonts w:ascii="Times New Roman" w:cs="Times New Roman" w:eastAsia="Times New Roman" w:hAnsi="Times New Roman"/>
          <w:sz w:val="21"/>
          <w:szCs w:val="21"/>
          <w:b w:val="1"/>
          <w:bCs w:val="1"/>
          <w:color w:val="auto"/>
        </w:rPr>
        <w:t>Fifth Addendum</w:t>
      </w:r>
      <w:r>
        <w:rPr>
          <w:rFonts w:ascii="Times New Roman" w:cs="Times New Roman" w:eastAsia="Times New Roman" w:hAnsi="Times New Roman"/>
          <w:sz w:val="21"/>
          <w:szCs w:val="21"/>
          <w:color w:val="auto"/>
        </w:rPr>
        <w:t>”), (ix) the Addendum to Lease Agreement dated December 27, 2015 (the “</w:t>
      </w:r>
      <w:r>
        <w:rPr>
          <w:rFonts w:ascii="Times New Roman" w:cs="Times New Roman" w:eastAsia="Times New Roman" w:hAnsi="Times New Roman"/>
          <w:sz w:val="21"/>
          <w:szCs w:val="21"/>
          <w:b w:val="1"/>
          <w:bCs w:val="1"/>
          <w:color w:val="auto"/>
        </w:rPr>
        <w:t>Sixth Addendum</w:t>
      </w:r>
      <w:r>
        <w:rPr>
          <w:rFonts w:ascii="Times New Roman" w:cs="Times New Roman" w:eastAsia="Times New Roman" w:hAnsi="Times New Roman"/>
          <w:sz w:val="21"/>
          <w:szCs w:val="21"/>
          <w:color w:val="auto"/>
        </w:rPr>
        <w:t>”), (x) the Addendum to Lease Agreement dated December 28, 2015 (the “</w:t>
      </w:r>
      <w:r>
        <w:rPr>
          <w:rFonts w:ascii="Times New Roman" w:cs="Times New Roman" w:eastAsia="Times New Roman" w:hAnsi="Times New Roman"/>
          <w:sz w:val="21"/>
          <w:szCs w:val="21"/>
          <w:b w:val="1"/>
          <w:bCs w:val="1"/>
          <w:color w:val="auto"/>
        </w:rPr>
        <w:t>Seventh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Addendum</w:t>
      </w:r>
      <w:r>
        <w:rPr>
          <w:rFonts w:ascii="Times New Roman" w:cs="Times New Roman" w:eastAsia="Times New Roman" w:hAnsi="Times New Roman"/>
          <w:sz w:val="21"/>
          <w:szCs w:val="21"/>
          <w:color w:val="auto"/>
        </w:rPr>
        <w:t>”), (xi) the Addendum to the Lease Agreement dated October 17, 2017 (the “</w:t>
      </w:r>
      <w:r>
        <w:rPr>
          <w:rFonts w:ascii="Times New Roman" w:cs="Times New Roman" w:eastAsia="Times New Roman" w:hAnsi="Times New Roman"/>
          <w:sz w:val="21"/>
          <w:szCs w:val="21"/>
          <w:b w:val="1"/>
          <w:bCs w:val="1"/>
          <w:color w:val="auto"/>
        </w:rPr>
        <w:t>Eighth Addendum</w:t>
      </w:r>
      <w:r>
        <w:rPr>
          <w:rFonts w:ascii="Times New Roman" w:cs="Times New Roman" w:eastAsia="Times New Roman" w:hAnsi="Times New Roman"/>
          <w:sz w:val="21"/>
          <w:szCs w:val="21"/>
          <w:color w:val="auto"/>
        </w:rPr>
        <w:t>”) and (xii)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Addendum dated February 21, 2018 (the “</w:t>
      </w:r>
      <w:r>
        <w:rPr>
          <w:rFonts w:ascii="Times New Roman" w:cs="Times New Roman" w:eastAsia="Times New Roman" w:hAnsi="Times New Roman"/>
          <w:sz w:val="21"/>
          <w:szCs w:val="21"/>
          <w:b w:val="1"/>
          <w:bCs w:val="1"/>
          <w:color w:val="auto"/>
        </w:rPr>
        <w:t>Ninth Addendum</w:t>
      </w:r>
      <w:r>
        <w:rPr>
          <w:rFonts w:ascii="Times New Roman" w:cs="Times New Roman" w:eastAsia="Times New Roman" w:hAnsi="Times New Roman"/>
          <w:sz w:val="21"/>
          <w:szCs w:val="21"/>
          <w:color w:val="auto"/>
        </w:rPr>
        <w:t>”) (collectively, the “</w:t>
      </w:r>
      <w:r>
        <w:rPr>
          <w:rFonts w:ascii="Times New Roman" w:cs="Times New Roman" w:eastAsia="Times New Roman" w:hAnsi="Times New Roman"/>
          <w:sz w:val="21"/>
          <w:szCs w:val="21"/>
          <w:b w:val="1"/>
          <w:bCs w:val="1"/>
          <w:color w:val="auto"/>
        </w:rPr>
        <w:t>Lease Agreement</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ind w:left="660" w:hanging="328"/>
        <w:spacing w:after="0" w:line="282"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Subject Matter of the Lease Agreement</w:t>
      </w:r>
      <w:r>
        <w:rPr>
          <w:rFonts w:ascii="Times New Roman" w:cs="Times New Roman" w:eastAsia="Times New Roman" w:hAnsi="Times New Roman"/>
          <w:sz w:val="18"/>
          <w:szCs w:val="18"/>
          <w:color w:val="auto"/>
        </w:rPr>
        <w:t>: Unprotected lease of spaces on the ground floor and on the first floor of the building described in the Lease Agreement located at 10 and 12 Ha’Amal Street, Rosh Ha’Ayin, Israel that will be used by the Company for offices and parking spaces.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Lease Agreement:</w:t>
      </w:r>
    </w:p>
    <w:p>
      <w:pPr>
        <w:spacing w:after="0" w:line="221"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Original Lease was eight (8) years commencing on the delivery date (the “</w:t>
      </w:r>
      <w:r>
        <w:rPr>
          <w:rFonts w:ascii="Times New Roman" w:cs="Times New Roman" w:eastAsia="Times New Roman" w:hAnsi="Times New Roman"/>
          <w:sz w:val="18"/>
          <w:szCs w:val="18"/>
          <w:b w:val="1"/>
          <w:bCs w:val="1"/>
          <w:color w:val="auto"/>
        </w:rPr>
        <w:t>Original Lease Period</w:t>
      </w:r>
      <w:r>
        <w:rPr>
          <w:rFonts w:ascii="Times New Roman" w:cs="Times New Roman" w:eastAsia="Times New Roman" w:hAnsi="Times New Roman"/>
          <w:sz w:val="18"/>
          <w:szCs w:val="18"/>
          <w:color w:val="auto"/>
        </w:rPr>
        <w:t xml:space="preserve">”). The Company had the right to terminate the lease as of the end of the fifth year of the Original Lease Period, subject to six months prior written notice,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Company pays a one-time special early termination payment (the “</w:t>
      </w:r>
      <w:r>
        <w:rPr>
          <w:rFonts w:ascii="Times New Roman" w:cs="Times New Roman" w:eastAsia="Times New Roman" w:hAnsi="Times New Roman"/>
          <w:sz w:val="18"/>
          <w:szCs w:val="18"/>
          <w:b w:val="1"/>
          <w:bCs w:val="1"/>
          <w:color w:val="auto"/>
        </w:rPr>
        <w:t>Special Payment</w:t>
      </w:r>
      <w:r>
        <w:rPr>
          <w:rFonts w:ascii="Times New Roman" w:cs="Times New Roman" w:eastAsia="Times New Roman" w:hAnsi="Times New Roman"/>
          <w:sz w:val="18"/>
          <w:szCs w:val="18"/>
          <w:color w:val="auto"/>
        </w:rPr>
        <w:t xml:space="preserve">”) equal to the balance of the rest of the </w:t>
      </w:r>
      <w:r>
        <w:rPr>
          <w:rFonts w:ascii="Times New Roman" w:cs="Times New Roman" w:eastAsia="Times New Roman" w:hAnsi="Times New Roman"/>
          <w:sz w:val="18"/>
          <w:szCs w:val="18"/>
          <w:u w:val="single" w:color="auto"/>
          <w:color w:val="auto"/>
        </w:rPr>
        <w:t>Improvement</w:t>
      </w:r>
      <w:r>
        <w:rPr>
          <w:rFonts w:ascii="Times New Roman" w:cs="Times New Roman" w:eastAsia="Times New Roman" w:hAnsi="Times New Roman"/>
          <w:sz w:val="18"/>
          <w:szCs w:val="18"/>
          <w:color w:val="auto"/>
        </w:rPr>
        <w:t xml:space="preserve"> Amount (as defined below) per square meter multiplied by two times the number of remaining months for which the Company is required to pay rental fees.</w:t>
      </w:r>
    </w:p>
    <w:p>
      <w:pPr>
        <w:spacing w:after="0" w:line="18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end of the third year of the Original Lease Period, the Company has the right to sub-lease the premises to a substitute tenant, subject to the Landlord’s prior written consent (not to be unreasonably withheld).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delivery date was to be May 10, 2008, but delivery occurred in August 2008.</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Original Lease Period expires on August 31, 2016 and the term of the period with respect to all of the addenda is also August 31, 2016.</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Sixth Addendum, the Original Lease Period was extended to December 31, 2020. Unless one party notifies the other at least 180 prior to the end of the Original Lease Period, the Lease Agreement shall be automatically extended for an additional term of five (5) years (the “</w:t>
      </w:r>
      <w:r>
        <w:rPr>
          <w:rFonts w:ascii="Times New Roman" w:cs="Times New Roman" w:eastAsia="Times New Roman" w:hAnsi="Times New Roman"/>
          <w:sz w:val="18"/>
          <w:szCs w:val="18"/>
          <w:b w:val="1"/>
          <w:bCs w:val="1"/>
          <w:color w:val="auto"/>
        </w:rPr>
        <w:t>Optional Lease Period</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Premises Covered by the Lease Agreement: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beginning on the date of the Original Lease Agreement and over the period of the remaining addenda forming the Lease Agreement, the Company leased a total of 3,661 square meters.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Seventh Addendum, the Company leased an additional 2,918 square meters (the “</w:t>
      </w:r>
      <w:r>
        <w:rPr>
          <w:rFonts w:ascii="Times New Roman" w:cs="Times New Roman" w:eastAsia="Times New Roman" w:hAnsi="Times New Roman"/>
          <w:sz w:val="18"/>
          <w:szCs w:val="18"/>
          <w:b w:val="1"/>
          <w:bCs w:val="1"/>
          <w:color w:val="auto"/>
        </w:rPr>
        <w:t>Additional Property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Eighth Addendum, the Company and the Landlord reached an agreement with respect to the actual square meters leased by the Company pursuant to a measurement the Landlord conducted. According to the Eighth Addendum the Company leases 7,605 square meters. The Company was required to pay a one-time lump sum of NIS 482,351 for the excess premises.</w:t>
      </w:r>
    </w:p>
    <w:p>
      <w:pPr>
        <w:spacing w:after="0" w:line="17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Ninth Addendum, the Company leased additional 25.2 square meters (the “</w:t>
      </w:r>
      <w:r>
        <w:rPr>
          <w:rFonts w:ascii="Times New Roman" w:cs="Times New Roman" w:eastAsia="Times New Roman" w:hAnsi="Times New Roman"/>
          <w:sz w:val="18"/>
          <w:szCs w:val="18"/>
          <w:b w:val="1"/>
          <w:bCs w:val="1"/>
          <w:color w:val="auto"/>
        </w:rPr>
        <w:t>New Property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originally leased ninety-eight (98) parking spaces, and currently leases one hundred and sixty nine (169) parking spaces.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63" w:name="page164"/>
    <w:bookmarkEnd w:id="163"/>
    <w:p>
      <w:pPr>
        <w:ind w:left="328" w:hanging="328"/>
        <w:spacing w:after="0"/>
        <w:tabs>
          <w:tab w:leader="none" w:pos="32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Refusal:</w:t>
      </w:r>
    </w:p>
    <w:p>
      <w:pPr>
        <w:spacing w:after="0" w:line="225"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Landlord decides to lease additional spaces in the building, the Company will be given the right of first refusal regarding parts of those additional spaces as listed below:</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the spaces that will be offered for lease on the ground floor – the Company will be given the right of first refusal with respect to space of at least 500 square meters which are adjacent to the Property. Out of the spaces that will be offered for lease in the first floor – the Company will be given the right of first refusal with respect to space of at least 800 square meters which adjacent to the Property.</w:t>
      </w:r>
    </w:p>
    <w:p>
      <w:pPr>
        <w:spacing w:after="0" w:line="176"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Seventh Addendum, out of spaces that will be offered for lease on the second floor, the Company will be given the right of first refusal with respect to space of at least 500 square meters which are adjacent to a specific portion of the Additional Property.</w:t>
      </w:r>
    </w:p>
    <w:p>
      <w:pPr>
        <w:spacing w:after="0" w:line="161" w:lineRule="exact"/>
        <w:rPr>
          <w:rFonts w:ascii="Times New Roman" w:cs="Times New Roman" w:eastAsia="Times New Roman" w:hAnsi="Times New Roman"/>
          <w:sz w:val="18"/>
          <w:szCs w:val="18"/>
          <w:color w:val="auto"/>
        </w:rPr>
      </w:pPr>
    </w:p>
    <w:p>
      <w:pPr>
        <w:ind w:left="648" w:right="20" w:hanging="324"/>
        <w:spacing w:after="0" w:line="282" w:lineRule="auto"/>
        <w:tabs>
          <w:tab w:leader="none" w:pos="64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right of first refusal will not be transferred to a substitute tenant if there will be such will be in the future under a sublease or transfer of the lease.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Rental Fees:</w:t>
      </w:r>
    </w:p>
    <w:p>
      <w:pPr>
        <w:spacing w:after="0" w:line="225"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Appendix B to the Original Lease Agreement, which set the basic rental fees mechanism, the Company was to pay, at the first day of each month the amounts as listed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Basic Rental Fees were increased upon the execution of the addenda pursuant to which the Company leased additional space. The details of such increases are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monthly rental fees for the parking spaces are detailed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VAT and Consumer Price Index – All rental fees are plus VAT and are linked to the Israeli Consumer Price Index.</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Improvements:</w:t>
      </w:r>
    </w:p>
    <w:p>
      <w:pPr>
        <w:spacing w:after="0" w:line="225"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First and Second Addendums, the space leased thereunder is leased in an “AS-IS” condition. The Company carried out improvements on such spaces at its own expense.</w:t>
      </w:r>
    </w:p>
    <w:p>
      <w:pPr>
        <w:spacing w:after="0" w:line="16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Seventh Addendum, the Landlord agreed to participate in certain costs of improvement of common areas.</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Ninth Addendum, the space leased thereunder is leased in an “AS-IS” condition.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Guarantees:</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Guarantees that were provided by the Company are detailed in Exhibit A.</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agree that any competent court in Tel Aviv is chosen by them as exclusive jurisdiction in any matter relating to the Lease Agreement.</w:t>
      </w:r>
    </w:p>
    <w:p>
      <w:pPr>
        <w:spacing w:after="0" w:line="236"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Terms under the Lease Agreement:</w:t>
      </w:r>
    </w:p>
    <w:p>
      <w:pPr>
        <w:spacing w:after="0" w:line="225"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bear all fees, municipal or local taxes, utility payments etc., associated with the management of the company’s business during the term of the Original Lease Period.</w:t>
      </w:r>
    </w:p>
    <w:p>
      <w:pPr>
        <w:spacing w:after="0" w:line="161"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shall bear all fees, municipal or local taxes, utility payments etc., which are levied on the Landlord by law.</w:t>
      </w:r>
    </w:p>
    <w:p>
      <w:pPr>
        <w:spacing w:after="0" w:line="225"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has agreed to assume responsibility for any damage, injury or loss (bodily or otherwise) resulting from any act, omission or negligence on its part, and with respect of the Company relating to its use of the Premises.</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905" w:right="2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Space that</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has been</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Space that</w:t>
            </w:r>
          </w:p>
        </w:tc>
        <w:tc>
          <w:tcPr>
            <w:tcW w:w="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Parking</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leased in</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has been</w:t>
            </w:r>
          </w:p>
        </w:tc>
        <w:tc>
          <w:tcPr>
            <w:tcW w:w="4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Rental fees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space that</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Rental fees</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square meters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leased in</w:t>
            </w:r>
          </w:p>
        </w:tc>
        <w:tc>
          <w:tcPr>
            <w:tcW w:w="4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has been</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regarding</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5"/>
        </w:trPr>
        <w:tc>
          <w:tcPr>
            <w:tcW w:w="29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4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leased space.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leased</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parking space</w:t>
            </w:r>
          </w:p>
        </w:tc>
        <w:tc>
          <w:tcPr>
            <w:tcW w:w="100" w:type="dxa"/>
            <w:vAlign w:val="bottom"/>
          </w:tcPr>
          <w:p>
            <w:pPr>
              <w:spacing w:after="0"/>
              <w:rPr>
                <w:sz w:val="19"/>
                <w:szCs w:val="19"/>
                <w:color w:val="auto"/>
              </w:rPr>
            </w:pPr>
          </w:p>
        </w:tc>
        <w:tc>
          <w:tcPr>
            <w:tcW w:w="17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Guarantees*</w:t>
            </w:r>
          </w:p>
        </w:tc>
      </w:tr>
      <w:tr>
        <w:trPr>
          <w:trHeight w:val="189"/>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Original Lease Agreement 17.12.2007</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Included in Sixth</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Included in Sixth</w:t>
            </w: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Included in Sixth</w:t>
            </w:r>
          </w:p>
        </w:tc>
      </w:tr>
      <w:tr>
        <w:trPr>
          <w:trHeight w:val="216"/>
        </w:trPr>
        <w:tc>
          <w:tcPr>
            <w:tcW w:w="2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Addendum Below</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Addendum Below</w:t>
            </w:r>
          </w:p>
        </w:tc>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Addendum Below</w:t>
            </w: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First Parking Space Addendum</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Second Parking Space Addendum</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189"/>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First Addendum 8.3.2012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5,000</w:t>
            </w: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Included in Sixth</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Included in Sixth</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Included in Sixth</w:t>
            </w:r>
          </w:p>
        </w:tc>
      </w:tr>
      <w:tr>
        <w:trPr>
          <w:trHeight w:val="210"/>
        </w:trPr>
        <w:tc>
          <w:tcPr>
            <w:tcW w:w="2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Addendum Below</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Addendum Below</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Addendum Below</w:t>
            </w:r>
          </w:p>
        </w:tc>
      </w:tr>
      <w:tr>
        <w:trPr>
          <w:trHeight w:val="195"/>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Third Parking Space Addendum”</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Included in Sixth</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Included in Sixth</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16"/>
        </w:trPr>
        <w:tc>
          <w:tcPr>
            <w:tcW w:w="2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Addendum Below</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Addendum Below</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89"/>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Second Addendum 19.12.2012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4,400</w:t>
            </w: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Included in Sixth</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Included in Sixth</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Included in Sixth</w:t>
            </w:r>
          </w:p>
        </w:tc>
      </w:tr>
      <w:tr>
        <w:trPr>
          <w:trHeight w:val="210"/>
        </w:trPr>
        <w:tc>
          <w:tcPr>
            <w:tcW w:w="2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Addendum Below</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Addendum Below</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Addendum Below</w:t>
            </w:r>
          </w:p>
        </w:tc>
      </w:tr>
      <w:tr>
        <w:trPr>
          <w:trHeight w:val="195"/>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Third Addendum 20.5.2013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 + 205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4,000</w:t>
            </w: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Included in Sixth</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Included in Sixth</w:t>
            </w:r>
          </w:p>
        </w:tc>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Included in Sixth</w:t>
            </w:r>
          </w:p>
        </w:tc>
      </w:tr>
      <w:tr>
        <w:trPr>
          <w:trHeight w:val="216"/>
        </w:trPr>
        <w:tc>
          <w:tcPr>
            <w:tcW w:w="2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Addendum Below</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Addendum Below</w:t>
            </w:r>
          </w:p>
        </w:tc>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Addendum Below</w:t>
            </w:r>
          </w:p>
        </w:tc>
      </w:tr>
      <w:tr>
        <w:trPr>
          <w:trHeight w:val="189"/>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Fourth Addendum 12.1. 2014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900</w:t>
            </w: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Included in Sixth</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Included in Sixth</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Included in Sixth</w:t>
            </w:r>
          </w:p>
        </w:tc>
      </w:tr>
      <w:tr>
        <w:trPr>
          <w:trHeight w:val="210"/>
        </w:trPr>
        <w:tc>
          <w:tcPr>
            <w:tcW w:w="2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Addendum Below</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Addendum Below</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Addendum Below</w:t>
            </w:r>
          </w:p>
        </w:tc>
      </w:tr>
      <w:tr>
        <w:trPr>
          <w:trHeight w:val="195"/>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Fifth Addendum 12.1.2014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8,000</w:t>
            </w: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Included in Sixth</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Included in Sixth</w:t>
            </w:r>
          </w:p>
        </w:tc>
      </w:tr>
      <w:tr>
        <w:trPr>
          <w:trHeight w:val="216"/>
        </w:trPr>
        <w:tc>
          <w:tcPr>
            <w:tcW w:w="2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Addendum Below</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Addendum Below</w:t>
            </w:r>
          </w:p>
        </w:tc>
      </w:tr>
      <w:tr>
        <w:trPr>
          <w:trHeight w:val="189"/>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Sixth Addendum 27.12.2015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Extension of term of</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145</w:t>
            </w: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Current Rate: NIS 140</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Aggregate bank guarantee</w:t>
            </w: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Lease - with rental fees as</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parking</w:t>
            </w: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per month for covered</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of NIS 832,699 and</w:t>
            </w: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follows:</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spaces</w:t>
            </w: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parking space NIS 350</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promissory note of NIS</w:t>
            </w: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●NIS 153,762 from the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per month for reserved</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3,330,279</w:t>
            </w: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date of the addendum</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parking space NIS 185</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until 30.11.18</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per month for uncovered</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NIS 157,423 from</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parking space</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1.12.18 until the end of</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the current period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NIS 165,294 from</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0"/>
        </w:trPr>
        <w:tc>
          <w:tcPr>
            <w:tcW w:w="2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1.1.21 until 31.12.25</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5"/>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Seventh Addendum 28.12.2015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31,409</w:t>
            </w: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NIS 105,048 during the</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NIS 350 per month per</w:t>
            </w:r>
          </w:p>
        </w:tc>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 bank guarantee in the</w:t>
            </w:r>
          </w:p>
        </w:tc>
      </w:tr>
      <w:tr>
        <w:trPr>
          <w:trHeight w:val="203"/>
        </w:trPr>
        <w:tc>
          <w:tcPr>
            <w:tcW w:w="2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period and NIS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parking space (if Kornit</w:t>
            </w:r>
          </w:p>
        </w:tc>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 of NIS 546.933</w:t>
            </w:r>
          </w:p>
        </w:tc>
      </w:tr>
      <w:tr>
        <w:trPr>
          <w:trHeight w:val="203"/>
        </w:trPr>
        <w:tc>
          <w:tcPr>
            <w:tcW w:w="2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110,300 during the option</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uses parking spaces</w:t>
            </w:r>
          </w:p>
        </w:tc>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and (ii) two promissory</w:t>
            </w:r>
          </w:p>
        </w:tc>
      </w:tr>
      <w:tr>
        <w:trPr>
          <w:trHeight w:val="203"/>
        </w:trPr>
        <w:tc>
          <w:tcPr>
            <w:tcW w:w="2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period</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currently rented out)</w:t>
            </w:r>
          </w:p>
        </w:tc>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notes in the amount of</w:t>
            </w:r>
          </w:p>
        </w:tc>
      </w:tr>
      <w:tr>
        <w:trPr>
          <w:trHeight w:val="216"/>
        </w:trPr>
        <w:tc>
          <w:tcPr>
            <w:tcW w:w="2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NIS 2,187,730 each</w:t>
            </w:r>
          </w:p>
        </w:tc>
      </w:tr>
      <w:tr>
        <w:trPr>
          <w:trHeight w:val="189"/>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Eighth Addendum 17.10.2017</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7,698</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For September 2017 –</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169</w:t>
            </w: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6 parking spaces – NIS</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NIS 408,467</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parking</w:t>
            </w: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140 per space;</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For 3,339 square meters:</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spaces</w:t>
            </w: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20 parking spaces – NIS</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October 2017 –</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350 per space;</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December 31, 2020 ––</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90 parking spaces – NIS</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NIS 36 per square meter;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185 per space;</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January 1, 2021-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35 parking spaces – NIS</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December 31, 2025 – NIS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185 per space;</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37.8 for square meter.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10 parking spaces –</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For 4,266 square meters: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without consideration</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October 1, 2017 –</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All fees are linked to the</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November 30, 2018 –</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October or August 2015</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NIS 42 for square meter;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CPI and exclude VAT.</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December 1, 2018 –</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December 31, 2020 - NIS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43 for square meter;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January 1, 2021 –</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December 31, 2025 – NIS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45.15 for square meter.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The rent fees are linked to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the CPI of October 2015</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0"/>
        </w:trPr>
        <w:tc>
          <w:tcPr>
            <w:tcW w:w="2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and exclude VAT.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5"/>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Ninth Addendum 21.2.2018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February 25, 2018 –</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03"/>
        </w:trPr>
        <w:tc>
          <w:tcPr>
            <w:tcW w:w="2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31, 2020 – NIS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03"/>
        </w:trPr>
        <w:tc>
          <w:tcPr>
            <w:tcW w:w="2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36 per square meter.</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03"/>
        </w:trPr>
        <w:tc>
          <w:tcPr>
            <w:tcW w:w="2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January 1, 2021 –</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03"/>
        </w:trPr>
        <w:tc>
          <w:tcPr>
            <w:tcW w:w="2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31, 2026 – NIS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03"/>
        </w:trPr>
        <w:tc>
          <w:tcPr>
            <w:tcW w:w="2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37.8 per square meter.</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03"/>
        </w:trPr>
        <w:tc>
          <w:tcPr>
            <w:tcW w:w="2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Additional management</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03"/>
        </w:trPr>
        <w:tc>
          <w:tcPr>
            <w:tcW w:w="2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fees – NIS 13 per square</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6"/>
        </w:trPr>
        <w:tc>
          <w:tcPr>
            <w:tcW w:w="2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meter.</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7" w:right="239" w:bottom="927" w:gutter="0" w:footer="0" w:header="0"/>
        </w:sectPr>
      </w:pPr>
    </w:p>
    <w:bookmarkStart w:id="165" w:name="page166"/>
    <w:bookmarkEnd w:id="165"/>
    <w:p>
      <w:pPr>
        <w:ind w:left="10420"/>
        <w:spacing w:after="0"/>
        <w:rPr>
          <w:sz w:val="20"/>
          <w:szCs w:val="20"/>
          <w:color w:val="auto"/>
        </w:rPr>
      </w:pPr>
      <w:r>
        <w:rPr>
          <w:rFonts w:ascii="Times New Roman" w:cs="Times New Roman" w:eastAsia="Times New Roman" w:hAnsi="Times New Roman"/>
          <w:sz w:val="21"/>
          <w:szCs w:val="21"/>
          <w:b w:val="1"/>
          <w:bCs w:val="1"/>
          <w:color w:val="auto"/>
        </w:rPr>
        <w:t>Exhibit 4.8</w:t>
      </w:r>
    </w:p>
    <w:p>
      <w:pPr>
        <w:spacing w:after="0" w:line="2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English Summary of the Lease Agreement dated as of March 25, 2010 by and between Benbenishti Engineering Ltd. (the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and Kornit Digital Ltd.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Original Lease Agreement</w:t>
      </w:r>
      <w:r>
        <w:rPr>
          <w:rFonts w:ascii="Times New Roman" w:cs="Times New Roman" w:eastAsia="Times New Roman" w:hAnsi="Times New Roman"/>
          <w:sz w:val="22"/>
          <w:szCs w:val="22"/>
          <w:color w:val="auto"/>
        </w:rPr>
        <w:t>”), as amended by an Addendum dated November 21, 2011, by an Addendum dated September 16, 2014, by an Addendum dated March 3, 2015 and by an Addendum dated August 31, 2017 (collectively, the “</w:t>
      </w:r>
      <w:r>
        <w:rPr>
          <w:rFonts w:ascii="Times New Roman" w:cs="Times New Roman" w:eastAsia="Times New Roman" w:hAnsi="Times New Roman"/>
          <w:sz w:val="22"/>
          <w:szCs w:val="22"/>
          <w:b w:val="1"/>
          <w:bCs w:val="1"/>
          <w:color w:val="auto"/>
        </w:rPr>
        <w:t>Lease Agreement</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both"/>
        <w:ind w:left="660" w:hanging="328"/>
        <w:spacing w:after="0" w:line="266"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Subject Matter of the Original Lease Agreement</w:t>
      </w:r>
      <w:r>
        <w:rPr>
          <w:rFonts w:ascii="Times New Roman" w:cs="Times New Roman" w:eastAsia="Times New Roman" w:hAnsi="Times New Roman"/>
          <w:sz w:val="18"/>
          <w:szCs w:val="18"/>
          <w:color w:val="auto"/>
        </w:rPr>
        <w:t>: Unprotected lease of the ground floor in the Building (as defined in the Original Lease Agreement) and 10 Parking Spaces (the “</w:t>
      </w:r>
      <w:r>
        <w:rPr>
          <w:rFonts w:ascii="Times New Roman" w:cs="Times New Roman" w:eastAsia="Times New Roman" w:hAnsi="Times New Roman"/>
          <w:sz w:val="18"/>
          <w:szCs w:val="18"/>
          <w:b w:val="1"/>
          <w:bCs w:val="1"/>
          <w:color w:val="auto"/>
        </w:rPr>
        <w:t>Original Premises</w:t>
      </w:r>
      <w:r>
        <w:rPr>
          <w:rFonts w:ascii="Times New Roman" w:cs="Times New Roman" w:eastAsia="Times New Roman" w:hAnsi="Times New Roman"/>
          <w:sz w:val="18"/>
          <w:szCs w:val="18"/>
          <w:color w:val="auto"/>
        </w:rPr>
        <w:t>”) that will be used by the company for the purpose of manufacture and storage of ink products. Premises are located in Kiryat Gat, Israel.</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Original Lease Agreement</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300" w:hanging="333"/>
        <w:spacing w:after="0" w:line="286" w:lineRule="auto"/>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Original Lease Agreement is five (5) years commencing on June 1, 2010 and ending on May 30, 2015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1300" w:hanging="333"/>
        <w:spacing w:after="0" w:line="266" w:lineRule="auto"/>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given the option to extend the term of the Original Lease Period by a three (3) years period, ending on May 30, 2018 (the “</w:t>
      </w:r>
      <w:r>
        <w:rPr>
          <w:rFonts w:ascii="Times New Roman" w:cs="Times New Roman" w:eastAsia="Times New Roman" w:hAnsi="Times New Roman"/>
          <w:sz w:val="18"/>
          <w:szCs w:val="18"/>
          <w:b w:val="1"/>
          <w:bCs w:val="1"/>
          <w:color w:val="auto"/>
        </w:rPr>
        <w:t>Extension Period</w:t>
      </w:r>
      <w:r>
        <w:rPr>
          <w:rFonts w:ascii="Times New Roman" w:cs="Times New Roman" w:eastAsia="Times New Roman" w:hAnsi="Times New Roman"/>
          <w:sz w:val="18"/>
          <w:szCs w:val="18"/>
          <w:color w:val="auto"/>
        </w:rPr>
        <w:t>”). This extension option is subject to the condition that the Company will provide a written notice, at least 120 days before the end of the Original Lease Period.</w:t>
      </w:r>
    </w:p>
    <w:p>
      <w:pPr>
        <w:spacing w:after="0" w:line="176" w:lineRule="exact"/>
        <w:rPr>
          <w:rFonts w:ascii="Times New Roman" w:cs="Times New Roman" w:eastAsia="Times New Roman" w:hAnsi="Times New Roman"/>
          <w:sz w:val="18"/>
          <w:szCs w:val="18"/>
          <w:color w:val="auto"/>
        </w:rPr>
      </w:pPr>
    </w:p>
    <w:p>
      <w:pPr>
        <w:ind w:left="1300" w:hanging="333"/>
        <w:spacing w:after="0"/>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exercised its right to extend the Original Lease Period.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Addendums to the Original Lease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right="20" w:hanging="333"/>
        <w:spacing w:after="0" w:line="266" w:lineRule="auto"/>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21, 2011, the Company and the Landlord signed an Addendum to the Original Lease Agreement, in which the company leased additional premises on the first floor of the Building (also in an unprotected lease) (the “</w:t>
      </w:r>
      <w:r>
        <w:rPr>
          <w:rFonts w:ascii="Times New Roman" w:cs="Times New Roman" w:eastAsia="Times New Roman" w:hAnsi="Times New Roman"/>
          <w:sz w:val="18"/>
          <w:szCs w:val="18"/>
          <w:b w:val="1"/>
          <w:bCs w:val="1"/>
          <w:color w:val="auto"/>
        </w:rPr>
        <w:t>Additional Premises Lease</w:t>
      </w:r>
      <w:r>
        <w:rPr>
          <w:rFonts w:ascii="Times New Roman" w:cs="Times New Roman" w:eastAsia="Times New Roman" w:hAnsi="Times New Roman"/>
          <w:sz w:val="18"/>
          <w:szCs w:val="18"/>
          <w:color w:val="auto"/>
        </w:rPr>
        <w:t>” and together with the Original Premises,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ind w:left="1300" w:hanging="333"/>
        <w:spacing w:after="0"/>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Additional Premises Lease was three (3) years, commencing on March 1, 2011 (the “</w:t>
      </w:r>
      <w:r>
        <w:rPr>
          <w:rFonts w:ascii="Times New Roman" w:cs="Times New Roman" w:eastAsia="Times New Roman" w:hAnsi="Times New Roman"/>
          <w:sz w:val="18"/>
          <w:szCs w:val="18"/>
          <w:b w:val="1"/>
          <w:bCs w:val="1"/>
          <w:color w:val="auto"/>
        </w:rPr>
        <w:t>Additional Premises Lease Period</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hanging="333"/>
        <w:spacing w:after="0" w:line="282" w:lineRule="auto"/>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given the option to extend the term of the Additional Premises Lease Period by a two (2) year period, ending on May 30, 2015. The Company subsequently exercised this option.</w:t>
      </w:r>
    </w:p>
    <w:p>
      <w:pPr>
        <w:spacing w:after="0" w:line="161" w:lineRule="exact"/>
        <w:rPr>
          <w:rFonts w:ascii="Times New Roman" w:cs="Times New Roman" w:eastAsia="Times New Roman" w:hAnsi="Times New Roman"/>
          <w:sz w:val="18"/>
          <w:szCs w:val="18"/>
          <w:color w:val="auto"/>
        </w:rPr>
      </w:pPr>
    </w:p>
    <w:p>
      <w:pPr>
        <w:ind w:left="1300" w:hanging="333"/>
        <w:spacing w:after="0"/>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2014, the Company was given an additional option to extend the term of the Additional Premises Lease Period by a three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year period, ending on May 30, 2018.</w:t>
      </w:r>
    </w:p>
    <w:p>
      <w:pPr>
        <w:spacing w:after="0" w:line="207"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On March 16, 2015, the Company was given an additional option to extend the term of the lease of the Premises by a three (3) years period, ending on May 31, 2021.</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On August 31, 2017, the Company and the Landlord agreed that the lease of the Premises will be extended until May 31, 2021 and the Company was given an additional option to extend the term of the lease by a three (3) year period, ending on May 31, 2024. During this option period, the Company shall be entitled to terminate the lease by providing 180 days prior notice to the Landlord.</w:t>
      </w:r>
    </w:p>
    <w:p>
      <w:pPr>
        <w:spacing w:after="0" w:line="176" w:lineRule="exact"/>
        <w:rPr>
          <w:sz w:val="20"/>
          <w:szCs w:val="20"/>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Premises Covered by the Lease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333"/>
        <w:spacing w:after="0" w:line="266"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Original Lease, the Company leased 1,082.5 square meters (gross) (approximately 11,500 square feet) and 10 Parking Spaces. Pursuant to the Original Lease, the property was leased to the Company in an “AS-IS” condition, except for a 100 square meters space inside the property that was needed for renovation in order to accommodate it to office space.</w:t>
      </w:r>
    </w:p>
    <w:p>
      <w:pPr>
        <w:spacing w:after="0" w:line="176" w:lineRule="exact"/>
        <w:rPr>
          <w:rFonts w:ascii="Times New Roman" w:cs="Times New Roman" w:eastAsia="Times New Roman" w:hAnsi="Times New Roman"/>
          <w:sz w:val="18"/>
          <w:szCs w:val="18"/>
          <w:color w:val="auto"/>
        </w:rPr>
      </w:pPr>
    </w:p>
    <w:p>
      <w:pPr>
        <w:ind w:left="1300" w:hanging="333"/>
        <w:spacing w:after="0" w:line="282"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beginning in March 2011, the Company leased the Additional Premises, which is comprised of 291 square meters (gross) (approximately 3,100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66" w:name="page167"/>
    <w:bookmarkEnd w:id="166"/>
    <w:p>
      <w:pPr>
        <w:ind w:left="328" w:hanging="328"/>
        <w:spacing w:after="0"/>
        <w:tabs>
          <w:tab w:leader="none" w:pos="32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Rental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Lease Agreement, during the first two (2) years of the Original Lease Period, the monthly rental fees for the Original Premises were NIS 30 per square meter plus VAT for the Original Premises and, through November 1, 2013, 26 NIS plus VAT per square meter for the Additional Premises (the “</w:t>
      </w:r>
      <w:r>
        <w:rPr>
          <w:rFonts w:ascii="Times New Roman" w:cs="Times New Roman" w:eastAsia="Times New Roman" w:hAnsi="Times New Roman"/>
          <w:sz w:val="18"/>
          <w:szCs w:val="18"/>
          <w:b w:val="1"/>
          <w:bCs w:val="1"/>
          <w:color w:val="auto"/>
        </w:rPr>
        <w:t>Basic Rental Fee</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period beginning on June 1, 2012 with respect to the Original Premises and the period beginning November 2, 2013 with respect to the Additional Premises, the Basic Rental Fee increases each year by 2.5% compared to the Basic Rental Fee in the previous year.</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period beginning June 1, 2015 and ending May 31, 2016, the monthly rental fees for the Premises were NIS 34.19 per square meter plus VAT (the “</w:t>
      </w:r>
      <w:r>
        <w:rPr>
          <w:rFonts w:ascii="Times New Roman" w:cs="Times New Roman" w:eastAsia="Times New Roman" w:hAnsi="Times New Roman"/>
          <w:sz w:val="18"/>
          <w:szCs w:val="18"/>
          <w:b w:val="1"/>
          <w:bCs w:val="1"/>
          <w:color w:val="auto"/>
        </w:rPr>
        <w:t>Updated Basic Renal Fee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68"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June 1, 2016, the Updated Basic Rental Fee increases each year by 2% compared to the Updated Basic Rental Fee in the previous year.</w:t>
      </w:r>
    </w:p>
    <w:p>
      <w:pPr>
        <w:spacing w:after="0" w:line="16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cases, rental fees shall be increased (but not decreased) based on changes to the Israeli Consumer Price Index.</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68" w:hanging="320"/>
        <w:spacing w:after="0" w:line="261" w:lineRule="auto"/>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Lease Agreement, the Company provided to the Landlord (i) three (3) promissory notes for NIS 75,000 each; (ii) an unconditional bank guarantee in the amount of NIS 120,000, index-linked to the Israeli Consumer Price Index, which is to be valid for fourteen (14) months, and to be extended by the Company to remain in effect for the duration of the term of lease and for sixty (60) days thereafter; and (iii) a cash deposit equal to two (2) months’ rental fee.</w:t>
      </w:r>
    </w:p>
    <w:p>
      <w:pPr>
        <w:spacing w:after="0" w:line="18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Terms under the Lease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68" w:hanging="320"/>
        <w:spacing w:after="0" w:line="256" w:lineRule="auto"/>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a right to sub-lease parts of the premises, subject to the Landlord’s prior written consent (not to be unreasonably withheld),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Company will remain responsible for fulfilling all of its obligations under the Lease Agreement. The Company may also transfer its rights to the premises to a substitute tenant on terms that are no less favorable than the terms of the Lease Agreement and subject to the Landlord’s prior written consent (not to be unreasonably withheld),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lease period of the substitute tenant will be shorter or coincide with the lease period under the Lease Agreement and that the Company will remain responsible for all of its obligations for the Landlord under this agreement.</w:t>
      </w:r>
    </w:p>
    <w:p>
      <w:pPr>
        <w:spacing w:after="0" w:line="185" w:lineRule="exact"/>
        <w:rPr>
          <w:rFonts w:ascii="Times New Roman" w:cs="Times New Roman" w:eastAsia="Times New Roman" w:hAnsi="Times New Roman"/>
          <w:sz w:val="18"/>
          <w:szCs w:val="18"/>
          <w:color w:val="auto"/>
        </w:rPr>
      </w:pPr>
    </w:p>
    <w:p>
      <w:pPr>
        <w:ind w:left="968" w:hanging="320"/>
        <w:spacing w:after="0" w:line="284" w:lineRule="auto"/>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landlord has a right to sell or otherwise transfer the property to a third party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transferee will accept all of the Landlord’s obligations under the Lease Agreement and that the Company’s rights under the Lease Agreement will not be affected.</w:t>
      </w:r>
    </w:p>
    <w:p>
      <w:pPr>
        <w:spacing w:after="0" w:line="160"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agreed to assume responsibility for all fees, municipal or local taxes, utility payments and other similar fees or expenses;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Landlord shall bear any and all taxes and fees.</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has agreed to assume responsibility for any damage, injury or loss (bodily or otherwise) resulting from any act, omission or negligence on its part and the Company has assumed all such responsibility relating to its use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388620</wp:posOffset>
            </wp:positionV>
            <wp:extent cx="72466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931" w:right="2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LEASE</w:t>
      </w:r>
    </w:p>
    <w:p>
      <w:pPr>
        <w:spacing w:after="0" w:line="200" w:lineRule="exact"/>
        <w:rPr>
          <w:sz w:val="20"/>
          <w:szCs w:val="20"/>
          <w:color w:val="auto"/>
        </w:rPr>
      </w:pPr>
    </w:p>
    <w:p>
      <w:pPr>
        <w:spacing w:after="0" w:line="24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00" w:lineRule="exact"/>
        <w:rPr>
          <w:sz w:val="20"/>
          <w:szCs w:val="20"/>
          <w:color w:val="auto"/>
        </w:rPr>
      </w:pPr>
    </w:p>
    <w:p>
      <w:pPr>
        <w:spacing w:after="0" w:line="24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BONANNO REAL ESTATE GROUP I, L.P., Landlord</w:t>
      </w:r>
    </w:p>
    <w:p>
      <w:pPr>
        <w:spacing w:after="0" w:line="200" w:lineRule="exact"/>
        <w:rPr>
          <w:sz w:val="20"/>
          <w:szCs w:val="20"/>
          <w:color w:val="auto"/>
        </w:rPr>
      </w:pPr>
    </w:p>
    <w:p>
      <w:pPr>
        <w:spacing w:after="0" w:line="2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 and -</w:t>
      </w:r>
    </w:p>
    <w:p>
      <w:pPr>
        <w:spacing w:after="0" w:line="200" w:lineRule="exact"/>
        <w:rPr>
          <w:sz w:val="20"/>
          <w:szCs w:val="20"/>
          <w:color w:val="auto"/>
        </w:rPr>
      </w:pPr>
    </w:p>
    <w:p>
      <w:pPr>
        <w:spacing w:after="0" w:line="24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KORNIT DIGITAL NORTH AMERICA, INC., TENANT</w:t>
      </w:r>
    </w:p>
    <w:p>
      <w:pPr>
        <w:spacing w:after="0" w:line="200" w:lineRule="exact"/>
        <w:rPr>
          <w:sz w:val="20"/>
          <w:szCs w:val="20"/>
          <w:color w:val="auto"/>
        </w:rPr>
      </w:pPr>
    </w:p>
    <w:p>
      <w:pPr>
        <w:spacing w:after="0" w:line="24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Dated: December _____,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2764155</wp:posOffset>
            </wp:positionV>
            <wp:extent cx="72466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60" w:type="dxa"/>
            <w:vAlign w:val="bottom"/>
            <w:gridSpan w:val="3"/>
          </w:tcPr>
          <w:p>
            <w:pPr>
              <w:ind w:left="4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Demise of Premises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 Term of Lease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Rent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IV The Demised Premises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Use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 Quiet Enjoyment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Additional Rent, Taxes, Assessments, Water Rates, Charges, Etc.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VIII Insurance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Repairs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 Casualty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Condemnation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XII Compliance With Laws, Etc.</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XIII Subordination/Estoppels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XIV Defaults, Remedies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XV Assignment and Sublease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XVI Notices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XVII Holding Over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XVIII Liens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XIX Condition of Demised Premises, Loss, Etc.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XX Inspection, For Sale and For Rent Signs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XXI Signs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XXII Advance Rent, Security and Late Charge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XXIII Financial Statements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XXIV Broker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XXV Commencement Date Agreement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XXVI Waiver of Jury Trial/Non-Mandatory Counterclaims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XXVII Waiver of Distraint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XXVIII Landlord’s Retained Rights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XXIX Miscellaneous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XXX Personal Liability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XXXI Rent Concession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XXXII Intentionally Omitted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XXXIII Guaranty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XXXIV Cancellation Option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80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INDEX OF DEFINITIONS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w:t>
            </w:r>
          </w:p>
        </w:tc>
        <w:tc>
          <w:tcPr>
            <w:tcW w:w="8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Additional Rent</w:t>
            </w:r>
          </w:p>
        </w:tc>
        <w:tc>
          <w:tcPr>
            <w:tcW w:w="8020" w:type="dxa"/>
            <w:vAlign w:val="bottom"/>
          </w:tcPr>
          <w:p>
            <w:pPr>
              <w:jc w:val="center"/>
              <w:ind w:left="67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Security</w:t>
            </w:r>
          </w:p>
        </w:tc>
        <w:tc>
          <w:tcPr>
            <w:tcW w:w="8020" w:type="dxa"/>
            <w:vAlign w:val="bottom"/>
            <w:shd w:val="clear" w:color="auto" w:fill="CCEEFF"/>
          </w:tcPr>
          <w:p>
            <w:pPr>
              <w:jc w:val="center"/>
              <w:ind w:left="6790"/>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Alternative Parking</w:t>
            </w: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and/or</w:t>
            </w:r>
          </w:p>
        </w:tc>
        <w:tc>
          <w:tcPr>
            <w:tcW w:w="8020" w:type="dxa"/>
            <w:vAlign w:val="bottom"/>
            <w:shd w:val="clear" w:color="auto" w:fill="CCEEFF"/>
          </w:tcPr>
          <w:p>
            <w:pPr>
              <w:jc w:val="center"/>
              <w:ind w:left="6790"/>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Approved Tenant Plans”</w:t>
            </w:r>
          </w:p>
        </w:tc>
        <w:tc>
          <w:tcPr>
            <w:tcW w:w="8020" w:type="dxa"/>
            <w:vAlign w:val="bottom"/>
          </w:tcPr>
          <w:p>
            <w:pPr>
              <w:jc w:val="center"/>
              <w:ind w:left="679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Bankruptcy Event</w:t>
            </w:r>
          </w:p>
        </w:tc>
        <w:tc>
          <w:tcPr>
            <w:tcW w:w="8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Basic Rent</w:t>
            </w:r>
          </w:p>
        </w:tc>
        <w:tc>
          <w:tcPr>
            <w:tcW w:w="8020" w:type="dxa"/>
            <w:vAlign w:val="bottom"/>
          </w:tcPr>
          <w:p>
            <w:pPr>
              <w:jc w:val="center"/>
              <w:ind w:left="67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8020" w:type="dxa"/>
            <w:vAlign w:val="bottom"/>
            <w:shd w:val="clear" w:color="auto" w:fill="CCEEFF"/>
          </w:tcPr>
          <w:p>
            <w:pPr>
              <w:jc w:val="center"/>
              <w:ind w:left="679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Capital Repair</w:t>
            </w:r>
          </w:p>
        </w:tc>
        <w:tc>
          <w:tcPr>
            <w:tcW w:w="8020" w:type="dxa"/>
            <w:vAlign w:val="bottom"/>
          </w:tcPr>
          <w:p>
            <w:pPr>
              <w:jc w:val="center"/>
              <w:ind w:left="6790"/>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Commencement Date</w:t>
            </w:r>
          </w:p>
        </w:tc>
        <w:tc>
          <w:tcPr>
            <w:tcW w:w="8020" w:type="dxa"/>
            <w:vAlign w:val="bottom"/>
            <w:shd w:val="clear" w:color="auto" w:fill="CCEEFF"/>
          </w:tcPr>
          <w:p>
            <w:pPr>
              <w:jc w:val="center"/>
              <w:ind w:left="67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Demised Premises</w:t>
            </w:r>
          </w:p>
        </w:tc>
        <w:tc>
          <w:tcPr>
            <w:tcW w:w="8020" w:type="dxa"/>
            <w:vAlign w:val="bottom"/>
          </w:tcPr>
          <w:p>
            <w:pPr>
              <w:jc w:val="center"/>
              <w:ind w:left="67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Device</w:t>
            </w:r>
          </w:p>
        </w:tc>
        <w:tc>
          <w:tcPr>
            <w:tcW w:w="8020" w:type="dxa"/>
            <w:vAlign w:val="bottom"/>
            <w:shd w:val="clear" w:color="auto" w:fill="CCEEFF"/>
          </w:tcPr>
          <w:p>
            <w:pPr>
              <w:jc w:val="center"/>
              <w:ind w:left="6790"/>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exclude</w:t>
            </w:r>
          </w:p>
        </w:tc>
        <w:tc>
          <w:tcPr>
            <w:tcW w:w="8020" w:type="dxa"/>
            <w:vAlign w:val="bottom"/>
            <w:shd w:val="clear" w:color="auto" w:fill="CCEEFF"/>
          </w:tcPr>
          <w:p>
            <w:pPr>
              <w:jc w:val="center"/>
              <w:ind w:left="6790"/>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excluding</w:t>
            </w:r>
          </w:p>
        </w:tc>
        <w:tc>
          <w:tcPr>
            <w:tcW w:w="8020" w:type="dxa"/>
            <w:vAlign w:val="bottom"/>
          </w:tcPr>
          <w:p>
            <w:pPr>
              <w:jc w:val="center"/>
              <w:ind w:left="6790"/>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Execution Date</w:t>
            </w:r>
          </w:p>
        </w:tc>
        <w:tc>
          <w:tcPr>
            <w:tcW w:w="8020" w:type="dxa"/>
            <w:vAlign w:val="bottom"/>
            <w:shd w:val="clear" w:color="auto" w:fill="CCEEFF"/>
          </w:tcPr>
          <w:p>
            <w:pPr>
              <w:jc w:val="center"/>
              <w:ind w:left="67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First Renewal Term</w:t>
            </w: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Gov’t Incentives</w:t>
            </w:r>
          </w:p>
        </w:tc>
        <w:tc>
          <w:tcPr>
            <w:tcW w:w="8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Incentive Termination Notice</w:t>
            </w: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w:t>
            </w:r>
          </w:p>
        </w:tc>
        <w:tc>
          <w:tcPr>
            <w:tcW w:w="8020" w:type="dxa"/>
            <w:vAlign w:val="bottom"/>
            <w:shd w:val="clear" w:color="auto" w:fill="CCEEFF"/>
          </w:tcPr>
          <w:p>
            <w:pPr>
              <w:jc w:val="center"/>
              <w:ind w:left="6790"/>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including</w:t>
            </w:r>
          </w:p>
        </w:tc>
        <w:tc>
          <w:tcPr>
            <w:tcW w:w="8020" w:type="dxa"/>
            <w:vAlign w:val="bottom"/>
          </w:tcPr>
          <w:p>
            <w:pPr>
              <w:jc w:val="center"/>
              <w:ind w:left="6790"/>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Issuing Bank</w:t>
            </w:r>
          </w:p>
        </w:tc>
        <w:tc>
          <w:tcPr>
            <w:tcW w:w="8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Landlord</w:t>
            </w:r>
          </w:p>
        </w:tc>
        <w:tc>
          <w:tcPr>
            <w:tcW w:w="8020" w:type="dxa"/>
            <w:vAlign w:val="bottom"/>
          </w:tcPr>
          <w:p>
            <w:pPr>
              <w:jc w:val="center"/>
              <w:ind w:left="67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Landlord’s Adjacent Property</w:t>
            </w:r>
          </w:p>
        </w:tc>
        <w:tc>
          <w:tcPr>
            <w:tcW w:w="8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Late Charge</w:t>
            </w:r>
          </w:p>
        </w:tc>
        <w:tc>
          <w:tcPr>
            <w:tcW w:w="8020" w:type="dxa"/>
            <w:vAlign w:val="bottom"/>
          </w:tcPr>
          <w:p>
            <w:pPr>
              <w:jc w:val="center"/>
              <w:ind w:left="6790"/>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Requirements</w:t>
            </w:r>
          </w:p>
        </w:tc>
        <w:tc>
          <w:tcPr>
            <w:tcW w:w="8020" w:type="dxa"/>
            <w:vAlign w:val="bottom"/>
            <w:shd w:val="clear" w:color="auto" w:fill="CCEEFF"/>
          </w:tcPr>
          <w:p>
            <w:pPr>
              <w:jc w:val="center"/>
              <w:ind w:left="6790"/>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LL Roof Repair Work</w:t>
            </w: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w:t>
            </w:r>
          </w:p>
        </w:tc>
        <w:tc>
          <w:tcPr>
            <w:tcW w:w="8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Non-Extension Notice</w:t>
            </w: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Overnight Courier</w:t>
            </w:r>
          </w:p>
        </w:tc>
        <w:tc>
          <w:tcPr>
            <w:tcW w:w="8020" w:type="dxa"/>
            <w:vAlign w:val="bottom"/>
            <w:shd w:val="clear" w:color="auto" w:fill="CCEEFF"/>
          </w:tcPr>
          <w:p>
            <w:pPr>
              <w:jc w:val="center"/>
              <w:ind w:left="6790"/>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Property Insurance</w:t>
            </w:r>
          </w:p>
        </w:tc>
        <w:tc>
          <w:tcPr>
            <w:tcW w:w="8020" w:type="dxa"/>
            <w:vAlign w:val="bottom"/>
          </w:tcPr>
          <w:p>
            <w:pPr>
              <w:jc w:val="center"/>
              <w:ind w:left="679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Property</w:t>
            </w:r>
          </w:p>
        </w:tc>
        <w:tc>
          <w:tcPr>
            <w:tcW w:w="8020" w:type="dxa"/>
            <w:vAlign w:val="bottom"/>
            <w:shd w:val="clear" w:color="auto" w:fill="CCEEFF"/>
          </w:tcPr>
          <w:p>
            <w:pPr>
              <w:jc w:val="center"/>
              <w:ind w:left="67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8020" w:type="dxa"/>
            <w:vAlign w:val="bottom"/>
          </w:tcPr>
          <w:p>
            <w:pPr>
              <w:jc w:val="center"/>
              <w:ind w:left="67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Commencement Date</w:t>
            </w:r>
          </w:p>
        </w:tc>
        <w:tc>
          <w:tcPr>
            <w:tcW w:w="8020" w:type="dxa"/>
            <w:vAlign w:val="bottom"/>
            <w:shd w:val="clear" w:color="auto" w:fill="CCEEFF"/>
          </w:tcPr>
          <w:p>
            <w:pPr>
              <w:jc w:val="center"/>
              <w:ind w:left="67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repairs</w:t>
            </w:r>
          </w:p>
        </w:tc>
        <w:tc>
          <w:tcPr>
            <w:tcW w:w="8020" w:type="dxa"/>
            <w:vAlign w:val="bottom"/>
          </w:tcPr>
          <w:p>
            <w:pPr>
              <w:jc w:val="center"/>
              <w:ind w:left="679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Satisfactory Letter of Credit</w:t>
            </w:r>
          </w:p>
        </w:tc>
        <w:tc>
          <w:tcPr>
            <w:tcW w:w="8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Second Renewal Term</w:t>
            </w: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8020" w:type="dxa"/>
            <w:vAlign w:val="bottom"/>
            <w:shd w:val="clear" w:color="auto" w:fill="CCEEFF"/>
          </w:tcPr>
          <w:p>
            <w:pPr>
              <w:jc w:val="center"/>
              <w:ind w:left="6790"/>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SNDA</w:t>
            </w:r>
          </w:p>
        </w:tc>
        <w:tc>
          <w:tcPr>
            <w:tcW w:w="8020" w:type="dxa"/>
            <w:vAlign w:val="bottom"/>
          </w:tcPr>
          <w:p>
            <w:pPr>
              <w:jc w:val="center"/>
              <w:ind w:left="6790"/>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Delay</w:t>
            </w:r>
          </w:p>
        </w:tc>
        <w:tc>
          <w:tcPr>
            <w:tcW w:w="8020" w:type="dxa"/>
            <w:vAlign w:val="bottom"/>
            <w:shd w:val="clear" w:color="auto" w:fill="CCEEFF"/>
          </w:tcPr>
          <w:p>
            <w:pPr>
              <w:jc w:val="center"/>
              <w:ind w:left="67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Tenant’s Work</w:t>
            </w:r>
          </w:p>
        </w:tc>
        <w:tc>
          <w:tcPr>
            <w:tcW w:w="8020" w:type="dxa"/>
            <w:vAlign w:val="bottom"/>
          </w:tcPr>
          <w:p>
            <w:pPr>
              <w:jc w:val="center"/>
              <w:ind w:left="679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w:t>
            </w:r>
          </w:p>
        </w:tc>
        <w:tc>
          <w:tcPr>
            <w:tcW w:w="8020" w:type="dxa"/>
            <w:vAlign w:val="bottom"/>
            <w:shd w:val="clear" w:color="auto" w:fill="CCEEFF"/>
          </w:tcPr>
          <w:p>
            <w:pPr>
              <w:jc w:val="center"/>
              <w:ind w:left="67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8020" w:type="dxa"/>
            <w:vAlign w:val="bottom"/>
          </w:tcPr>
          <w:p>
            <w:pPr>
              <w:jc w:val="center"/>
              <w:ind w:left="67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70" w:name="page171"/>
    <w:bookmarkEnd w:id="170"/>
    <w:p>
      <w:pPr>
        <w:ind w:left="660"/>
        <w:spacing w:after="0"/>
        <w:rPr>
          <w:sz w:val="20"/>
          <w:szCs w:val="20"/>
          <w:color w:val="auto"/>
        </w:rPr>
      </w:pPr>
      <w:r>
        <w:rPr>
          <w:rFonts w:ascii="Times New Roman" w:cs="Times New Roman" w:eastAsia="Times New Roman" w:hAnsi="Times New Roman"/>
          <w:sz w:val="18"/>
          <w:szCs w:val="18"/>
          <w:b w:val="1"/>
          <w:bCs w:val="1"/>
          <w:color w:val="auto"/>
        </w:rPr>
        <w:t>THIS LEASE</w:t>
      </w:r>
      <w:r>
        <w:rPr>
          <w:rFonts w:ascii="Times New Roman" w:cs="Times New Roman" w:eastAsia="Times New Roman" w:hAnsi="Times New Roman"/>
          <w:sz w:val="18"/>
          <w:szCs w:val="18"/>
          <w:color w:val="auto"/>
        </w:rPr>
        <w:t>, dated the _____ day of December ____, 2017 (“</w:t>
      </w:r>
      <w:r>
        <w:rPr>
          <w:rFonts w:ascii="Times New Roman" w:cs="Times New Roman" w:eastAsia="Times New Roman" w:hAnsi="Times New Roman"/>
          <w:sz w:val="18"/>
          <w:szCs w:val="18"/>
          <w:b w:val="1"/>
          <w:bCs w:val="1"/>
          <w:i w:val="1"/>
          <w:iCs w:val="1"/>
          <w:color w:val="auto"/>
        </w:rPr>
        <w:t>Execution Date</w:t>
      </w:r>
      <w:r>
        <w:rPr>
          <w:rFonts w:ascii="Times New Roman" w:cs="Times New Roman" w:eastAsia="Times New Roman" w:hAnsi="Times New Roman"/>
          <w:sz w:val="18"/>
          <w:szCs w:val="18"/>
          <w:color w:val="auto"/>
        </w:rPr>
        <w:t>”), between BONANNO REAL ESTATE GROUP I, L.P., a New</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Jersey limited partnership, with offices at 107 West Tryon Avenue, Teaneck, New Jersey 07666 (hereinafter referred to as the “</w:t>
      </w:r>
      <w:r>
        <w:rPr>
          <w:rFonts w:ascii="Times New Roman" w:cs="Times New Roman" w:eastAsia="Times New Roman" w:hAnsi="Times New Roman"/>
          <w:sz w:val="18"/>
          <w:szCs w:val="18"/>
          <w:b w:val="1"/>
          <w:bCs w:val="1"/>
          <w:i w:val="1"/>
          <w:iCs w:val="1"/>
          <w:color w:val="auto"/>
        </w:rPr>
        <w:t>Landlord</w:t>
      </w:r>
      <w:r>
        <w:rPr>
          <w:rFonts w:ascii="Times New Roman" w:cs="Times New Roman" w:eastAsia="Times New Roman" w:hAnsi="Times New Roman"/>
          <w:sz w:val="18"/>
          <w:szCs w:val="18"/>
          <w:color w:val="auto"/>
        </w:rPr>
        <w:t>”); and KORNIT DIGITAL NORTH AMERICA, INC., a Delaware corporation, with offices at 10541-10601North Commerce Street, Mequon, WI 53092, USA (hereinafter referred to as the “</w:t>
      </w:r>
      <w:r>
        <w:rPr>
          <w:rFonts w:ascii="Times New Roman" w:cs="Times New Roman" w:eastAsia="Times New Roman" w:hAnsi="Times New Roman"/>
          <w:sz w:val="18"/>
          <w:szCs w:val="18"/>
          <w:b w:val="1"/>
          <w:bCs w:val="1"/>
          <w:i w:val="1"/>
          <w:iCs w:val="1"/>
          <w:color w:val="auto"/>
        </w:rPr>
        <w:t>Tenant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Demise of Premises</w:t>
      </w:r>
    </w:p>
    <w:p>
      <w:pPr>
        <w:spacing w:after="0" w:line="225"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color w:val="auto"/>
        </w:rPr>
        <w:t>The Landlord, for and in consideration of the rents to be paid and of the covenants and agreements hereinafter contained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kept and performed by the Tenant, hereby demises and leases unto the Tenant, and the Tenant hereby hires and takes from the Landlord, for the term and the rent, and upon the covenants and agreements hereinafter set forth, the premises described in Exhibit A attached hereto and made a part hereof (such premises together with the Building and Real Property, both as hereinafter defined being hereinafter referred to as the “</w:t>
      </w:r>
      <w:r>
        <w:rPr>
          <w:rFonts w:ascii="Times New Roman" w:cs="Times New Roman" w:eastAsia="Times New Roman" w:hAnsi="Times New Roman"/>
          <w:sz w:val="18"/>
          <w:szCs w:val="18"/>
          <w:b w:val="1"/>
          <w:bCs w:val="1"/>
          <w:i w:val="1"/>
          <w:iCs w:val="1"/>
          <w:color w:val="auto"/>
        </w:rPr>
        <w:t>Demised Premises</w:t>
      </w:r>
      <w:r>
        <w:rPr>
          <w:rFonts w:ascii="Times New Roman" w:cs="Times New Roman" w:eastAsia="Times New Roman" w:hAnsi="Times New Roman"/>
          <w:sz w:val="18"/>
          <w:szCs w:val="18"/>
          <w:color w:val="auto"/>
        </w:rPr>
        <w:t>”), which is situated on that certain parcel of land located at 480 South Dean Street, in the City of Englewood, County of Bergen, State of New Jersey and a portion of the land located at 470 South Dean Street, in the City of Englewood, County of Bergen, State of New Jersey (hereinafter referred to as the “</w:t>
      </w:r>
      <w:r>
        <w:rPr>
          <w:rFonts w:ascii="Times New Roman" w:cs="Times New Roman" w:eastAsia="Times New Roman" w:hAnsi="Times New Roman"/>
          <w:sz w:val="18"/>
          <w:szCs w:val="18"/>
          <w:b w:val="1"/>
          <w:bCs w:val="1"/>
          <w:i w:val="1"/>
          <w:iCs w:val="1"/>
          <w:color w:val="auto"/>
        </w:rPr>
        <w:t>Real Property</w:t>
      </w:r>
      <w:r>
        <w:rPr>
          <w:rFonts w:ascii="Times New Roman" w:cs="Times New Roman" w:eastAsia="Times New Roman" w:hAnsi="Times New Roman"/>
          <w:sz w:val="18"/>
          <w:szCs w:val="18"/>
          <w:color w:val="auto"/>
        </w:rPr>
        <w:t>”), subject to and together with the following:</w:t>
      </w:r>
    </w:p>
    <w:p>
      <w:pPr>
        <w:spacing w:after="0" w:line="187" w:lineRule="exact"/>
        <w:rPr>
          <w:sz w:val="20"/>
          <w:szCs w:val="20"/>
          <w:color w:val="auto"/>
        </w:rPr>
      </w:pPr>
    </w:p>
    <w:p>
      <w:pPr>
        <w:ind w:left="1820" w:hanging="515"/>
        <w:spacing w:after="0"/>
        <w:tabs>
          <w:tab w:leader="none" w:pos="18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Zoning regulations and ordinances of the governmental subdivision(s) in which the Demised Premises lie; and</w:t>
      </w:r>
    </w:p>
    <w:p>
      <w:pPr>
        <w:spacing w:after="0" w:line="225" w:lineRule="exact"/>
        <w:rPr>
          <w:rFonts w:ascii="Times New Roman" w:cs="Times New Roman" w:eastAsia="Times New Roman" w:hAnsi="Times New Roman"/>
          <w:sz w:val="18"/>
          <w:szCs w:val="18"/>
          <w:color w:val="auto"/>
        </w:rPr>
      </w:pPr>
    </w:p>
    <w:p>
      <w:pPr>
        <w:ind w:left="1820" w:hanging="515"/>
        <w:spacing w:after="0"/>
        <w:tabs>
          <w:tab w:leader="none" w:pos="18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restrictions, conditions, easements and party wall agreements of record, if 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of Lease</w:t>
      </w:r>
    </w:p>
    <w:p>
      <w:pPr>
        <w:spacing w:after="0" w:line="225"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color w:val="auto"/>
        </w:rPr>
        <w:t>The term of this Lease and the demise of the Demised Premises shall be for ten (10) Lease Years beginning on February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provided that Landlord has satisfied the Delivery Conditions (hereinafter defined) (the “</w:t>
      </w:r>
      <w:r>
        <w:rPr>
          <w:rFonts w:ascii="Times New Roman" w:cs="Times New Roman" w:eastAsia="Times New Roman" w:hAnsi="Times New Roman"/>
          <w:sz w:val="18"/>
          <w:szCs w:val="18"/>
          <w:b w:val="1"/>
          <w:bCs w:val="1"/>
          <w:i w:val="1"/>
          <w:iCs w:val="1"/>
          <w:color w:val="auto"/>
        </w:rPr>
        <w:t>Commencement Date</w:t>
      </w:r>
      <w:r>
        <w:rPr>
          <w:rFonts w:ascii="Times New Roman" w:cs="Times New Roman" w:eastAsia="Times New Roman" w:hAnsi="Times New Roman"/>
          <w:sz w:val="18"/>
          <w:szCs w:val="18"/>
          <w:color w:val="auto"/>
        </w:rPr>
        <w:t>”), and ending at 11:59 p.m. on the last</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day of the tenth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Lease Year or on such earlier or later commencement or termination as hereinafter set forth (which term, as same may be renewed or extended, is hereinafter called the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 If for any reason other than Force Majeure or a Tenant Delay (as hereinafter defined) the Demised Premises are not delivered to Tenant with all of the Delivery Conditions satisfied and all of Landlord’s representations then being true and accurate on or before February 1, 2018, then and in such event, Tenant shall be entitled to one (1) day of free Monthly Basic Rent for every day of delay until such time as the Demised Premises are delivered to Tenant in the condition required by this Section 2.01. If Landlord has not delivered the Demised Premises to Tenant in the condition required by this Section 2.01 on or before April 30, 2018 subject to delay due to reasons of Force Majeure or Tenant Delay, then commencing on May 1, 2018 and thereafter until such time as Landlord delivers the Demised Premises to Tenant in the condition required hereunder, Tenant shall have the right to terminate this Lease on not less than thirty (30) days prior written notice to Landlord, and on the date specified in Tenant’s notice, this Lease shall terminate and the parties shall have no further rights or obligations hereunder, except that Landlord shall promptly refund to Tenant any Rent paid in advance and any security deposited with Landlord, and this provision shall survive the expiration or earlier termination of the Lease. As used herein the term “</w:t>
      </w:r>
      <w:r>
        <w:rPr>
          <w:rFonts w:ascii="Times New Roman" w:cs="Times New Roman" w:eastAsia="Times New Roman" w:hAnsi="Times New Roman"/>
          <w:sz w:val="18"/>
          <w:szCs w:val="18"/>
          <w:b w:val="1"/>
          <w:bCs w:val="1"/>
          <w:i w:val="1"/>
          <w:iCs w:val="1"/>
          <w:color w:val="auto"/>
        </w:rPr>
        <w:t>Tenant Delay</w:t>
      </w:r>
      <w:r>
        <w:rPr>
          <w:rFonts w:ascii="Times New Roman" w:cs="Times New Roman" w:eastAsia="Times New Roman" w:hAnsi="Times New Roman"/>
          <w:sz w:val="18"/>
          <w:szCs w:val="18"/>
          <w:color w:val="auto"/>
        </w:rPr>
        <w:t>” shall mean any delay that Landlord may encounter in commencing or performing any of Landlord’s obligations under this Lease, due to any acts or omissions of Tenant, or any of its respective agents, employees, contractors, or subcontractors, which caused such delay and of which Landlord has given notice to Tenant. Landlord shall notify Tenant in writing, of any Tenant Delay arising from any such acts or omissions within five (5) business days after Landlord actually becomes aware that any such acts or omissions has resulted in Tenant Delay (and such notice shall specify in reasonable etail to the extent practicable the cause of the delay).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color w:val="auto"/>
        </w:rPr>
        <w:t>Beginning on the Rent Commencement Date Term Basic Rent shall accrue and be payable as follows: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LEASE YEAR</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ANNUAL BASIC RENT</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MONTHLY BASIC RENT</w:t>
            </w:r>
          </w:p>
        </w:tc>
      </w:tr>
      <w:tr>
        <w:trPr>
          <w:trHeight w:val="210"/>
        </w:trPr>
        <w:tc>
          <w:tcPr>
            <w:tcW w:w="39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$142,605.00</w:t>
            </w:r>
          </w:p>
        </w:tc>
        <w:tc>
          <w:tcPr>
            <w:tcW w:w="3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$11,883.75</w:t>
            </w:r>
          </w:p>
        </w:tc>
      </w:tr>
      <w:tr>
        <w:trPr>
          <w:trHeight w:val="210"/>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$146,883.15</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$12,240.26</w:t>
            </w:r>
          </w:p>
        </w:tc>
      </w:tr>
      <w:tr>
        <w:trPr>
          <w:trHeight w:val="210"/>
        </w:trPr>
        <w:tc>
          <w:tcPr>
            <w:tcW w:w="39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$151,289.64</w:t>
            </w:r>
          </w:p>
        </w:tc>
        <w:tc>
          <w:tcPr>
            <w:tcW w:w="3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$12,607.47</w:t>
            </w:r>
          </w:p>
        </w:tc>
      </w:tr>
      <w:tr>
        <w:trPr>
          <w:trHeight w:val="210"/>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$155,828.33</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$12,985.69</w:t>
            </w:r>
          </w:p>
        </w:tc>
      </w:tr>
      <w:tr>
        <w:trPr>
          <w:trHeight w:val="210"/>
        </w:trPr>
        <w:tc>
          <w:tcPr>
            <w:tcW w:w="39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$160,503.18</w:t>
            </w:r>
          </w:p>
        </w:tc>
        <w:tc>
          <w:tcPr>
            <w:tcW w:w="3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$13,375.27</w:t>
            </w:r>
          </w:p>
        </w:tc>
      </w:tr>
      <w:tr>
        <w:trPr>
          <w:trHeight w:val="210"/>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$173,343.43</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$14,445.29</w:t>
            </w:r>
          </w:p>
        </w:tc>
      </w:tr>
      <w:tr>
        <w:trPr>
          <w:trHeight w:val="210"/>
        </w:trPr>
        <w:tc>
          <w:tcPr>
            <w:tcW w:w="39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3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$178,543.74</w:t>
            </w:r>
          </w:p>
        </w:tc>
        <w:tc>
          <w:tcPr>
            <w:tcW w:w="3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$14,878.65</w:t>
            </w:r>
          </w:p>
        </w:tc>
      </w:tr>
      <w:tr>
        <w:trPr>
          <w:trHeight w:val="210"/>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$183,900.05</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$15,325.00</w:t>
            </w:r>
          </w:p>
        </w:tc>
      </w:tr>
      <w:tr>
        <w:trPr>
          <w:trHeight w:val="210"/>
        </w:trPr>
        <w:tc>
          <w:tcPr>
            <w:tcW w:w="39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3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$189,417.05</w:t>
            </w:r>
          </w:p>
        </w:tc>
        <w:tc>
          <w:tcPr>
            <w:tcW w:w="3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$15,784.76</w:t>
            </w:r>
          </w:p>
        </w:tc>
      </w:tr>
      <w:tr>
        <w:trPr>
          <w:trHeight w:val="210"/>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$195,099.56</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$16,258.30</w:t>
            </w:r>
          </w:p>
        </w:tc>
      </w:tr>
    </w:tbl>
    <w:p>
      <w:pPr>
        <w:spacing w:after="0" w:line="19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The aforesaid Monthly Basic Rent installments shall be payable in advance on the first day of each calendar month during the Term, except that a proportionately lesser sum may be paid for the first month of the Term of this Lease if the Term commences on a date other than the first day of the month. As used in this Lease, “</w:t>
      </w:r>
      <w:r>
        <w:rPr>
          <w:rFonts w:ascii="Times New Roman" w:cs="Times New Roman" w:eastAsia="Times New Roman" w:hAnsi="Times New Roman"/>
          <w:sz w:val="18"/>
          <w:szCs w:val="18"/>
          <w:b w:val="1"/>
          <w:bCs w:val="1"/>
          <w:i w:val="1"/>
          <w:iCs w:val="1"/>
          <w:color w:val="auto"/>
        </w:rPr>
        <w:t>Basic Rent</w:t>
      </w:r>
      <w:r>
        <w:rPr>
          <w:rFonts w:ascii="Times New Roman" w:cs="Times New Roman" w:eastAsia="Times New Roman" w:hAnsi="Times New Roman"/>
          <w:sz w:val="18"/>
          <w:szCs w:val="18"/>
          <w:color w:val="auto"/>
        </w:rPr>
        <w:t>” shall mean either Term Basic Rent, Annual Basic Rent or Monthly Basic Rent, as appropriate. The “</w:t>
      </w:r>
      <w:r>
        <w:rPr>
          <w:rFonts w:ascii="Times New Roman" w:cs="Times New Roman" w:eastAsia="Times New Roman" w:hAnsi="Times New Roman"/>
          <w:sz w:val="18"/>
          <w:szCs w:val="18"/>
          <w:b w:val="1"/>
          <w:bCs w:val="1"/>
          <w:i w:val="1"/>
          <w:iCs w:val="1"/>
          <w:color w:val="auto"/>
        </w:rPr>
        <w:t>Rent Commencement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for Basic Rent shall mean the sixtieth (60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following the Commencement Date.</w:t>
      </w:r>
    </w:p>
    <w:p>
      <w:pPr>
        <w:spacing w:after="0" w:line="50"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color w:val="auto"/>
        </w:rPr>
        <w:t>The Tenant shall, and will, during the Term well and truly pay, or cause to be paid, to the Landlord, the installments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Monthly Basic Rent as herein provided and all other sums that may become due and payable by the Tenant hereunder, at the time and in the manner herein provided, without counterclaim, offset or deduction, unless expressly otherwise provided in this Lease. For purposes of this Lease, “</w:t>
      </w:r>
      <w:r>
        <w:rPr>
          <w:rFonts w:ascii="Times New Roman" w:cs="Times New Roman" w:eastAsia="Times New Roman" w:hAnsi="Times New Roman"/>
          <w:sz w:val="18"/>
          <w:szCs w:val="18"/>
          <w:b w:val="1"/>
          <w:bCs w:val="1"/>
          <w:i w:val="1"/>
          <w:iCs w:val="1"/>
          <w:color w:val="auto"/>
        </w:rPr>
        <w:t>Additional Rent</w:t>
      </w:r>
      <w:r>
        <w:rPr>
          <w:rFonts w:ascii="Times New Roman" w:cs="Times New Roman" w:eastAsia="Times New Roman" w:hAnsi="Times New Roman"/>
          <w:sz w:val="18"/>
          <w:szCs w:val="18"/>
          <w:color w:val="auto"/>
        </w:rPr>
        <w:t>” shall mean all sums in addition to Term Basic Rent due and payable by the Tenant hereunder and shall be billed separately from Term Basic Rent due and payable by the Tenant hereunder, although bills for Additional Rent and Basic Rent may be sent concurrently to Tenant. In the event of nonpayment of Additional Rent, Landlord shall have all the same rights and remedies with respect thereto as are herein provided for in the case of the nonpayment of Term Basic Rent, or of a breach of any covenant to be performed by the Tenant. As used herein the term “</w:t>
      </w:r>
      <w:r>
        <w:rPr>
          <w:rFonts w:ascii="Times New Roman" w:cs="Times New Roman" w:eastAsia="Times New Roman" w:hAnsi="Times New Roman"/>
          <w:sz w:val="18"/>
          <w:szCs w:val="18"/>
          <w:b w:val="1"/>
          <w:bCs w:val="1"/>
          <w:i w:val="1"/>
          <w:iCs w:val="1"/>
          <w:color w:val="auto"/>
        </w:rPr>
        <w:t>Rent</w:t>
      </w:r>
      <w:r>
        <w:rPr>
          <w:rFonts w:ascii="Times New Roman" w:cs="Times New Roman" w:eastAsia="Times New Roman" w:hAnsi="Times New Roman"/>
          <w:sz w:val="18"/>
          <w:szCs w:val="18"/>
          <w:color w:val="auto"/>
        </w:rPr>
        <w:t>” shall mean both the Term Basic Rent and Additional Rent.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72" w:name="page173"/>
    <w:bookmarkEnd w:id="172"/>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3.03. </w:t>
      </w:r>
      <w:r>
        <w:rPr>
          <w:rFonts w:ascii="Times New Roman" w:cs="Times New Roman" w:eastAsia="Times New Roman" w:hAnsi="Times New Roman"/>
          <w:sz w:val="18"/>
          <w:szCs w:val="18"/>
          <w:color w:val="auto"/>
        </w:rPr>
        <w:t>The Basic Rent payable by the Tenant pursuant to this Lease is intended to be net to the Landlord, and unless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provided in this Lease, all other charges and expenses imposed upon the Demised Premises or incurred in connection with its use, occupancy, care, maintenance, operation and control, including but not limited to the charges and expenses payable pursuant to Articles VII and VIII of this Lease, shall be paid by the Tenant, excepting liens resulting from acts or omissions of the Landlord and other payments to be paid or obligations undertaken by the Landlord as specifically provided in this Lease.</w:t>
      </w:r>
    </w:p>
    <w:p>
      <w:pPr>
        <w:spacing w:after="0" w:line="180"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3.04. </w:t>
      </w:r>
      <w:r>
        <w:rPr>
          <w:rFonts w:ascii="Times New Roman" w:cs="Times New Roman" w:eastAsia="Times New Roman" w:hAnsi="Times New Roman"/>
          <w:sz w:val="18"/>
          <w:szCs w:val="18"/>
          <w:color w:val="auto"/>
        </w:rPr>
        <w:t>The Basic Rent payable under this Lease shall be payable to Bonanno Real Estate Group I, L.P., at the office of the Landlord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address set forth in Section 16.01, or as may otherwise be directed by notice from the Landlord to the Tenant, given in accordance with the provisions of Article 16 hereof, and shall be payable in such coin or currency of the United States of America as at the time of payment shall be legal tender for the payment of public and private debts.</w:t>
      </w:r>
    </w:p>
    <w:p>
      <w:pPr>
        <w:spacing w:after="0" w:line="177"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3.05. </w:t>
      </w:r>
      <w:r>
        <w:rPr>
          <w:rFonts w:ascii="Times New Roman" w:cs="Times New Roman" w:eastAsia="Times New Roman" w:hAnsi="Times New Roman"/>
          <w:sz w:val="18"/>
          <w:szCs w:val="18"/>
          <w:color w:val="auto"/>
        </w:rPr>
        <w:t>Notwithstanding the foregoing, Landlord and Tenant agree that Tenant shall have the right, but not the obligation, at Tenant’s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option, to pay Rent by wire transfer to such accounts as Landlord shall designate upon Tenant’s request therefor. Landlord and Tenant shall complete and sign all forms and other documentation required to effectuate the foregoing. Tenant shall pay all service fees and other charges (including charges for insufficient funds) in connection with the foregoing. Notwithstanding the foregoing, Tenant acknowledges and agrees that it shall remain responsible to Landlord for all payments of Rent pursuant to this Lease even if there are insufficient funds in Tenant’s bank account in any given month and such Rent shall immediately be paid to Landlord upon written notice.</w:t>
      </w:r>
    </w:p>
    <w:p>
      <w:pPr>
        <w:spacing w:after="0" w:line="183"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3.06. </w:t>
      </w:r>
      <w:r>
        <w:rPr>
          <w:rFonts w:ascii="Times New Roman" w:cs="Times New Roman" w:eastAsia="Times New Roman" w:hAnsi="Times New Roman"/>
          <w:sz w:val="18"/>
          <w:szCs w:val="18"/>
          <w:color w:val="auto"/>
        </w:rPr>
        <w:t>Promptly after the Commencement Date and the Rent Commencement Date are determined, Landlord and Tenant, at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Landlord’s or Tenant’s request, will execute an agreement with respect to each of the above dates. Tenant’s or Landlord’s failure or refusal to sign the same shall in no event affect the determination of such dates or either party’s obligations hereunder.</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Demised Premises</w:t>
      </w:r>
    </w:p>
    <w:p>
      <w:pPr>
        <w:spacing w:after="0" w:line="225"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color w:val="auto"/>
        </w:rPr>
        <w:t>The Demised Premises includes a building of approximately fifteen thousand eight hundred forty-five (15,845) gross square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feet (which building is hereinafter called the “</w:t>
      </w:r>
      <w:r>
        <w:rPr>
          <w:rFonts w:ascii="Times New Roman" w:cs="Times New Roman" w:eastAsia="Times New Roman" w:hAnsi="Times New Roman"/>
          <w:sz w:val="18"/>
          <w:szCs w:val="18"/>
          <w:b w:val="1"/>
          <w:bCs w:val="1"/>
          <w:i w:val="1"/>
          <w:iCs w:val="1"/>
          <w:color w:val="auto"/>
        </w:rPr>
        <w:t>Building</w:t>
      </w:r>
      <w:r>
        <w:rPr>
          <w:rFonts w:ascii="Times New Roman" w:cs="Times New Roman" w:eastAsia="Times New Roman" w:hAnsi="Times New Roman"/>
          <w:sz w:val="18"/>
          <w:szCs w:val="18"/>
          <w:color w:val="auto"/>
        </w:rPr>
        <w:t>”) previously erected thereon and the land upon which it is situated as more particularly described on Exhibit A, which the Tenant acknowledges that it has inspected and is fully familiar with its condition and is leasing the same in an “AS IS” condition, except that the Building shall be delivered (i) in “broom clean” condition, free and clear of all other leases (other than this one) and occupants (other than Tenant),</w:t>
      </w:r>
    </w:p>
    <w:p>
      <w:pPr>
        <w:jc w:val="both"/>
        <w:ind w:firstLine="8"/>
        <w:spacing w:after="0" w:line="250" w:lineRule="auto"/>
        <w:tabs>
          <w:tab w:leader="none" w:pos="27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all existing mechanical, electrical, and plumbing systems in working order, (iii) all heating, ventilating and air-conditioning (“</w:t>
      </w:r>
      <w:r>
        <w:rPr>
          <w:rFonts w:ascii="Times New Roman" w:cs="Times New Roman" w:eastAsia="Times New Roman" w:hAnsi="Times New Roman"/>
          <w:sz w:val="18"/>
          <w:szCs w:val="18"/>
          <w:b w:val="1"/>
          <w:bCs w:val="1"/>
          <w:i w:val="1"/>
          <w:iCs w:val="1"/>
          <w:color w:val="auto"/>
        </w:rPr>
        <w:t>HVAC</w:t>
      </w:r>
      <w:r>
        <w:rPr>
          <w:rFonts w:ascii="Times New Roman" w:cs="Times New Roman" w:eastAsia="Times New Roman" w:hAnsi="Times New Roman"/>
          <w:sz w:val="18"/>
          <w:szCs w:val="18"/>
          <w:color w:val="auto"/>
        </w:rPr>
        <w:t>”) equipment which services the office portion of the Building (“</w:t>
      </w:r>
      <w:r>
        <w:rPr>
          <w:rFonts w:ascii="Times New Roman" w:cs="Times New Roman" w:eastAsia="Times New Roman" w:hAnsi="Times New Roman"/>
          <w:sz w:val="18"/>
          <w:szCs w:val="18"/>
          <w:b w:val="1"/>
          <w:bCs w:val="1"/>
          <w:i w:val="1"/>
          <w:iCs w:val="1"/>
          <w:color w:val="auto"/>
        </w:rPr>
        <w:t>Office HVAC</w:t>
      </w:r>
      <w:r>
        <w:rPr>
          <w:rFonts w:ascii="Times New Roman" w:cs="Times New Roman" w:eastAsia="Times New Roman" w:hAnsi="Times New Roman"/>
          <w:sz w:val="18"/>
          <w:szCs w:val="18"/>
          <w:color w:val="auto"/>
        </w:rPr>
        <w:t>”) in good operating condition, subject to the following provisions of this Section 4.01 and</w:t>
      </w:r>
    </w:p>
    <w:p>
      <w:pPr>
        <w:jc w:val="both"/>
        <w:ind w:firstLine="8"/>
        <w:spacing w:after="0" w:line="250" w:lineRule="auto"/>
        <w:tabs>
          <w:tab w:leader="none" w:pos="31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representations set forth in Section 4.04 hereof shall be true and accurate on the date of delivery of possession of the Demised Premises to Tenant (all of the foregoing hereby collectively referred to as the “</w:t>
      </w:r>
      <w:r>
        <w:rPr>
          <w:rFonts w:ascii="Times New Roman" w:cs="Times New Roman" w:eastAsia="Times New Roman" w:hAnsi="Times New Roman"/>
          <w:sz w:val="18"/>
          <w:szCs w:val="18"/>
          <w:i w:val="1"/>
          <w:iCs w:val="1"/>
          <w:color w:val="auto"/>
        </w:rPr>
        <w:t>Delivery Conditions</w:t>
      </w:r>
      <w:r>
        <w:rPr>
          <w:rFonts w:ascii="Times New Roman" w:cs="Times New Roman" w:eastAsia="Times New Roman" w:hAnsi="Times New Roman"/>
          <w:sz w:val="18"/>
          <w:szCs w:val="18"/>
          <w:color w:val="auto"/>
        </w:rPr>
        <w:t>”). Landlord shall notify Tenant not less than ten (10) business days in advance of the date on which Landlord will deliver possession of the Demised Premises to Tenant in the condition required and the parties shall arrange a mutually convenient time for a joint inspection of the Demised Premises to confirm that the Delivery Conditions have been satisfied. In the event that the inspection discloses that any of the existing mechanical, electrical, and plumbing systems are not in working order, Landlord shall have until April 1, 2018 (subject to Force Majeure and Tenant Delays) to perform the work necessary, at Landlord’s sole cost and expense, to place such systems in working order and Tenant agrees that the Commencement Date will occur prior to the performance and/or completion of the work required to place such systems in working order. If such repairs are required and if Landlord fails to make or complete the repairs by April 1, 2018 (subject to Force Majeure and Tenant Delays), then Tenant shall send Landlord a reminder stating in BOLD AND CONSPICUOUS letters that Landlord’s failure to commence making the repairs within five (5) business days from such reminder notice will constitute Landlord’s agreement that Tenant shall undertake the requisite repairs at Landlord’s sole cost and expense, but without profit or mark-up to Tenant. Landlord shall reimburse Tenant for Tenant’s actual out-of-pocket costs within thirty (30) days after receipt of a bill therefor accompanied by reasonable substantiation of the charges therein. If Landlord shall fail to pay Tenant after receipt of a reminder notice stating in BOLD AND CONSPICUOUS letters that Landlord’s failure to do so will entitle Tenant to deduct same from Rent, Tenant may deduct the amount so owed from the next due installments of Basic Rent however, in no event shall Tenant deduct more than twenty (20%) percent from each monthly installment until such time as Tenant has been fully reimbursed. As soon as practicable following the Execution Date, weather permitting, Landlord shall, at its sole cost and expense, replace the roof membrane, and to the extent necessary, insulation and portions of the roof deck, so as to make the roof watertight (hereinafter collectively referred to as the “</w:t>
      </w:r>
      <w:r>
        <w:rPr>
          <w:rFonts w:ascii="Times New Roman" w:cs="Times New Roman" w:eastAsia="Times New Roman" w:hAnsi="Times New Roman"/>
          <w:sz w:val="18"/>
          <w:szCs w:val="18"/>
          <w:b w:val="1"/>
          <w:bCs w:val="1"/>
          <w:i w:val="1"/>
          <w:iCs w:val="1"/>
          <w:color w:val="auto"/>
        </w:rPr>
        <w:t>LL Roof Repair Work</w:t>
      </w:r>
      <w:r>
        <w:rPr>
          <w:rFonts w:ascii="Times New Roman" w:cs="Times New Roman" w:eastAsia="Times New Roman" w:hAnsi="Times New Roman"/>
          <w:sz w:val="18"/>
          <w:szCs w:val="18"/>
          <w:color w:val="auto"/>
        </w:rPr>
        <w:t>”. Neither the LL Roof Repair Work nor the Office HVAC repairs shall be a Delivery Condition and Tenant agrees that the Commencement Date will occur prior to the performance and/or completion of the Office HVAC repairs, if required, and the LL Roof Repair Work. Tenant agrees to cooperate with Landlord and Landlord’s contractors so as not to delay (by more than a de minimis amount) the progress of the Office HVAC repairs and LL Roof Repair Work, and Landlord shall use all commercially reasonable efforts to complete the Office HVAC repairs and LL Roof Repair Work as expeditiously as possible, and, with respect to LL Roof Repair Work, no later than June 1, 2018 (subject to Force Majeure and Tenant Delays), and with minimal interference with Tenant’s access to, and use and occupancy of the Demised Premises. Tenant’s cooperation shall include, but not be limited to, providing access to the Demised Premises as needed; provided however, Tenant shall not be required to relocate Tenant’s employees nor Tenant’s equipment in connection with the LL Roof Repair Work. Landlord’s and Tenant’s responsibilities regarding compliance with Legal Requirements (as hereinafter defined) is set forth in Section 12.02.</w:t>
      </w:r>
    </w:p>
    <w:p>
      <w:pPr>
        <w:spacing w:after="0" w:line="206" w:lineRule="exact"/>
        <w:rPr>
          <w:sz w:val="20"/>
          <w:szCs w:val="20"/>
          <w:color w:val="auto"/>
        </w:rPr>
      </w:pPr>
    </w:p>
    <w:p>
      <w:pPr>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color w:val="auto"/>
        </w:rPr>
        <w:t>Subject to applicable governmental laws, rules, statutes, ordinances, and regulations Tenant shall have access to the Demised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twenty-four (24) hours a day, seven (7) days a week. Tenant shall have sole and exclusive use of all parking spaces at the Demised Premises.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74" w:name="page175"/>
    <w:bookmarkEnd w:id="174"/>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4.03. </w:t>
      </w:r>
      <w:r>
        <w:rPr>
          <w:rFonts w:ascii="Times New Roman" w:cs="Times New Roman" w:eastAsia="Times New Roman" w:hAnsi="Times New Roman"/>
          <w:sz w:val="18"/>
          <w:szCs w:val="18"/>
          <w:color w:val="auto"/>
        </w:rPr>
        <w:t>The Demised Premises hereinabove described constitutes a self-contained unit and nothing in this Lease shall impose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Landlord any obligation to provide any services for the benefit of the Tenant, including but not limited to water, gas, electricity, heat, janitorial or garbage removal, or internet service unless and to the extent expressly provided for in this Lease.</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Section 4.04. </w:t>
      </w:r>
      <w:r>
        <w:rPr>
          <w:rFonts w:ascii="Times New Roman" w:cs="Times New Roman" w:eastAsia="Times New Roman" w:hAnsi="Times New Roman"/>
          <w:sz w:val="18"/>
          <w:szCs w:val="18"/>
          <w:color w:val="auto"/>
        </w:rPr>
        <w:t>i) Landlord, to its knowledge, hereby represents and warrants to Tenant as of the Execution Date as follows:</w:t>
      </w:r>
    </w:p>
    <w:p>
      <w:pPr>
        <w:spacing w:after="0" w:line="229" w:lineRule="exact"/>
        <w:rPr>
          <w:sz w:val="20"/>
          <w:szCs w:val="20"/>
          <w:color w:val="auto"/>
        </w:rPr>
      </w:pPr>
    </w:p>
    <w:p>
      <w:pPr>
        <w:ind w:firstLine="1953"/>
        <w:spacing w:after="0" w:line="282" w:lineRule="auto"/>
        <w:tabs>
          <w:tab w:leader="none" w:pos="25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has received no notice within the past twenty-four (24) months of any violation of any governmental law, rule, statute, ordinance, or regulation affecting the Demised Premises.</w:t>
      </w:r>
    </w:p>
    <w:p>
      <w:pPr>
        <w:spacing w:after="0" w:line="161" w:lineRule="exact"/>
        <w:rPr>
          <w:rFonts w:ascii="Times New Roman" w:cs="Times New Roman" w:eastAsia="Times New Roman" w:hAnsi="Times New Roman"/>
          <w:sz w:val="18"/>
          <w:szCs w:val="18"/>
          <w:color w:val="auto"/>
        </w:rPr>
      </w:pPr>
    </w:p>
    <w:p>
      <w:pPr>
        <w:jc w:val="both"/>
        <w:ind w:firstLine="1953"/>
        <w:spacing w:after="0" w:line="266" w:lineRule="auto"/>
        <w:tabs>
          <w:tab w:leader="none" w:pos="249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the LL Roof Repair Work, including without limitation, the replacement of the roof membrane and those portions of the roof deck requiring patching or replacement, if any, currently there are no structural repairs required to be made to the Demised Premises;</w:t>
      </w:r>
    </w:p>
    <w:p>
      <w:pPr>
        <w:spacing w:after="0" w:line="176" w:lineRule="exact"/>
        <w:rPr>
          <w:rFonts w:ascii="Times New Roman" w:cs="Times New Roman" w:eastAsia="Times New Roman" w:hAnsi="Times New Roman"/>
          <w:sz w:val="18"/>
          <w:szCs w:val="18"/>
          <w:color w:val="auto"/>
        </w:rPr>
      </w:pPr>
    </w:p>
    <w:p>
      <w:pPr>
        <w:ind w:left="2440" w:hanging="487"/>
        <w:spacing w:after="0"/>
        <w:tabs>
          <w:tab w:leader="none" w:pos="24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Building is in compliance with all governmental laws, rules, statutes, ordinances, and regulations;</w:t>
      </w:r>
    </w:p>
    <w:p>
      <w:pPr>
        <w:spacing w:after="0" w:line="225" w:lineRule="exact"/>
        <w:rPr>
          <w:rFonts w:ascii="Times New Roman" w:cs="Times New Roman" w:eastAsia="Times New Roman" w:hAnsi="Times New Roman"/>
          <w:sz w:val="18"/>
          <w:szCs w:val="18"/>
          <w:color w:val="auto"/>
        </w:rPr>
      </w:pPr>
    </w:p>
    <w:p>
      <w:pPr>
        <w:ind w:firstLine="1953"/>
        <w:spacing w:after="0" w:line="282" w:lineRule="auto"/>
        <w:tabs>
          <w:tab w:leader="none" w:pos="245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meters for receiving and measuring electricity, gas and water and all conduits necessary for Internet service are already installed in the Demised Premises and are all in working condition; and</w:t>
      </w:r>
    </w:p>
    <w:p>
      <w:pPr>
        <w:spacing w:after="0" w:line="161" w:lineRule="exact"/>
        <w:rPr>
          <w:rFonts w:ascii="Times New Roman" w:cs="Times New Roman" w:eastAsia="Times New Roman" w:hAnsi="Times New Roman"/>
          <w:sz w:val="18"/>
          <w:szCs w:val="18"/>
          <w:color w:val="auto"/>
        </w:rPr>
      </w:pPr>
    </w:p>
    <w:p>
      <w:pPr>
        <w:ind w:firstLine="1953"/>
        <w:spacing w:after="0" w:line="282" w:lineRule="auto"/>
        <w:tabs>
          <w:tab w:leader="none" w:pos="244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noted herein with respect to the required repairs to the Office HVAC and the mechanical, electrical and plumbing systems, and any life safety systems within the Demised Premises are in operating condition.</w:t>
      </w:r>
    </w:p>
    <w:p>
      <w:pPr>
        <w:spacing w:after="0" w:line="158"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4.05. </w:t>
      </w:r>
      <w:r>
        <w:rPr>
          <w:rFonts w:ascii="Times New Roman" w:cs="Times New Roman" w:eastAsia="Times New Roman" w:hAnsi="Times New Roman"/>
          <w:sz w:val="18"/>
          <w:szCs w:val="18"/>
          <w:color w:val="auto"/>
        </w:rPr>
        <w:t>Tenant shall, at its sole cost and expense, perform all initial improvements to the Demised Premises described on Exhibit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w:t>
      </w:r>
      <w:r>
        <w:rPr>
          <w:rFonts w:ascii="Times New Roman" w:cs="Times New Roman" w:eastAsia="Times New Roman" w:hAnsi="Times New Roman"/>
          <w:sz w:val="18"/>
          <w:szCs w:val="18"/>
          <w:b w:val="1"/>
          <w:bCs w:val="1"/>
          <w:i w:val="1"/>
          <w:iCs w:val="1"/>
          <w:color w:val="auto"/>
        </w:rPr>
        <w:t>Tenant’s Work</w:t>
      </w:r>
      <w:r>
        <w:rPr>
          <w:rFonts w:ascii="Times New Roman" w:cs="Times New Roman" w:eastAsia="Times New Roman" w:hAnsi="Times New Roman"/>
          <w:sz w:val="18"/>
          <w:szCs w:val="18"/>
          <w:color w:val="auto"/>
        </w:rPr>
        <w:t>”), which improvements Landlord hereby approves.</w:t>
      </w:r>
    </w:p>
    <w:p>
      <w:pPr>
        <w:spacing w:after="0" w:line="155"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4.06. </w:t>
      </w:r>
      <w:r>
        <w:rPr>
          <w:rFonts w:ascii="Times New Roman" w:cs="Times New Roman" w:eastAsia="Times New Roman" w:hAnsi="Times New Roman"/>
          <w:sz w:val="18"/>
          <w:szCs w:val="18"/>
          <w:color w:val="auto"/>
        </w:rPr>
        <w:t>Prior to commencing any improvement work, Tenant, at its sole cost and expense, shall obtain all necessary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approvals required for the performance of the Tenant’s Work, and, upon request, shall provide Landlord with copies thereof. Landlord shall cooperate and promptly execute and return all applications requiring Landlord signature thereon provided the information contained therein relating to Landlord is accurate. All Tenant’s Work performed by Tenant shall be performed in compliance with all applicable codes, rules and regulations and with the quality of workmanship and materials consistent with the character and integrity of the Building. Tenant agrees to carry and will cause Tenant’s contractors and subcontractors to carry such workmen’s compensation, general liability, personal and property damage insurance as Landlord may reasonably require. If any mechanic’s lien is filed against the Premises or the Building of which the same form a part, for work claimed to have been done for, or materials furnished to, Tenant, the same shall be discharged by Tenant within thirty (30) days thereafter, at Tenant’s expense, by payment thereof or filing a bond and, in addition, Tenant shall take all necessary steps required by law to permanently discharge said lien. Except as set forth in Section 4.07 below with respect to any reconfiguration or expansion of the office area by Tenant, Tenant shall not be required to remove any of Tenant’s Work listed on Exhibit C and/or shown on the plans approved therefor, which plans, once approved by Landlord, shall be attached hereto as Exhibit C-1 and made a part hereof (the “</w:t>
      </w:r>
      <w:r>
        <w:rPr>
          <w:rFonts w:ascii="Times New Roman" w:cs="Times New Roman" w:eastAsia="Times New Roman" w:hAnsi="Times New Roman"/>
          <w:sz w:val="18"/>
          <w:szCs w:val="18"/>
          <w:b w:val="1"/>
          <w:bCs w:val="1"/>
          <w:i w:val="1"/>
          <w:iCs w:val="1"/>
          <w:color w:val="auto"/>
        </w:rPr>
        <w:t>Approved Tenant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 If and to the extent Tenant elects to remove any installations made to the Demised Premises, it shall repair all damage caused in connection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installation or removal thereof.</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75" w:name="page176"/>
    <w:bookmarkEnd w:id="175"/>
    <w:p>
      <w:pPr>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4.07. </w:t>
      </w:r>
      <w:r>
        <w:rPr>
          <w:rFonts w:ascii="Times New Roman" w:cs="Times New Roman" w:eastAsia="Times New Roman" w:hAnsi="Times New Roman"/>
          <w:sz w:val="18"/>
          <w:szCs w:val="18"/>
          <w:color w:val="auto"/>
        </w:rPr>
        <w:t>In the event that Tenant elects to improve or expand the office portion of the Demised Premises or perform any other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leasehold improvements as part of Tenant’s Work, the following shall apply:</w:t>
      </w:r>
    </w:p>
    <w:p>
      <w:pPr>
        <w:spacing w:after="0" w:line="159" w:lineRule="exact"/>
        <w:rPr>
          <w:sz w:val="20"/>
          <w:szCs w:val="20"/>
          <w:color w:val="auto"/>
        </w:rPr>
      </w:pPr>
    </w:p>
    <w:p>
      <w:pPr>
        <w:jc w:val="both"/>
        <w:ind w:firstLine="1305"/>
        <w:spacing w:after="0" w:line="252" w:lineRule="auto"/>
        <w:tabs>
          <w:tab w:leader="none" w:pos="1828"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at its own cost and expense prepare and submit to Landlord, two (2) sets of proposed plans and specifications covering the Tenant’s Work. Tenant’s Work shall comply with the requirements set forth in this Lease, including, without limitation, Article 12. Within ten (10) business days after receipt of initial plans and specifications, or within five (5) business days after receipt of any re-submitted plans and specifications, Landlord shall either: (i) approve said plans and specifications in writing or by signing or initialing one set thereof and returning such set to Tenant (and such approved preliminary plans and specifications shall then constitute the final plans and specifications), or (ii) disapprove said plans and specifications in writing to Tenant (and with detail as to the specific reasons for disapproval). If Landlord disapproves, Landlord shall advise Tenant of those revisions which Landlord requires within the time frameworks set forth above, and Tenant shall, at Tenant’s sole cost and expense, within thirty (30) days thereafter, submit two (2) sets of revised plans and specifications to Landlord for its approval in accordance with the preceding provisions of this Section. If Landlord fails to respond to Tenant in accordance with this provision within five (5) business days after receipt, with respect to initial plans or three (3) business days after receipt of revised plans, Tenant may send a second reminder stating in BOLD AND CONSPICUOUS letters that Landlord’s failure to respond within three</w:t>
      </w:r>
    </w:p>
    <w:p>
      <w:pPr>
        <w:spacing w:after="0" w:line="5" w:lineRule="exact"/>
        <w:rPr>
          <w:rFonts w:ascii="Times New Roman" w:cs="Times New Roman" w:eastAsia="Times New Roman" w:hAnsi="Times New Roman"/>
          <w:sz w:val="18"/>
          <w:szCs w:val="18"/>
          <w:color w:val="auto"/>
        </w:rPr>
      </w:pPr>
    </w:p>
    <w:p>
      <w:pPr>
        <w:jc w:val="both"/>
        <w:ind w:firstLine="8"/>
        <w:spacing w:after="0" w:line="265" w:lineRule="auto"/>
        <w:tabs>
          <w:tab w:leader="none" w:pos="268"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from such reminder notice will constitute Landlord’s approval of the plans and specification and if Landlord fails to respond within such three (3) business day period, Landlord shall be deemed to approve the plans and specifications. If Tenant elects to make additional improvements to the Demised Premises during the Term (other than those set forth on Exhibits C and, to the extent those items on Exhibit C are detailed on Exhibit C-1), Landlord agrees that if so requested by the Tenant at the time consent is granted to the improvements, Landlord will advise Tenant what portion of the work so consented to will be required to be removed by Tenant at the expiration or sooner termination of the Lease. If Landlord fails to do so within ten (10) business days of Tenant’s request, Tenant may send Landlord a reminder stating in BOLD AND CONSPICUOUS letters that Landlord’s failure to respond within three</w:t>
      </w:r>
    </w:p>
    <w:p>
      <w:pPr>
        <w:spacing w:after="0" w:line="1" w:lineRule="exact"/>
        <w:rPr>
          <w:rFonts w:ascii="Times New Roman" w:cs="Times New Roman" w:eastAsia="Times New Roman" w:hAnsi="Times New Roman"/>
          <w:sz w:val="17"/>
          <w:szCs w:val="17"/>
          <w:color w:val="auto"/>
        </w:rPr>
      </w:pPr>
    </w:p>
    <w:p>
      <w:pPr>
        <w:jc w:val="both"/>
        <w:ind w:firstLine="8"/>
        <w:spacing w:after="0" w:line="253" w:lineRule="auto"/>
        <w:tabs>
          <w:tab w:leader="none" w:pos="27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from such reminder notice will constitute Landlord’s agreement that the specified improvements need not be removed by Tenant at the expiration or earlier termination of the Term and if Landlord fails to respond within such three (3) business day period, Tenant shall not be required to remove such improvements. Tenant acknowledges and agrees that with respect to any reconfiguration or expansion of the office area by Tenant, Landlord will indicate on Exhibit C-1 or by a supplemental writing at the time it approves Exhibit C-1, what portion of the work so consented to will be required to be removed by Tenant at the expiration or sooner termination of the Lease.</w:t>
      </w:r>
    </w:p>
    <w:p>
      <w:pPr>
        <w:spacing w:after="0" w:line="187" w:lineRule="exact"/>
        <w:rPr>
          <w:rFonts w:ascii="Times New Roman" w:cs="Times New Roman" w:eastAsia="Times New Roman" w:hAnsi="Times New Roman"/>
          <w:sz w:val="18"/>
          <w:szCs w:val="18"/>
          <w:color w:val="auto"/>
        </w:rPr>
      </w:pPr>
    </w:p>
    <w:p>
      <w:pPr>
        <w:jc w:val="both"/>
        <w:ind w:firstLine="1305"/>
        <w:spacing w:after="0" w:line="261" w:lineRule="auto"/>
        <w:tabs>
          <w:tab w:leader="none" w:pos="1829"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obtain all permits and approvals for the performance of Tenant’s Work, including a building permit. Tenant shall file for a building permit necessary for the performance of Tenant’s Work after Landlord’s written approval of the plans and specifications for Tenant’s Work which will then be appended to this Lease as Exhibit C-1. Tenant shall give Landlord copies of each application submission at least three (3) business days before filing same.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76" w:name="page177"/>
    <w:bookmarkEnd w:id="176"/>
    <w:p>
      <w:pPr>
        <w:jc w:val="both"/>
        <w:ind w:firstLine="1305"/>
        <w:spacing w:after="0" w:line="254" w:lineRule="auto"/>
        <w:tabs>
          <w:tab w:leader="none" w:pos="203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advise Landlord of any communications with the municipal planning board or building department incident to applications for permits and approvals. Tenant shall deliver to Landlord copies of all permits and approvals, including but not limited to its building permit, prior to Tenant’s Work. Tenant’s Work shall be performed in a good and workmanlike manner using quality materials, in compliance with all Legal Requirements, and at Tenant’s sole and exclusive risk and cost. Notwithstanding the foregoing or anything in this Lease to the contrary, if there are violations against the Demised Premises which prohibit Tenant from obtaining a building permit to perform Tenant’s Work which violations are due to conditions antedating or existing on the Commencement Date, but not due to the acts or omissions of Tenant or any of its contractors, employees or agents, then Landlord, at Landlord’s sole cost and expense, shall promptly take all actions necessary to have such violations removed, and except for the foregoing (which shall delay the Rent Commencement Date on a day for day basis for each day for which Tenant is unable to obtain the requisite permits to perform Tenant’s Work), Tenant acknowledges that any delay in completing the Tenant’s Work will not delay the Rent Commencement Date.</w:t>
      </w:r>
    </w:p>
    <w:p>
      <w:pPr>
        <w:spacing w:after="0" w:line="189" w:lineRule="exact"/>
        <w:rPr>
          <w:rFonts w:ascii="Times New Roman" w:cs="Times New Roman" w:eastAsia="Times New Roman" w:hAnsi="Times New Roman"/>
          <w:sz w:val="18"/>
          <w:szCs w:val="18"/>
          <w:color w:val="auto"/>
        </w:rPr>
      </w:pPr>
    </w:p>
    <w:p>
      <w:pPr>
        <w:jc w:val="both"/>
        <w:ind w:firstLine="1305"/>
        <w:spacing w:after="0" w:line="266" w:lineRule="auto"/>
        <w:tabs>
          <w:tab w:leader="none" w:pos="189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completion of Tenant’s Work, Tenant shall close out all permits and furnish Landlord with documentation from the applicable governmental authorities confirming the work has been properly performed. Tenant shall also promptly deliver to Landlord, final lien waivers from the general contractor and all subcontractors and material suppliers, and to the extent applicable, “AS BUILT” plans together with CAD plans.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w:t>
      </w:r>
    </w:p>
    <w:p>
      <w:pPr>
        <w:spacing w:after="0" w:line="225"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5.01. </w:t>
      </w:r>
      <w:r>
        <w:rPr>
          <w:rFonts w:ascii="Times New Roman" w:cs="Times New Roman" w:eastAsia="Times New Roman" w:hAnsi="Times New Roman"/>
          <w:sz w:val="18"/>
          <w:szCs w:val="18"/>
          <w:color w:val="auto"/>
        </w:rPr>
        <w:t>The Demised Premises may be used for office space and for the operation of a demonstration facility (showroom) and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uses ancillary thereto, including the storage of chemical solutions for the sole purpose of operating the equipment being demonstrated (the approximate amounts of the chemicals to be so stored are set forth on Exhibit D attached hereto and made a part hereof), employee pantries, computer rooms, and mail rooms, and for no other use or purpose (the “</w:t>
      </w:r>
      <w:r>
        <w:rPr>
          <w:rFonts w:ascii="Times New Roman" w:cs="Times New Roman" w:eastAsia="Times New Roman" w:hAnsi="Times New Roman"/>
          <w:sz w:val="18"/>
          <w:szCs w:val="18"/>
          <w:b w:val="1"/>
          <w:bCs w:val="1"/>
          <w:i w:val="1"/>
          <w:iCs w:val="1"/>
          <w:color w:val="auto"/>
        </w:rPr>
        <w:t>Permitted Use</w:t>
      </w:r>
      <w:r>
        <w:rPr>
          <w:rFonts w:ascii="Times New Roman" w:cs="Times New Roman" w:eastAsia="Times New Roman" w:hAnsi="Times New Roman"/>
          <w:sz w:val="18"/>
          <w:szCs w:val="18"/>
          <w:color w:val="auto"/>
        </w:rPr>
        <w:t>”). In no event will Tenant conduct manufacturing at the Demised Premises and periodic sales demonstrations of Tenant’s printing and copying equipment shall be permitted and not be deemed to be manufacturing for the purposes of this Lease. Notwithstanding anything to the contrary, the Landlord makes no representation that the Demised Premises may be used for those purposes set forth in this Section 5.01. Subject to the provisions of Section 4.04 and Section 4.07(c) hereof, Tenant, at its sole cost and expense, shall be responsible for obtaining any and all certificates and/or permits sanctioning Tenant’s use from any governmental agencies having jurisdiction over the Demised Premises, including by way of example, but not limitation, a Continuing Certificate of Occupancy for the Demised Premises, and Landlord shall promptly cooperate with Tenant’s efforts to obtain same provided Landlord shall not incur any cost or expense in connection therewith or, if there exists any cost therefore, Tenant agrees in writing to pay for same as Additional Rent within thirty (30) days from being billed. The Tenant shall not use or permit to be used the Demised Premises or any part thereof for any purpose other than the uses described in the first sentence of this Section. In no event shall Tenant store any products, materials, machinery, equipment or inventory or perform any activities outside of the Building, except with respect to alterations or repairs, permitted under this Lease pertaining to the exterior of the Building, or landscaping, or the parking lot.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Quiet Enjoyment</w:t>
      </w:r>
    </w:p>
    <w:p>
      <w:pPr>
        <w:spacing w:after="0" w:line="225"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6.01. </w:t>
      </w:r>
      <w:r>
        <w:rPr>
          <w:rFonts w:ascii="Times New Roman" w:cs="Times New Roman" w:eastAsia="Times New Roman" w:hAnsi="Times New Roman"/>
          <w:sz w:val="18"/>
          <w:szCs w:val="18"/>
          <w:color w:val="auto"/>
        </w:rPr>
        <w:t>The Landlord covenants that if, and as long as, the Tenant pays the Term Basic Rent, and any Additional Rent as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and performs the covenants hereof, the Landlord shall do nothing to affect the Tenant’s right to peaceably and quietly have, hold and enjoy the Demised Premises for the Term herein mentioned, subject to the provisions of this Lease.</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Additional Rent, Taxes, Assessments,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Water Rates, Charges, Etc.</w:t>
      </w:r>
    </w:p>
    <w:p>
      <w:pPr>
        <w:spacing w:after="0" w:line="203"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7.01. </w:t>
      </w:r>
      <w:r>
        <w:rPr>
          <w:rFonts w:ascii="Times New Roman" w:cs="Times New Roman" w:eastAsia="Times New Roman" w:hAnsi="Times New Roman"/>
          <w:sz w:val="18"/>
          <w:szCs w:val="18"/>
          <w:color w:val="auto"/>
        </w:rPr>
        <w:t>Commencing on the Rent Commencement Date, the Tenant shall pay, before any interest or penalties accrue thereon, all Real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Estate Taxes, as hereinafter defined in Section 29.13, and all operating costs relating to the Demised Premises including by way of example but not limitation, all domestic water charges, gas and electricity charges, fire sprinkler standby charges, sewer rates and charges, parking lot repairs, parking lot maintenance and lighting, landscaping and snow removal, and all other charges relating to the maintenance and repair of the parking lot, and such other costs and expenses not expressly stated in this Lease to be the obligation of the Landlord (all of the foregoing collectively referred to as “</w:t>
      </w:r>
      <w:r>
        <w:rPr>
          <w:rFonts w:ascii="Times New Roman" w:cs="Times New Roman" w:eastAsia="Times New Roman" w:hAnsi="Times New Roman"/>
          <w:sz w:val="18"/>
          <w:szCs w:val="18"/>
          <w:b w:val="1"/>
          <w:bCs w:val="1"/>
          <w:i w:val="1"/>
          <w:iCs w:val="1"/>
          <w:color w:val="auto"/>
        </w:rPr>
        <w:t>Operating Costs</w:t>
      </w:r>
      <w:r>
        <w:rPr>
          <w:rFonts w:ascii="Times New Roman" w:cs="Times New Roman" w:eastAsia="Times New Roman" w:hAnsi="Times New Roman"/>
          <w:sz w:val="18"/>
          <w:szCs w:val="18"/>
          <w:color w:val="auto"/>
        </w:rPr>
        <w:t>”). Tenant shall pay such Operating Costs directly to the utility or other service provider, or other entity or authority assessing such charges. Tenant acknowledges that all wiring, conduits, cables, pipes and other equipment and meters necessary for the provision of utilities and internet service to, and measurement of consumption of utilities by Tenant are already installed at the Demised Premises. Tenant shall pay all such charges directly to the assessing authority or provider, as the case may be, and upon reasonable prior written request therefor, Tenant shall furnish Landlord with copies of receipted bills or other proof of payment. There shall be apportioned any tax or charge relating to the fiscal years in which the Term of this Lease commences and terminates. In the event Landlord directs Tenant to pay any charges directly to an assessing authority or providing entity and Tenant fails to pay any of the foregoing items in a timely manner, then provided that (x) Landlord has sent Tenant a reminder notice stating in BOLD AND CONSPICOUS LETTERS, that failure of Tenant to pay the specified charges within five (5) business days after receipt of such notice shall entitle Landlord to pay same, and (y) Tenant’s failure to pay said charges within said five (5) business day period, Landlord shall have the right but not the obligation to pay such amounts and charge Tenant, as Additional Rent, all sums expended by Landlord. Real Estate Taxes are currently estimated to be $1.98 per square foot.</w:t>
      </w:r>
    </w:p>
    <w:p>
      <w:pPr>
        <w:spacing w:after="0" w:line="184"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7.02. </w:t>
      </w:r>
      <w:r>
        <w:rPr>
          <w:rFonts w:ascii="Times New Roman" w:cs="Times New Roman" w:eastAsia="Times New Roman" w:hAnsi="Times New Roman"/>
          <w:sz w:val="18"/>
          <w:szCs w:val="18"/>
          <w:color w:val="auto"/>
        </w:rPr>
        <w:t>The Tenant shall not be required to pay any estate, inheritance, devolution, succession, transfer, legacy or gift tax charged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the Landlord or the estate or interest of the Landlord in the Demised Premises or upon the right of any person to succeed to the same or any part thereof by inheritance, succession, transfer or gift, nor any capital stock tax or corporate franchise tax incurred by the Landlord, nor any income tax upon or against the income of the Landlord (including any rental income derived by the Landlord from the Demised Premises but this exclusion shall not be applicable to a sales tax or rental tax which shall be considered a Real Estate Tax).</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78" w:name="page179"/>
    <w:bookmarkEnd w:id="178"/>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7.03. </w:t>
      </w:r>
      <w:r>
        <w:rPr>
          <w:rFonts w:ascii="Times New Roman" w:cs="Times New Roman" w:eastAsia="Times New Roman" w:hAnsi="Times New Roman"/>
          <w:sz w:val="18"/>
          <w:szCs w:val="18"/>
          <w:color w:val="auto"/>
        </w:rPr>
        <w:t>The Tenant shall pay all assessments that may be imposed upon the Real Property by reason of any specific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 (including but not limited to assessments for street openings, grading, paving and sewer installations and improvements) except that if by law such special assessment is payable, or may, at the option of the taxpayer, be paid, in installments, the Tenant may, whether or not interest accrues on the unpaid balance thereof, elect to pay the same and any accrued interest on any unpaid balance thereof in the maximum number of installments and as each installment becomes due and payable, but in any event before any penalty or cost may be added thereto for nonpayment of any installment or interest. If such election to pay in installments can only be made by the fee owner, then Landlord shall elect to pay such assessment in the maximum number of installments. Tenant shall only be liable for installments falling due during the Term. Any such benefit, assessment or installment thereof relating to a fiscal period in which the Term of this Lease begins or ends shall be apportioned between the Landlord and the Tenant.</w:t>
      </w:r>
    </w:p>
    <w:p>
      <w:pPr>
        <w:spacing w:after="0" w:line="185"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7.04. </w:t>
      </w:r>
      <w:r>
        <w:rPr>
          <w:rFonts w:ascii="Times New Roman" w:cs="Times New Roman" w:eastAsia="Times New Roman" w:hAnsi="Times New Roman"/>
          <w:sz w:val="18"/>
          <w:szCs w:val="18"/>
          <w:color w:val="auto"/>
        </w:rPr>
        <w:t>The Tenant, in its name or the Landlord’s name, shall have the right to contest, or review, by appropriate proceedings,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as it may deem suitable, at its own expense, and without expense to the Landlord, any tax, assessment, water and sewer rates or charges, or other charges payable by the Tenant pursuant to this Lease, and upon the request of the Tenant, and upon receipt by Landlord of the taxes payable by Tenant under this Article, the Landlord will pay, under protest, any tax, assessment, water or sewer rent or charge, or any other charge payable by the Tenant pursuant to this Lease, which shall be contested or reviewed by the Tenant. Any refund resulting from such contest or review shall be assigned to and belong to the Tenant and shall be paid to the Tenant promptly upon its receipt by the Landlord notwithstanding that the Lease and Term may have expired. If the refund relates to a tax year that is apportioned between the Landlord and the Tenant, the refund shall be apportioned between the Landlord and the Tenant. The provisions of this Section shall survive the expiration of this Lease to the extent any refund payment is due Tenant for the period prior to the expiration of the Term.</w:t>
      </w:r>
    </w:p>
    <w:p>
      <w:pPr>
        <w:spacing w:after="0" w:line="182"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7.05. </w:t>
      </w:r>
      <w:r>
        <w:rPr>
          <w:rFonts w:ascii="Times New Roman" w:cs="Times New Roman" w:eastAsia="Times New Roman" w:hAnsi="Times New Roman"/>
          <w:sz w:val="18"/>
          <w:szCs w:val="18"/>
          <w:color w:val="auto"/>
        </w:rPr>
        <w:t>Notwithstanding anything contained herein to the contrary, should Landlord’s mortgagee require at any time, the maintenance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escrow reserve for the tax obligations of Tenant or for any other obligation of Tenant as in this Lease contained, Tenant shall promptly pay to said escrowee the required amount as the same may be periodically adjusted from time to time and upon request mortgagee or Landlord shall provide to Tenant proof of payment to the taxing authority. For the avoidance of doubt, Landlord shall bear the costs of the escrow agent.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5"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8.01. </w:t>
      </w:r>
      <w:r>
        <w:rPr>
          <w:rFonts w:ascii="Times New Roman" w:cs="Times New Roman" w:eastAsia="Times New Roman" w:hAnsi="Times New Roman"/>
          <w:sz w:val="18"/>
          <w:szCs w:val="18"/>
          <w:color w:val="auto"/>
        </w:rPr>
        <w:t>(a) The Landlord shall, during the Term of this Lease, cause the Demised Premises to be insured for the benefit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and any and all mortgagees of the Landlord and for the Tenant, as its interest may appear, “All Risk” or “Special Forms” property insurance against damage or loss by fire, malicious mischief, sprinkler leakage and such other hazards and perils as now or hereafter may be included in a standard “extended coverage” endorsement from time to time including boiler insurance and with a vandalism and malicious mischief endorsement (hereinafter referred to as “</w:t>
      </w:r>
      <w:r>
        <w:rPr>
          <w:rFonts w:ascii="Times New Roman" w:cs="Times New Roman" w:eastAsia="Times New Roman" w:hAnsi="Times New Roman"/>
          <w:sz w:val="18"/>
          <w:szCs w:val="18"/>
          <w:b w:val="1"/>
          <w:bCs w:val="1"/>
          <w:i w:val="1"/>
          <w:iCs w:val="1"/>
          <w:color w:val="auto"/>
        </w:rPr>
        <w:t>Property Insurance</w:t>
      </w:r>
      <w:r>
        <w:rPr>
          <w:rFonts w:ascii="Times New Roman" w:cs="Times New Roman" w:eastAsia="Times New Roman" w:hAnsi="Times New Roman"/>
          <w:sz w:val="18"/>
          <w:szCs w:val="18"/>
          <w:color w:val="auto"/>
        </w:rPr>
        <w:t>”), in an amount not less than the full replacement value of an identical building (excluding Tenant improvements and alterations except to the extent same constitute permanent fixtures that cannot be removed without causing damage to the Demised Premises that cannot be repaired after such removal) constructed in accordance with all requirements, rules and regulations, which may be applicable at the time of any loss or damage, of all governmental agencies having jurisdiction over the Building and construction of such Building and improvements. Landlord agrees that throughout the Term as extended or renewed it shall maintain for its own benefit and at Landlord’s sole cost and expense, commercial general liability insurance, however, Tenant shall not be named an additional insured on such policy.</w:t>
      </w:r>
    </w:p>
    <w:p>
      <w:pPr>
        <w:spacing w:after="0" w:line="190" w:lineRule="exact"/>
        <w:rPr>
          <w:sz w:val="20"/>
          <w:szCs w:val="20"/>
          <w:color w:val="auto"/>
        </w:rPr>
      </w:pPr>
    </w:p>
    <w:p>
      <w:pPr>
        <w:jc w:val="both"/>
        <w:ind w:firstLine="1305"/>
        <w:spacing w:after="0" w:line="253" w:lineRule="auto"/>
        <w:tabs>
          <w:tab w:leader="none" w:pos="18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Property Insurance policies shall be issued by insurance companies licensed to do business in New Jersey with an A.M. Best rating of A-VII or better. Commencing on Rent Commencement Date, Tenant shall pay, as Additional Rent, one hundred (100%) percent of the total premium for the Property Insurance and endorsements promptly when billed. In addition, the Tenant shall pay the full amount of any increase in the Property Insurance premiums pertaining solely to the entire Demised Premises and resulting from Tenant’s use. If the Tenant shall fail to pay the amount of such Property Insurance premiums within ten (10) days after being billed by Landlord, then subject to Tenant’s receipt of a reminder notice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stating in BOLD AND CONSPICOUS LETTERS, that failure of Tenant to pay the specified premiums within five (5) business days after receipt of such notice shall entitle Landlord to pay same, and (y) Tenant’s failure to pay said charges within said five (5) business day period, the amount thereof may, but shall not be obligated to be paid by Landlord, and any premiums so paid by Landlord shall be billed to Tenant and payable as Additional Rent, with such Additional Rent being due and payable with the Monthly Basic Rent next coming due. Any deductible under such Property Insurance policies shall be paid for by the Tenant, to the extent of one hundred (100%) percent of the amount thereof. Landlord’s represents that Landlord’s current Property Insurance policy covering the Demised Premises provides for a Ten Thousand and 00/100 ($10,000.00) Dollar deductible. Landlord agrees to advise Tenant in the event of any increase in the deductible; however Landlord shall not agree to an increase in any deductible for which Tenant is liable hereunder of more than twenty (20%) percent during the initial Term, or more than twenty (20%) percent each of the Renewal Terms without the prior written consent of Tenant.</w:t>
      </w:r>
    </w:p>
    <w:p>
      <w:pPr>
        <w:spacing w:after="0" w:line="185"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8.02. </w:t>
      </w:r>
      <w:r>
        <w:rPr>
          <w:rFonts w:ascii="Times New Roman" w:cs="Times New Roman" w:eastAsia="Times New Roman" w:hAnsi="Times New Roman"/>
          <w:sz w:val="18"/>
          <w:szCs w:val="18"/>
          <w:color w:val="auto"/>
        </w:rPr>
        <w:t>(a) Commencing on Commencement Date, the Tenant shall maintain and keep in force, during the Term of this Lease,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Demised Premises commercial general liability insurance policy in standard form, insuring against liability for personal injury, bodily injury, broad form property damage, operations hazard, owner’s protective coverage, blanket contractual liability, products and completed operations liability. Said policies shall be written by insurance companies licensed to do business in the State of New Jersey rated A-VII by A.M. Best Company, Oldwick, New Jersey, and shall cover the entire Demised Premises and shall be in the minimum amount of Three Million and 00/100 ($3,000,000.00) Dollars for each occurrence and shall contain provision for ten (10) days’ written notice by nationally recognized overnight courier service providing proof of delivery and proof of receipt, or by certified (return receipt requested, postage pre-paid) or registered United States mail to the Landlord of any material change or detrimental alteration in coverage, or cancellation or other termination of said policy. The said policies shall also contain an endorsement protecting the Landlord for water damage and sprinkler damage liability with respect to property other than the Landlord’s. The Tenant shall name the Landlord, Landlord’s managing agent and/or mortgagee[s] as an additional insured on its commercial general liability insurance policy. Tenant shall provide at all times current certificates of insurance demonstrating compliance with the provisions of this Section and evidence of such coverage. Landlord reserves the right, not more than once during the initial Term of this Lease or any Renewal Term, to require an increase in the aforesaid amount of insurance to an amount reasonable under the circumstances considering the character and location of the Building and any significant change in Tenant’s use of the Demised Premises.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0" w:name="page181"/>
    <w:bookmarkEnd w:id="180"/>
    <w:p>
      <w:pPr>
        <w:jc w:val="both"/>
        <w:ind w:firstLine="1305"/>
        <w:spacing w:after="0" w:line="255" w:lineRule="auto"/>
        <w:tabs>
          <w:tab w:leader="none" w:pos="192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represents, said representation being specifically designed to induce the Landlord to execute this Lease, that Tenant shall insure its business against interruption and its Premises, improvements, alterations, personal property and fixtures and any other items which Tenant may bring to the Demised Premises or which may be under Tenant’s care, custody and control which may be subject to any claim for damages or destruction, which property value shall never exceed the amount of insurance which Tenant is required to carry pursuant to this Lease. If at any time the value of the personal property, fixtures or other goods located at the Demised Premises shall exceed said amount, Tenant covenants to so notify Landlord and at the same time increase the amount of insurance required to be carried pursuant to this Section 8.02 to an amount sufficient to cover the aforesaid. Should Tenant fail to do so, or fail to maintain insurance coverage adequate to cover the aforesaid, then after receipt of notice and failure to cure, Tenant shall be in default hereunder and shall be deemed to have breached its covenants as set forth herein.</w:t>
      </w:r>
    </w:p>
    <w:p>
      <w:pPr>
        <w:spacing w:after="0" w:line="181"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8.03. </w:t>
      </w:r>
      <w:r>
        <w:rPr>
          <w:rFonts w:ascii="Times New Roman" w:cs="Times New Roman" w:eastAsia="Times New Roman" w:hAnsi="Times New Roman"/>
          <w:sz w:val="18"/>
          <w:szCs w:val="18"/>
          <w:color w:val="auto"/>
        </w:rPr>
        <w:t>The Tenant shall provide and keep in force, during the Term of this Lease, for the benefit of the Landlord, boiler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machinery insurance, if applicable. The Landlord shall be named as an additional insured under the policy, with respect to the Building. Upon failure at any time on the part of the Tenant to procure any or all of the policies of insurance as provided in this Article, or to pay the premiums therefor, and provided that</w:t>
      </w:r>
    </w:p>
    <w:p>
      <w:pPr>
        <w:jc w:val="both"/>
        <w:ind w:firstLine="8"/>
        <w:spacing w:after="0" w:line="252" w:lineRule="auto"/>
        <w:tabs>
          <w:tab w:leader="none" w:pos="25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has sent Tenant a reminder notice stating in BOLD AND CONSPICOUS LETTERS, that the failure of Tenant to procure the requisite insurance and/or to pay the premiums therefor within five (5) business days after receipt of such notice shall entitle Landlord to procure such insurance and to pay for same, and (y) Tenant’s failure to do so within said five (5) business day period, then thereafter Landlord shall be at liberty from time to time as often as such failure shall occur, to procure such insurance and pay the premiums therefor as herein provided with respect to procurement of fire and casualty insurance, and all and any sums paid for such insurance by the Landlord together with interest thereon from date of payment shall be and become and are hereby declared to be Additional Rent under this Lease, forthwith due and payable, and shall be collectible accordingly.</w:t>
      </w:r>
    </w:p>
    <w:p>
      <w:pPr>
        <w:spacing w:after="0" w:line="186"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8.04. </w:t>
      </w:r>
      <w:r>
        <w:rPr>
          <w:rFonts w:ascii="Times New Roman" w:cs="Times New Roman" w:eastAsia="Times New Roman" w:hAnsi="Times New Roman"/>
          <w:sz w:val="18"/>
          <w:szCs w:val="18"/>
          <w:color w:val="auto"/>
        </w:rPr>
        <w:t>The Landlord shall provide and keep in force during the Term of this Lease, for the benefit of the Landlord, an endorsement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insurance provided for in Section 8.01 for rental income insurance insuring the Landlord against the loss of Term Basic Rent and Additional Rent, as in this Lease provided, from the perils of fire and extended coverage for a period of no less than one (1) year. The Tenant shall reimburse Landlord for the cost of said insurance when billed. If the Tenant shall fail to pay the amount of such premiums within ten (10) days after being billed, the amount thereof shall be added to the amount of the Term Basic Rent next coming due hereunder and shall be due and payable as part of said Term Basic Rent next coming due.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1" w:name="page182"/>
    <w:bookmarkEnd w:id="181"/>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8.05. </w:t>
      </w:r>
      <w:r>
        <w:rPr>
          <w:rFonts w:ascii="Times New Roman" w:cs="Times New Roman" w:eastAsia="Times New Roman" w:hAnsi="Times New Roman"/>
          <w:sz w:val="18"/>
          <w:szCs w:val="18"/>
          <w:color w:val="auto"/>
        </w:rPr>
        <w:t>Each such insurance policy carried by Landlord and each such insurance policy carried by Tenant insuring the Demised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its business against interruption, and its fixtures and contents against loss by fire, water and causes covered by standard extended coverage or all risks endorsement insurance, shall be written in a manner so as to provide that the insurance company waives all right of recovery by way of subrogation against Landlord or Tenant in connection with any loss or damage covered by such policies except, however, criminal acts. Neither party shall be liable to the other and both parties hereby waive any claims against one another for any loss or damage caused by fire, water or any of the risks enumerated in standard extended coverage insurance, all risks or special forms endorsement insurance, provided such insurance was obtainable at the time of such loss or damage. If the release of either Landlord or Tenant, as set forth in the second sentence of this paragraph, shall contravene any law with respect to exculpatory agreements, the liability of the party in question shall be deemed not released but shall be deemed secondary to the latter’s insurer.</w:t>
      </w:r>
    </w:p>
    <w:p>
      <w:pPr>
        <w:spacing w:after="0" w:line="185"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8.06. </w:t>
      </w:r>
      <w:r>
        <w:rPr>
          <w:rFonts w:ascii="Times New Roman" w:cs="Times New Roman" w:eastAsia="Times New Roman" w:hAnsi="Times New Roman"/>
          <w:sz w:val="18"/>
          <w:szCs w:val="18"/>
          <w:color w:val="auto"/>
        </w:rPr>
        <w:t>The Tenant shall also furnish insurance for such other hazards and in such amounts as the Landlord may reasonably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 at the time are commonly insured against with respect to buildings similar in character, general location and use and occupancy to the Demised Premises in relative amounts normally carried with respect thereto. The Landlord reserves the right at any time and from time to time but not more frequently than one time every five (5) Lease Years to require that the limits for any of the insurance required pursuant to this Article VIII be increased to limits as at the time are reasonable with respect to Tenant’s use and to buildings similar in character, general location and use and occupancy to the Demised Premises.</w:t>
      </w:r>
    </w:p>
    <w:p>
      <w:pPr>
        <w:spacing w:after="0" w:line="180"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8.07. </w:t>
      </w:r>
      <w:r>
        <w:rPr>
          <w:rFonts w:ascii="Times New Roman" w:cs="Times New Roman" w:eastAsia="Times New Roman" w:hAnsi="Times New Roman"/>
          <w:sz w:val="18"/>
          <w:szCs w:val="18"/>
          <w:color w:val="auto"/>
        </w:rPr>
        <w:t>(a) Tenant is and shall be in exclusive control and possession of the Demised Premises as provided herein, and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provided herein Landlord shall not be liable to Tenant for any loss suffered by Tenant under any circumstances, including, but not limited to (i) that arising from the negligence of Landlord, its agents, servants, invitees, contractors or subcontractors, or from defects, errors or omissions in the construction or design of the Demised Premises including the structural and nonstructural portions thereof; or (ii) loss of or injury to Tenant or to Tenant’s property or that for which Tenant is legally liable from any cause whatsoever, including but not limited to theft or burglary; or (iii) that which results from or is incidental to the furnishing of or failure to furnish or the interruption in connection with the furnishing of any service which Landlord is obligated to furnish pursuant to this Lease; or (iv) that which results from any inspection, repair, alteration or addition or the failure thereof undertaken or failed to be undertaken by Landlord; or</w:t>
      </w:r>
    </w:p>
    <w:p>
      <w:pPr>
        <w:spacing w:after="0" w:line="1" w:lineRule="exact"/>
        <w:rPr>
          <w:sz w:val="20"/>
          <w:szCs w:val="20"/>
          <w:color w:val="auto"/>
        </w:rPr>
      </w:pPr>
    </w:p>
    <w:p>
      <w:pPr>
        <w:ind w:left="260" w:hanging="252"/>
        <w:spacing w:after="0"/>
        <w:tabs>
          <w:tab w:leader="none" w:pos="2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interruption to Tenant’s business, however occurring unless otherwise expressly otherwise provided for in this Lease.</w:t>
      </w:r>
    </w:p>
    <w:p>
      <w:pPr>
        <w:spacing w:after="0" w:line="206" w:lineRule="exact"/>
        <w:rPr>
          <w:rFonts w:ascii="Times New Roman" w:cs="Times New Roman" w:eastAsia="Times New Roman" w:hAnsi="Times New Roman"/>
          <w:sz w:val="18"/>
          <w:szCs w:val="18"/>
          <w:color w:val="auto"/>
        </w:rPr>
      </w:pPr>
    </w:p>
    <w:p>
      <w:pPr>
        <w:jc w:val="both"/>
        <w:ind w:firstLine="1305"/>
        <w:spacing w:after="0" w:line="255" w:lineRule="auto"/>
        <w:tabs>
          <w:tab w:leader="none" w:pos="1885"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aforesaid exculpatory Section is to induce the Landlord, in its judgment, to avoid or minimize covering risks which are better quantified and covered by Tenant either through insurance (or self-insurance or combinations thereof if specifically permitted pursuant to this Lease), thereby avoiding the need to increase the rent charged Tenant to compensate the Landlord for the additional costs in obtaining said coverage or reserving against such losses. Notwithstanding anything in this Lease to the contrary, if Tenant shall be prevented from using or accessing, in whole or in part, the Demised Premises as a result of any act or omission of Landlord, its employees, agents or contractors, which loss of use, or loss of access continues for five (5) consecutive days following Landlord’s receipt of notice from Tenant of such condition, then Basic Rent and all regularly recurring Additional Rent shall abate until such time as Tenant has regained full access to and full use of the Demised Premises. If Tenant’s use of the Demised Premises or access thereto is only partially denied, Basic Rent and all regularly recurring Additional Rent shall abate proportionately to Tenant’s loss of use, or access.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2" w:name="page183"/>
    <w:bookmarkEnd w:id="182"/>
    <w:p>
      <w:pPr>
        <w:ind w:firstLine="1305"/>
        <w:spacing w:after="0" w:line="282" w:lineRule="auto"/>
        <w:tabs>
          <w:tab w:leader="none" w:pos="186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indemnify, defend and save Landlord harmless against and from all liabilities, claims, suits, fines, penalties, damages, losses, fees, costs and expenses (including reasonable attorneys’ fees) which may be imposed upon, incurred by or asserted against Landlord by reason of:</w:t>
      </w:r>
    </w:p>
    <w:p>
      <w:pPr>
        <w:spacing w:after="0" w:line="161" w:lineRule="exact"/>
        <w:rPr>
          <w:rFonts w:ascii="Times New Roman" w:cs="Times New Roman" w:eastAsia="Times New Roman" w:hAnsi="Times New Roman"/>
          <w:sz w:val="18"/>
          <w:szCs w:val="18"/>
          <w:color w:val="auto"/>
        </w:rPr>
      </w:pPr>
    </w:p>
    <w:p>
      <w:pPr>
        <w:jc w:val="both"/>
        <w:ind w:firstLine="1758"/>
        <w:spacing w:after="0" w:line="261" w:lineRule="auto"/>
        <w:tabs>
          <w:tab w:leader="none" w:pos="229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work or thing done in, on or about the Demised Premises or any part thereof by or on behalf of Tenant (but shall not include any work done on the roof by or for Landlord, including, without limitation, the installation of the new roof membrane, or arising from or in connection with the installation of solar panels on the roof by Landlord, or its employees, agents or contractors) nor any repair or work done by Landlord to put Building Systems in working order;</w:t>
      </w:r>
    </w:p>
    <w:p>
      <w:pPr>
        <w:spacing w:after="0" w:line="180" w:lineRule="exact"/>
        <w:rPr>
          <w:rFonts w:ascii="Times New Roman" w:cs="Times New Roman" w:eastAsia="Times New Roman" w:hAnsi="Times New Roman"/>
          <w:sz w:val="18"/>
          <w:szCs w:val="18"/>
          <w:color w:val="auto"/>
        </w:rPr>
      </w:pPr>
    </w:p>
    <w:p>
      <w:pPr>
        <w:jc w:val="both"/>
        <w:ind w:firstLine="1758"/>
        <w:spacing w:after="0" w:line="266" w:lineRule="auto"/>
        <w:tabs>
          <w:tab w:leader="none" w:pos="241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 occupation, condition, operation of the Demised Premises or any part thereof if caused by Tenant, its agents, employees, contractors or any person or entity over which Tenant has control or of any sidewalk or curb within the Demised Premises, or any occurrence on any of the same on the part of Tenant;</w:t>
      </w:r>
    </w:p>
    <w:p>
      <w:pPr>
        <w:spacing w:after="0" w:line="176" w:lineRule="exact"/>
        <w:rPr>
          <w:rFonts w:ascii="Times New Roman" w:cs="Times New Roman" w:eastAsia="Times New Roman" w:hAnsi="Times New Roman"/>
          <w:sz w:val="18"/>
          <w:szCs w:val="18"/>
          <w:color w:val="auto"/>
        </w:rPr>
      </w:pPr>
    </w:p>
    <w:p>
      <w:pPr>
        <w:ind w:left="2280" w:hanging="522"/>
        <w:spacing w:after="0"/>
        <w:tabs>
          <w:tab w:leader="none" w:pos="228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negligent act or omission on the part of Tenant or any subtenant or any employees, licensees or invitees of Tenant or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subtenant of Tenant;</w:t>
      </w:r>
    </w:p>
    <w:p>
      <w:pPr>
        <w:spacing w:after="0" w:line="206" w:lineRule="exact"/>
        <w:rPr>
          <w:rFonts w:ascii="Times New Roman" w:cs="Times New Roman" w:eastAsia="Times New Roman" w:hAnsi="Times New Roman"/>
          <w:sz w:val="18"/>
          <w:szCs w:val="18"/>
          <w:color w:val="auto"/>
        </w:rPr>
      </w:pPr>
    </w:p>
    <w:p>
      <w:pPr>
        <w:jc w:val="both"/>
        <w:ind w:firstLine="1758"/>
        <w:spacing w:after="0" w:line="261" w:lineRule="auto"/>
        <w:tabs>
          <w:tab w:leader="none" w:pos="235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accident, injury (including death) or damage to any third party or property owned by someone other than Tenant and under the care, custody or control of Tenant occurring in, on or about the Demised Premises, or any part thereof (and, if anything shall be installed on or affixed to the roof or any part thereof by Landlord or its agents, contractors or employees the roof and such installations shall not be deemed to be under the care, custody or control of Tenant) unless caused by Landlord, its agents, contractors or employees; and</w:t>
      </w:r>
    </w:p>
    <w:p>
      <w:pPr>
        <w:spacing w:after="0" w:line="180" w:lineRule="exact"/>
        <w:rPr>
          <w:rFonts w:ascii="Times New Roman" w:cs="Times New Roman" w:eastAsia="Times New Roman" w:hAnsi="Times New Roman"/>
          <w:sz w:val="18"/>
          <w:szCs w:val="18"/>
          <w:color w:val="auto"/>
        </w:rPr>
      </w:pPr>
    </w:p>
    <w:p>
      <w:pPr>
        <w:ind w:left="2320" w:hanging="562"/>
        <w:spacing w:after="0"/>
        <w:tabs>
          <w:tab w:leader="none" w:pos="23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on the part of Tenant to perform or comply with any of the covenants, agreements, terms or conditions contained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Lease.</w:t>
      </w:r>
    </w:p>
    <w:p>
      <w:pPr>
        <w:spacing w:after="0" w:line="206" w:lineRule="exact"/>
        <w:rPr>
          <w:rFonts w:ascii="Times New Roman" w:cs="Times New Roman" w:eastAsia="Times New Roman" w:hAnsi="Times New Roman"/>
          <w:sz w:val="18"/>
          <w:szCs w:val="18"/>
          <w:color w:val="auto"/>
        </w:rPr>
      </w:pPr>
    </w:p>
    <w:p>
      <w:pPr>
        <w:ind w:left="1820" w:hanging="515"/>
        <w:spacing w:after="0"/>
        <w:tabs>
          <w:tab w:leader="none" w:pos="18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shall survive the expiration or earlier termination of the Lease.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3" w:name="page184"/>
    <w:bookmarkEnd w:id="183"/>
    <w:p>
      <w:pPr>
        <w:jc w:val="both"/>
        <w:ind w:firstLine="12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8.08. </w:t>
      </w:r>
      <w:r>
        <w:rPr>
          <w:rFonts w:ascii="Times New Roman" w:cs="Times New Roman" w:eastAsia="Times New Roman" w:hAnsi="Times New Roman"/>
          <w:sz w:val="18"/>
          <w:szCs w:val="18"/>
          <w:color w:val="auto"/>
        </w:rPr>
        <w:t>Landlord shall indemnify, defend and save Tenant harmless against and from all liabilities, claims, suits, fines, penalties,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damages, losses, fees, costs and expenses (including reasonable attorneys’ fees) which may be imposed upon, incurred by or asserted against Tenant arising from any accident, injury (including death) or damage to any third party or their property occurring in, on or about the Demised Premises, or any part thereof, if (a) caused in whole or in part by Landlord, or a Landlord Party or an affiliate of Landlord or any Landlord Party (as defined in Section 9.01) or any of its or their agents, contractors or employees (and if only partially caused by Landlord, or any of the foregoing, its indemnity hereunder shall be equitably apportioned), or (b) arising in whole or in part from the placement (whether or not permanently attached) of anything on or to any part of the roof or roof structure.</w:t>
      </w:r>
    </w:p>
    <w:p>
      <w:pPr>
        <w:spacing w:after="0" w:line="183"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8.09. </w:t>
      </w:r>
      <w:r>
        <w:rPr>
          <w:rFonts w:ascii="Times New Roman" w:cs="Times New Roman" w:eastAsia="Times New Roman" w:hAnsi="Times New Roman"/>
          <w:sz w:val="18"/>
          <w:szCs w:val="18"/>
          <w:color w:val="auto"/>
        </w:rPr>
        <w:t>In the event any mortgagee, or trust deed holder requires an escrow for insurance, taxes or any other recurring charges,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within thirty (30) days of receipt of Landlord’s notice of same, on demand from Landlord, deposit the required escrow as required by any of the aforesaid.</w:t>
      </w:r>
    </w:p>
    <w:p>
      <w:pPr>
        <w:spacing w:after="0" w:line="171"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8.10. </w:t>
      </w:r>
      <w:r>
        <w:rPr>
          <w:rFonts w:ascii="Times New Roman" w:cs="Times New Roman" w:eastAsia="Times New Roman" w:hAnsi="Times New Roman"/>
          <w:sz w:val="18"/>
          <w:szCs w:val="18"/>
          <w:color w:val="auto"/>
        </w:rPr>
        <w:t>Any policies required to be furnished by Tenant pursuant to this Article VIII will unequivocally provide an undertaking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insurers to notify Landlord and the mortgagees of Landlord in writing not less than thirty (30) days prior to any material change, detrimental alteration, cancellation, or other termination thereof.</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Repairs</w:t>
      </w:r>
    </w:p>
    <w:p>
      <w:pPr>
        <w:spacing w:after="0" w:line="225"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Section 9.01. </w:t>
      </w:r>
      <w:r>
        <w:rPr>
          <w:rFonts w:ascii="Times New Roman" w:cs="Times New Roman" w:eastAsia="Times New Roman" w:hAnsi="Times New Roman"/>
          <w:sz w:val="17"/>
          <w:szCs w:val="17"/>
          <w:color w:val="auto"/>
        </w:rPr>
        <w:t>(a) The Tenant shall keep the Demised Premises in good condition and repair, and shall redecorate, paint and renovate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Demised Premises as may be necessary to keep them in good condition and repair and good appearance. The Tenant shall keep the Demised Premises and all parts thereof in a clean and sanitary condition and free from trash, inflammable material and, except as otherwise provided herein, other objectionable matter. Tenant shall, at its sole cost and expense, throughout the Term of this Lease, as extended or renewed, maintain a dumpster for depositing its trash and refuse. Under no circumstances will Tenant store any trash or refuse outside the Building except in such dumpster. The Tenant shall comply with all of the requirements recommendations as announced from time to time by the engineering department or any other similar enforcement department of the fire insurance company insuring the Demised Premises or any agencies or departments of the City of Englewood, including by way of example but not limitation the health or fire department; provided however, if such compliance requires any alterations, maintenance, repair or replacement to any structural portions of the Demised Premises which are the Landlord’s obligation under Section 9.04 of this Lease to maintain, then such compliance shall be performed by Landlord at Landlord’s sole cost and expense unless arising from Tenant's specific use or particular method of doing business in the Demised Premises, Tenant’s Work or due to any alterations, additions or improvements undertaken by Tenant in the Demised Premises, in which case, Landlord shall perform such alterations, maintenance, repairs or replacements, but at Tenant’s reasonable cost and expense, without profit or mark-up to Landlord and Tenant shall pay such amount as Additional Rent within thirty (30) days after receipt of a bill therefor and reasonable substantiation of the charges therein. Tenant, at its sole cost and expense and after notice to Landlord, may contest by appropriate proceedings prosecuted diligently and in good faith, the requirements recommendations as announced from time to time by the engineering department or any other similar enforcement department of the fire insurance company insuring the Demised Premises or any agencies or departments of the City of Englewood, including by way of example but not limitation the health or fire department which Tenant is required to comply under the terms of this Lease provided that no contest proceedings initiated by Tenant shall be conducted in such a manner as to cause a lien against the Real Property or the risk of loss of the Real Property through sale or forfeiture, cause any interference with the use, occupancy, sale or financing of the Real Property, cause a cancellation of Landlord’s insurance or subject Landlord to any fines, penalties or liability including criminal liability or civil penalty and Tenant furnishes to Landlord security by way of cash, bond, or a letter of credit, reasonably satisfactory to Landlord, against any loss or injury by reason of such contest or delay. The Tenant shall keep the sidewalks, and parking lot forming part of the Demised Premises clean and free of obstructions, snow and ice. Except as otherwise in this Lease set forth, throughout the Term of this Lease, the Tenant, at its sole cost and expense, will take good care of the nonstructural portions of the Demised Premises including by way of example but not limitation, the roof membrane and insulation (subject however, to the provisions of Section 28.01), boiler, heating systems, plumbing systems, electrical system and fire protection sprinkler system, gas fired unit heaters (which will be delivered on the Commencement Date in working order), rooftop Office HVAC units (subject to Landlord’s placement thereof into good operating condition, and as otherwise set forth in this Lease), overhead doors, overhead door openers, exhaust fans, ventilating fans, plumbing fixtures, lights, outlets, electrical panels, exit lights, emergency lights, exterior lighting, fences, irrigation system, landscaping, lawn treatment, tree trimming and weed removal, and the sidewalks and curbs adjoining the Demised Premises and will keep the non-structural portions of same in good order and condition and make all necessary repairs thereto, interior and exterior, ordinary and extraordinary, foreseen and unforeseen; provided however, that Tenant shall not be required to make any structural repairs, any repairs necessitated by the negligent acts or omissions of Landlord, its agents, employees or contractors (each of the foregoing a “</w:t>
      </w:r>
      <w:r>
        <w:rPr>
          <w:rFonts w:ascii="Times New Roman" w:cs="Times New Roman" w:eastAsia="Times New Roman" w:hAnsi="Times New Roman"/>
          <w:sz w:val="17"/>
          <w:szCs w:val="17"/>
          <w:b w:val="1"/>
          <w:bCs w:val="1"/>
          <w:i w:val="1"/>
          <w:iCs w:val="1"/>
          <w:color w:val="auto"/>
        </w:rPr>
        <w:t>Landlord Party</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b w:val="1"/>
          <w:bCs w:val="1"/>
          <w:i w:val="1"/>
          <w:iCs w:val="1"/>
          <w:color w:val="auto"/>
        </w:rPr>
        <w:t>Landlord Parties</w:t>
      </w:r>
      <w:r>
        <w:rPr>
          <w:rFonts w:ascii="Times New Roman" w:cs="Times New Roman" w:eastAsia="Times New Roman" w:hAnsi="Times New Roman"/>
          <w:sz w:val="17"/>
          <w:szCs w:val="17"/>
          <w:color w:val="auto"/>
        </w:rPr>
        <w:t>”, unless Tenant is reimbursed therefor by Landlord for Tenant’s costs and expenses), any repairs or replacements covered under Articles X and XI hereof, or any other maintenance, repairs, replacements or compliance with Legal Requirements which are the responsibility of Landlord under this Lease. Tenant shall quit and surrender and return the Demised Premises at the end of the Term “broom clean” and in the same condition they were in at the commencement, subject to reasonable wear and tear, and damage by fire and other casualty excepted, and further excepting any insured events or items for which Tenant is not liable. Additionally, subject to the provisions of Section 4.06, Tenant shall not be required to remove nor restore Tenant’s Work as set forth on Exhibit C, nor restore or remove any alterations which, at the time Landlord’s consent thereto was obtained, or if no consent was necessary, a written decision from Landlord on restoration was obtained, that Tenant need not restore or remove such work. Tenant shall also not be obligated to return any HVAC serving the warehouse portion of the Demised Premises in operable condition however, the gas fired unit heaters must be in operable condition subject to the limitation on Capital Repairs set forth below. In addition, the Tenant shall replace, at the Tenant’s expense, all window and glass in and on the Demised Premises which may become broken after the date of Tenant’s occupancy; however if broken by Landlord or any Landlord Party, Landlord shall reimburse Tenant for its reasonable cost and expense of replacing same, within thirty (30) days after receipt of a bill therefor and reasonable substantiation of the charges therein. All repairs made by Tenant shall be equal in quality and class to the original work. As used in this Lease, the term “</w:t>
      </w:r>
      <w:r>
        <w:rPr>
          <w:rFonts w:ascii="Times New Roman" w:cs="Times New Roman" w:eastAsia="Times New Roman" w:hAnsi="Times New Roman"/>
          <w:sz w:val="17"/>
          <w:szCs w:val="17"/>
          <w:b w:val="1"/>
          <w:bCs w:val="1"/>
          <w:i w:val="1"/>
          <w:iCs w:val="1"/>
          <w:color w:val="auto"/>
        </w:rPr>
        <w:t>repairs</w:t>
      </w:r>
      <w:r>
        <w:rPr>
          <w:rFonts w:ascii="Times New Roman" w:cs="Times New Roman" w:eastAsia="Times New Roman" w:hAnsi="Times New Roman"/>
          <w:sz w:val="17"/>
          <w:szCs w:val="17"/>
          <w:color w:val="auto"/>
        </w:rPr>
        <w:t>” shall also include all necessary replacements and renewals. Landlord agrees to make the roof warranty and any warranties relating to the HVAC units or systems, if any, available to Tenant and shall cooperate in connection with the enforcement thereof provided Landlord is not required to incur any costs or expenses in connection therewith. Landlord shall assign all other pertinent warranties to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5" w:name="page186"/>
    <w:bookmarkEnd w:id="185"/>
    <w:p>
      <w:pPr>
        <w:jc w:val="both"/>
        <w:ind w:left="-20" w:firstLine="1305"/>
        <w:spacing w:after="0" w:line="252" w:lineRule="auto"/>
        <w:tabs>
          <w:tab w:leader="none" w:pos="199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Lease, if a replacement or a repair of the Office HVAC, boiler, parking lot pavement, or any other Capital Improvement (each of the foregoing being referred to as a “</w:t>
      </w:r>
      <w:r>
        <w:rPr>
          <w:rFonts w:ascii="Times New Roman" w:cs="Times New Roman" w:eastAsia="Times New Roman" w:hAnsi="Times New Roman"/>
          <w:sz w:val="18"/>
          <w:szCs w:val="18"/>
          <w:b w:val="1"/>
          <w:bCs w:val="1"/>
          <w:i w:val="1"/>
          <w:iCs w:val="1"/>
          <w:color w:val="auto"/>
        </w:rPr>
        <w:t>Capital Repair</w:t>
      </w:r>
      <w:r>
        <w:rPr>
          <w:rFonts w:ascii="Times New Roman" w:cs="Times New Roman" w:eastAsia="Times New Roman" w:hAnsi="Times New Roman"/>
          <w:sz w:val="18"/>
          <w:szCs w:val="18"/>
          <w:color w:val="auto"/>
        </w:rPr>
        <w:t>”) is required at any time during the Term of the Lease, which Capital Repair would cost Fifteen Thousand and 00/100 ($15,000.00) Dollars (U.S.) or more, Tenant shall only be required to pay for that percentage of the cost of such Capital Repair as the then remaining Term of the Lease bears to the useful life of the Capital Repair, as determined pursuant to the Internal Revenue Code of 1986, as amended, but which useful life, for purposes of this Section, is not to exceed ten (10) years in the case of any Capital Repair. In the event the Term of this Lease is renewed subsequent to the determination of Tenant's share of the cost of such Capital Repair, then the parties shall recalculate such share as if the Term of the Lease had been so extended at the time the replacement was made, and Tenant shall pay Landlord the difference between that which it would have paid had the Term of the Lease been so extended at the time of said Capital Repair and that which Tenant actually paid as its share of the cost of said Capital Repair. The determination of whether a replacement Office HVAC is required shall be made by the Landlord; provided however, if Tenant disputes the Landlord's determination, then Landlord and Tenant shall each select, at its own cost and expense, an independent Office HVAC contractor (or other specialist contractor handling the item of Capital Repair in question), as the case may be, to examine the Office HVAC, or other Capital Repair item and determine whether a replacement Office HVAC or such other Capital Repair item as is in dispute, is required. In the event the selected Office HVAC or other Capital Repair item contractor cannot reach a mutual conclusion, then they will select a third applicable contractor, acceptable to all parties, who will examine the Office HVAC or other such Capital Repair item and render a report. In the event an independent roofer or HVAC contractor cannot be so agreed upon, Office HVAC, or such other relevant Capital Repair contractor shall be selected by the American Arbitration Association. The cost for such third Office HVAC or other relevant Capital Repair item contractor shall be borne equally by Landlord and Tenant.</w:t>
      </w:r>
    </w:p>
    <w:p>
      <w:pPr>
        <w:spacing w:after="0" w:line="196" w:lineRule="exact"/>
        <w:rPr>
          <w:rFonts w:ascii="Times New Roman" w:cs="Times New Roman" w:eastAsia="Times New Roman" w:hAnsi="Times New Roman"/>
          <w:sz w:val="18"/>
          <w:szCs w:val="18"/>
          <w:color w:val="auto"/>
        </w:rPr>
      </w:pPr>
    </w:p>
    <w:p>
      <w:pPr>
        <w:jc w:val="both"/>
        <w:ind w:left="-20" w:firstLine="1305"/>
        <w:spacing w:after="0" w:line="254" w:lineRule="auto"/>
        <w:tabs>
          <w:tab w:leader="none" w:pos="184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Tenant shall fail or neglect at any time to make any of the repairs or replacements hereinabove agreed to be made by it and shall continue such failure or neglect after thirty (30) days’ notice in writing thereof from the Landlord, unless the critical nature of the repair requires immediate attention in which event the repair or replacement shall be made within twenty-four (24) hours after such written notice, then provided that (x) Landlord has sent Tenant a reminder notice stating in BOLD AND CONSPICOUS LETTERS, that failure of Tenant to pay the make the requisite repairs or replacements within five (5) business days after receipt of the reminder notice shall entitle Landlord to do so and to charge the Landlord’s actual out-of-pocket cost therefor (without profit or mark-up) to Tenant, and (y) Tenant’s failure to pay make such repairs or replacements within said five (5) business day period, then the Landlord or its agents, at the option of the Landlord, may enter the Demised Premises and make such repairs or replacements at the reasonable cost and expense of Tenant (not to exceed Landlord’s actual out of pocket cost therefor without profit or markup) and Tenant shall pay same to Landlord after receipt of a bill therefor (and reasonable substantiation of the charges included therein) as Additional Rent, concurrently with the next installment of Monthly Basic Rent.</w:t>
      </w:r>
    </w:p>
    <w:p>
      <w:pPr>
        <w:spacing w:after="0" w:line="186" w:lineRule="exact"/>
        <w:rPr>
          <w:rFonts w:ascii="Times New Roman" w:cs="Times New Roman" w:eastAsia="Times New Roman" w:hAnsi="Times New Roman"/>
          <w:sz w:val="18"/>
          <w:szCs w:val="18"/>
          <w:color w:val="auto"/>
        </w:rPr>
      </w:pPr>
    </w:p>
    <w:p>
      <w:pPr>
        <w:jc w:val="both"/>
        <w:ind w:left="-20" w:firstLine="1305"/>
        <w:spacing w:after="0" w:line="256" w:lineRule="auto"/>
        <w:tabs>
          <w:tab w:leader="none" w:pos="184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shall obtain and keep in full force and effect during the Term of this Lease, at its own cost and expense, a maintenance contract on the heating, ventilation and air conditioning system servicing the office portion of the Building (but not the warehouse portion) and another maintenance contract for the roof, both in form and content reasonably acceptable to Landlord. The roof maintenance contract shall with be with Centimark Roofing, the installer of the new roof. Upon request, from time to time, Tenant shall provide Landlord with evidence that such contracts are in full force and effect. For the avoidance of doubt, under no circumstances shall Tenant be required to maintain, repair or replace the HVAC units and systems servicing the warehouse portion of the Building.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86" w:name="page187"/>
    <w:bookmarkEnd w:id="186"/>
    <w:p>
      <w:pPr>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9.02. </w:t>
      </w:r>
      <w:r>
        <w:rPr>
          <w:rFonts w:ascii="Times New Roman" w:cs="Times New Roman" w:eastAsia="Times New Roman" w:hAnsi="Times New Roman"/>
          <w:sz w:val="18"/>
          <w:szCs w:val="18"/>
          <w:color w:val="auto"/>
        </w:rPr>
        <w:t>(A) The Tenant shall not, without the written consent of the Landlord, make any alterations, additions or improvements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following:</w:t>
      </w:r>
    </w:p>
    <w:p>
      <w:pPr>
        <w:spacing w:after="0" w:line="159" w:lineRule="exact"/>
        <w:rPr>
          <w:sz w:val="20"/>
          <w:szCs w:val="20"/>
          <w:color w:val="auto"/>
        </w:rPr>
      </w:pPr>
    </w:p>
    <w:p>
      <w:pPr>
        <w:jc w:val="both"/>
        <w:ind w:firstLine="1758"/>
        <w:spacing w:after="0" w:line="266" w:lineRule="auto"/>
        <w:tabs>
          <w:tab w:leader="none" w:pos="2182"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the Building (which shall include, but not be limited to, footings, foundation walls, exterior bearing and non-bearing walls, structural steel framework, floor slab, roofing, framework consisting of bar joists, girders and purlins, and load bearing interior masonry partitions);</w:t>
      </w:r>
    </w:p>
    <w:p>
      <w:pPr>
        <w:spacing w:after="0" w:line="176" w:lineRule="exact"/>
        <w:rPr>
          <w:rFonts w:ascii="Times New Roman" w:cs="Times New Roman" w:eastAsia="Times New Roman" w:hAnsi="Times New Roman"/>
          <w:sz w:val="18"/>
          <w:szCs w:val="18"/>
          <w:color w:val="auto"/>
        </w:rPr>
      </w:pPr>
    </w:p>
    <w:p>
      <w:pPr>
        <w:ind w:left="2140" w:hanging="382"/>
        <w:spacing w:after="0"/>
        <w:tabs>
          <w:tab w:leader="none" w:pos="214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plumbing and electrical systems; and</w:t>
      </w:r>
    </w:p>
    <w:p>
      <w:pPr>
        <w:spacing w:after="0" w:line="225" w:lineRule="exact"/>
        <w:rPr>
          <w:rFonts w:ascii="Times New Roman" w:cs="Times New Roman" w:eastAsia="Times New Roman" w:hAnsi="Times New Roman"/>
          <w:sz w:val="18"/>
          <w:szCs w:val="18"/>
          <w:color w:val="auto"/>
        </w:rPr>
      </w:pPr>
    </w:p>
    <w:p>
      <w:pPr>
        <w:jc w:val="both"/>
        <w:ind w:firstLine="1758"/>
        <w:spacing w:after="0" w:line="266" w:lineRule="auto"/>
        <w:tabs>
          <w:tab w:leader="none" w:pos="2304"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initial Tenant Work set forth on Exhibit C and Exhibit C-1 if applicable, any other alterations, additions or improvements, the cost of which would exceed Twenty Thousand and 00/100 ($20,000.00) Dollars on an annual basis in the aggregate, excluding from the annual aggregate all purely decorative alterations.</w:t>
      </w:r>
    </w:p>
    <w:p>
      <w:pPr>
        <w:spacing w:after="0" w:line="176" w:lineRule="exact"/>
        <w:rPr>
          <w:rFonts w:ascii="Times New Roman" w:cs="Times New Roman" w:eastAsia="Times New Roman" w:hAnsi="Times New Roman"/>
          <w:sz w:val="18"/>
          <w:szCs w:val="18"/>
          <w:color w:val="auto"/>
        </w:rPr>
      </w:pPr>
    </w:p>
    <w:p>
      <w:pPr>
        <w:jc w:val="both"/>
        <w:ind w:firstLine="1758"/>
        <w:spacing w:after="0" w:line="261" w:lineRule="auto"/>
        <w:tabs>
          <w:tab w:leader="none" w:pos="2248"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prior consent shall not be required for purely decorative alterations. For purposes hereof, “decorations” means cosmetic changes such as painting, hanging pictures, carpeting, furnishings, window treatments, wall hangings, wall coverings, floor coverings, readily removable artwork and sculpture or fixtures, signage within the Premises, and other items of work that are of a primarily decorative, rather than construction requiring governmental permits or approvals.</w:t>
      </w:r>
    </w:p>
    <w:p>
      <w:pPr>
        <w:spacing w:after="0" w:line="180" w:lineRule="exact"/>
        <w:rPr>
          <w:rFonts w:ascii="Times New Roman" w:cs="Times New Roman" w:eastAsia="Times New Roman" w:hAnsi="Times New Roman"/>
          <w:sz w:val="18"/>
          <w:szCs w:val="18"/>
          <w:color w:val="auto"/>
        </w:rPr>
      </w:pPr>
    </w:p>
    <w:p>
      <w:pPr>
        <w:jc w:val="both"/>
        <w:ind w:firstLine="1305"/>
        <w:spacing w:after="0" w:line="268" w:lineRule="auto"/>
        <w:tabs>
          <w:tab w:leader="none" w:pos="1854"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 requested by the Landlord, at the time consent is granted if so given, the Tenant will, except as otherwise provided in Section 4.06 of this Lease, remove all improvements made by it under this Lease prior to the expiration of the Term and leave the Demised Premises in such condition as it was at the commencement of the Term of this Lease, reasonable wear and tear and damage by fire or other casualty, and condemnation excepted. Not less than sixty (60) days prior to the expiration of the Term Landlord shall confirm which improvements and alterations made by Tenant, including those involving the any reconfiguration or expansion of the office area by Tenant as indicated on Exhibit C-1 or by a supplemental writing at the time Landlord approved Exhibit C-1, must be removed by Tenant. In the event the Tenant so fails to remove such improvements, then provided that (x) Landlord has sent Tenant a reminder notice stating in BOLD AND CONSPICOUS LETTERS, that failure of Tenant to remove the improvements within thirty (30) days after receipt of the reminder notice shall entitle Landlord to do so and to charge the Landlord’s actual out-of-pocket cost therefor (without profit or mark-up) to Tenant, and</w:t>
      </w:r>
    </w:p>
    <w:p>
      <w:pPr>
        <w:jc w:val="both"/>
        <w:ind w:firstLine="8"/>
        <w:spacing w:after="0" w:line="251" w:lineRule="auto"/>
        <w:tabs>
          <w:tab w:leader="none" w:pos="2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failure to perform such removal of improvements within said thirty (30) day period, then the Landlord may do so and collect from the Tenant, as Additional Rent, its actual out of pocket costs and expenses of doing so without profit or markup. All erections, alterations, additions and improvements, whether temporary or permanent in character, which may be made upon or to the Demised Premises either by the Landlord or the Tenant, except furniture or movable trade fixtures installed at the expense of the Tenant, shall be the property of the Landlord and shall remain upon and be surrendered with the Demised Premises as a part thereof at the termination of this Lease, without compensation to the Tenant unless Landlord indicates that removal is required at the time it grants consent to such improvement if consent is required. For those erections, alterations, additions and improvements for which Landlord’s consent is not required and for the improvements on Exhibit C-1 that are plans pertaining to Tenant’s Work enumerated on Exhibit C and which therefor need not be removed at the end of the Term, if any, Tenant may request that Landlord inform Tenant, concurrently with Landlord’s grant of consent, whether the work for which Tenant is seeking Landlord’s consent will require removal at the expiration or sooner termination of this Lease, and if Landlord notifies Tenant that such work will not need to be removed, Landlord’s decision shall be binding upon Landlord. All furniture, movable trade fixtures and personalty of the Tenant remaining in the Demised Premises after the expiration of the Term shall be deemed abandoned and may be removed by Landlord who may collect from the Tenant, as Additional Rent, its actual, out-of-pocket costs and expenses, without profit or mark-up of so removing such property.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7" w:name="page188"/>
    <w:bookmarkEnd w:id="187"/>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9.03. </w:t>
      </w:r>
      <w:r>
        <w:rPr>
          <w:rFonts w:ascii="Times New Roman" w:cs="Times New Roman" w:eastAsia="Times New Roman" w:hAnsi="Times New Roman"/>
          <w:sz w:val="18"/>
          <w:szCs w:val="18"/>
          <w:color w:val="auto"/>
        </w:rPr>
        <w:t>The Landlord may, as a condition to granting its consent to any alteration, addition or improvement referred to in (a), (b) or</w:t>
      </w:r>
    </w:p>
    <w:p>
      <w:pPr>
        <w:spacing w:after="0" w:line="31" w:lineRule="exact"/>
        <w:rPr>
          <w:sz w:val="20"/>
          <w:szCs w:val="20"/>
          <w:color w:val="auto"/>
        </w:rPr>
      </w:pPr>
    </w:p>
    <w:p>
      <w:pPr>
        <w:ind w:left="260" w:hanging="252"/>
        <w:spacing w:after="0"/>
        <w:tabs>
          <w:tab w:leader="none" w:pos="2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9.02 above, require the following:</w:t>
      </w:r>
    </w:p>
    <w:p>
      <w:pPr>
        <w:spacing w:after="0" w:line="206" w:lineRule="exact"/>
        <w:rPr>
          <w:rFonts w:ascii="Times New Roman" w:cs="Times New Roman" w:eastAsia="Times New Roman" w:hAnsi="Times New Roman"/>
          <w:sz w:val="18"/>
          <w:szCs w:val="18"/>
          <w:color w:val="auto"/>
        </w:rPr>
      </w:pPr>
    </w:p>
    <w:p>
      <w:pPr>
        <w:ind w:left="1820" w:hanging="515"/>
        <w:spacing w:after="0"/>
        <w:tabs>
          <w:tab w:leader="none" w:pos="182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and Specifications therefor are first submitted to the Landlord;</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82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shall approve such plans and specifications, the Landlord agreeing that, as to nonstructural repairs and alterations, its approval will not be unreasonably withheld, delayed or conditioned;</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915"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the Landlord has approved the same, the said Plans and Specifications are appropriately filed (if necessary) with the governing body or agency having jurisdiction of building alterations, constructions and improvements; and</w:t>
      </w:r>
    </w:p>
    <w:p>
      <w:pPr>
        <w:spacing w:after="0" w:line="161" w:lineRule="exact"/>
        <w:rPr>
          <w:rFonts w:ascii="Times New Roman" w:cs="Times New Roman" w:eastAsia="Times New Roman" w:hAnsi="Times New Roman"/>
          <w:sz w:val="18"/>
          <w:szCs w:val="18"/>
          <w:color w:val="auto"/>
        </w:rPr>
      </w:pPr>
    </w:p>
    <w:p>
      <w:pPr>
        <w:ind w:left="1780" w:hanging="475"/>
        <w:spacing w:after="0"/>
        <w:tabs>
          <w:tab w:leader="none" w:pos="17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(if necessary) is granted by that body for any of the said alterations, improvements, construction or repairs.</w:t>
      </w:r>
    </w:p>
    <w:p>
      <w:pPr>
        <w:spacing w:after="0" w:line="221"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9.04. </w:t>
      </w:r>
      <w:r>
        <w:rPr>
          <w:rFonts w:ascii="Times New Roman" w:cs="Times New Roman" w:eastAsia="Times New Roman" w:hAnsi="Times New Roman"/>
          <w:sz w:val="18"/>
          <w:szCs w:val="18"/>
          <w:color w:val="auto"/>
        </w:rPr>
        <w:t>Notwithstanding anything contained herein to the contrary, provided that Tenant furnishes Landlord with notice of the need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such repairs as and when such need arises and further provided that such repairs are not required as a result of the acts or omissions of Tenant, its agents, servants, employees or invitees, Landlord shall, throughout the Term, keep and maintain in good order, condition and repair, the structure of the Building which shall mean the exterior load-bearing walls, foundation and structural steel framework (excluding the windows, glass, window frames, door frames, and normal maintenance items including but not limited to caulking, pointing, painting and waterproofing, all of which shall be Tenant’s obligation, unless the need therefor shall be due to the acts or omissions of Landlord or any Landlord Parties, in which case, Tenant shall perform the maintenance, repair or replacement but at Landlord’s sole cost and expense, without profit-or-mark-up by Tenant). In the event that such repairs are required as a result of the acts or omissions of Tenant, its agents, servants, employees or invitees, the Landlord shall nevertheless cause such repairs to be performed; however, Tenant shall, upon demand, reimburse Landlord as Additional Rent for all actual out-of-pocket costs and expenses without profit or mark-up incurred by Landlord in connection therewith.</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Casualty</w:t>
      </w:r>
    </w:p>
    <w:p>
      <w:pPr>
        <w:spacing w:after="0" w:line="225"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10.01. </w:t>
      </w:r>
      <w:r>
        <w:rPr>
          <w:rFonts w:ascii="Times New Roman" w:cs="Times New Roman" w:eastAsia="Times New Roman" w:hAnsi="Times New Roman"/>
          <w:sz w:val="18"/>
          <w:szCs w:val="18"/>
          <w:color w:val="auto"/>
        </w:rPr>
        <w:t>If the Demised Premises or the Building is damaged or destroyed by fire, explosion, the elements or otherwise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so as to render the Demised Premises wholly untenantable or unfit for occupancy, or should the Demised Premises be so badly injured that the same cannot be repaired within two hundred seventy (270) days from the happening of such injury, then, and in such case, the Term hereby created shall, at the option of either the Landlord or the Tenant, terminate upon the giving of a notice of termination. If a notice of termination is given, the Term of this Lease shall terminate effective as of the date of such damage or destruction, and the Tenant shall immediately surrender the Demised Premises and all the Tenant’s interest therein to the Landlord, and pay Term Basic Rent and Additional Rent to the time of such damage or destruction, and the Landlord may re-enter and repossess the Demised Premises discharged from this Lease and may remove all parties therefrom.</w:t>
      </w:r>
    </w:p>
    <w:p>
      <w:pPr>
        <w:spacing w:after="0" w:line="183"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10.02. </w:t>
      </w:r>
      <w:r>
        <w:rPr>
          <w:rFonts w:ascii="Times New Roman" w:cs="Times New Roman" w:eastAsia="Times New Roman" w:hAnsi="Times New Roman"/>
          <w:sz w:val="18"/>
          <w:szCs w:val="18"/>
          <w:color w:val="auto"/>
        </w:rPr>
        <w:t>Should the Demised Premises be rendered untenantable and unfit for occupancy, but yet be repairable within two hundred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seventy (270) days from the happening of said injury, the Landlord will, provided the mortgagee makes the proceeds of any casualty insurance required to be carried pursuant to this Lease available to the Landlord to restore and further provided that the insurance proceeds so received are adequate to restore the Building and the Demised Premises, enter and repair the same with reasonable speed, and the Term Basic Rent and Additional Rent shall abate until such time as the Landlord makes such repairs so as to render the Demised Premises once again usable by the Tenant for the purposes under this Lease.</w:t>
      </w:r>
    </w:p>
    <w:p>
      <w:pPr>
        <w:spacing w:after="0" w:line="180"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10.03. </w:t>
      </w:r>
      <w:r>
        <w:rPr>
          <w:rFonts w:ascii="Times New Roman" w:cs="Times New Roman" w:eastAsia="Times New Roman" w:hAnsi="Times New Roman"/>
          <w:sz w:val="18"/>
          <w:szCs w:val="18"/>
          <w:color w:val="auto"/>
        </w:rPr>
        <w:t>If the Demised Premises shall be so slightly injured as not to be rendered untenantable and unfit for occupancy, the Landlord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repair the same with reasonable promptness and the Term Basic Rent and Additional Rent accrued and accruing shall not cease or terminate. The Tenant shall immediately notify the Landlord in case of fire or other damage to the Demised Premises.</w:t>
      </w:r>
    </w:p>
    <w:p>
      <w:pPr>
        <w:spacing w:after="0" w:line="171"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10.04. </w:t>
      </w:r>
      <w:r>
        <w:rPr>
          <w:rFonts w:ascii="Times New Roman" w:cs="Times New Roman" w:eastAsia="Times New Roman" w:hAnsi="Times New Roman"/>
          <w:sz w:val="18"/>
          <w:szCs w:val="18"/>
          <w:color w:val="auto"/>
        </w:rPr>
        <w:t>Notwithstanding anything to the contrary in Section 10.01, neither the Landlord nor the Tenant shall have any option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this Lease upon the happening of an injury referred to in Section 10.01 provided (i) that the happening of such injury occurs at a time when the unexpired Term of this Lease is two (2) years or more; (ii) further provided that the mortgagee makes the proceeds of any casualty insurance required to be carried pursuant to this Lease available to Landlord to restore; and (iii) further provided that the insurance proceeds so received are adequate to restore the Building and the Demised Premises. In such event, the Landlord shall repair the Demised Premises, even to the extent of rebuilding the Building if necessary, subject, however, to the receipt of sufficient insurance proceeds. The Landlord shall promptly enter and repair the Demised Premises with reasonable speed, making due allowance for conditions beyond the Landlord’s control, including, but not limited to time lost in adjusting insurance claims and strikes, and the Term Basic Rent and Additional Rent shall abate until the earlier of such time as the Landlord makes such repairs so as to render the Demised Premises once again usable by the Tenant for the purposes under this Lease. Landlord shall have no obligation to repair or restore Tenant’s improvements.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Condemnation</w:t>
      </w:r>
    </w:p>
    <w:p>
      <w:pPr>
        <w:spacing w:after="0" w:line="225"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11.01. </w:t>
      </w:r>
      <w:r>
        <w:rPr>
          <w:rFonts w:ascii="Times New Roman" w:cs="Times New Roman" w:eastAsia="Times New Roman" w:hAnsi="Times New Roman"/>
          <w:sz w:val="18"/>
          <w:szCs w:val="18"/>
          <w:color w:val="auto"/>
        </w:rPr>
        <w:t>If, during the Term, twenty-five (25%) percent or more of the area of the Demised Premises shall be taken under any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eminent domain or condemnation then, at the option of the Tenant, to be exercised in writing within thirty (30) days of the taking of title thereto, this Lease shall expire within thirty (30) days of the date of such notice and the Term Basic Rent and any Additional Rent herein reserved shall be apportioned as of said date. However, if the Tenant does not exercise the aforementioned option, or if the taking does not deprive the Tenant of at least twenty-five (25%) percent of the area of the Demised Premises, this Lease shall not expire but the Term Basic Rent and Additional Rent shall be equitably apportioned. If the Landlord and the Tenant fail to agree upon an equitable apportionment, the Term Basic Rent and Additional Rent for the Building, after such taking, shall be determined in accordance with the Commercial Rules of the American Arbitration Association, and the arbitrator shall be empowered to assess the costs and expenses of the proceedings as part of the determination. Pending such determination the Tenant shall pay, on account of the Term Basic Rent and Additional Rent, such proportion of the Term Basic Rent and Additional Rent reserved in this Lease as the total area of the Building after the taking bears to the total area of the Building before the taking, subject to adjustment in accordance with the arbitrator’s award. No part of any award shall belong to the Tenant except that nothing contained herein is intended to affect or limit the Tenant’s claim for fixtures or other improvements owned by Tenant provided the same does not diminish the Landlord’s award. It is expressly understood and agreed that the provisions of this Article XI shall not be applicable to any condemnation or taking for governmental occupancy for a limited period of time.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Compliance With Laws, Etc.</w:t>
      </w:r>
    </w:p>
    <w:p>
      <w:pPr>
        <w:spacing w:after="0" w:line="225"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12.01. </w:t>
      </w:r>
      <w:r>
        <w:rPr>
          <w:rFonts w:ascii="Times New Roman" w:cs="Times New Roman" w:eastAsia="Times New Roman" w:hAnsi="Times New Roman"/>
          <w:sz w:val="18"/>
          <w:szCs w:val="18"/>
          <w:color w:val="auto"/>
        </w:rPr>
        <w:t>The Tenant shall not do or permit anything to be done in the Demised Premises which shall constitute a public nuisance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will conflict with the lawfully imposed regulations of the Fire Department or with any insurance policy which would cause an insurer to fail to insure said improvements or any part thereof, subject to the limitations set forth in Section 12.02 hereof and elsewhere in this Lease.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0" w:name="page191"/>
    <w:bookmarkEnd w:id="190"/>
    <w:p>
      <w:pPr>
        <w:jc w:val="both"/>
        <w:ind w:firstLine="1297"/>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12.02. </w:t>
      </w:r>
      <w:r>
        <w:rPr>
          <w:rFonts w:ascii="Times New Roman" w:cs="Times New Roman" w:eastAsia="Times New Roman" w:hAnsi="Times New Roman"/>
          <w:sz w:val="18"/>
          <w:szCs w:val="18"/>
          <w:color w:val="auto"/>
        </w:rPr>
        <w:t>The Tenant shall, at its own expense, obtain all necessary environmental and operating permits and, except as otherwise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herein, comply with all present and future requirements of law and with all present and future ordinances or orders, rules and regulations of federal and any state, municipal or other public authority having jurisdiction over the Demised Premises and relating to Tenant’s business in the Demised Premises (herein called “</w:t>
      </w:r>
      <w:r>
        <w:rPr>
          <w:rFonts w:ascii="Times New Roman" w:cs="Times New Roman" w:eastAsia="Times New Roman" w:hAnsi="Times New Roman"/>
          <w:sz w:val="18"/>
          <w:szCs w:val="18"/>
          <w:b w:val="1"/>
          <w:bCs w:val="1"/>
          <w:i w:val="1"/>
          <w:iCs w:val="1"/>
          <w:color w:val="auto"/>
        </w:rPr>
        <w:t>Legal Requirements</w:t>
      </w:r>
      <w:r>
        <w:rPr>
          <w:rFonts w:ascii="Times New Roman" w:cs="Times New Roman" w:eastAsia="Times New Roman" w:hAnsi="Times New Roman"/>
          <w:sz w:val="18"/>
          <w:szCs w:val="18"/>
          <w:color w:val="auto"/>
        </w:rPr>
        <w:t>”), and except as otherwise set forth in Section 12.01 above, with all requirements of the Fire Insurance Exchange or similar body the non-compliance with which would prevent Landlord from obtaining insurance, and of any liability insurance company insuring the Landlord against liability for accidents in or connected with the Demised Premises, the non-compliance with which would prevent Landlord from obtaining insurance. Tenant shall not be in default hereunder for failure to comply with a Legal Requirement with respect to Tenant's business or method of doing business in the Demised Premises unless such Legal Requirement also relates to the use or occupancy of real estate. This Article XII shall not impose on Tenant at any time any obligation to undertake an obligation of Landlord herein, including, without limitation, any obligation to make any structural alterations required by any Legal Requirement, or to make repairs or alterations to the Demised Premises, unless such repair or alteration is required as a result of Tenant's particular method of doing business in the Demised Premises. Tenant, may at its sole cost and expense and after notice to Landlord by appropriate proceedings prosecuted diligently and in good faith, contest any obligation imposed on Tenant pursuant to this Article and to defer compliance during the pendency of such contest, provided that the failure of Tenant to so comply will not cause a lien against the Demised Premises unless Tenant is willing to and does bond any such lien, or the risk of loss of the Demised Premises through sale, or cause any interference with the sale or financing of the Demised Premises, cause a cancellation of Landlord’s insurance or subject Landlord to any fines, penalties or liability including prosecution for criminal liability or civil penalty, and Tenant furnishes to Landlord security by way of cash, bond, or a letter of credit, reasonably satisfactory to Landlord, against any loss or injury by reason of such contest or delay. Landlord shall cooperate with Tenant in such contest and shall execute any documents reasonably required in connection therewith at no cost or expense to Landlord. Neither Landlord nor Tenant shall be in default under this Section 12.02 if the violation of a Legal Requirement is cured to the satisfaction of the governmental authority that issued the violation.</w:t>
      </w:r>
    </w:p>
    <w:p>
      <w:pPr>
        <w:spacing w:after="0" w:line="192"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12.03. </w:t>
      </w:r>
      <w:r>
        <w:rPr>
          <w:rFonts w:ascii="Times New Roman" w:cs="Times New Roman" w:eastAsia="Times New Roman" w:hAnsi="Times New Roman"/>
          <w:sz w:val="18"/>
          <w:szCs w:val="18"/>
          <w:color w:val="auto"/>
        </w:rPr>
        <w:t>Each party shall deliver to the other, within ten (10) days after request therefor, any information relating to the Demised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or this Lease reasonably required by the other party in order to comply with Legal Requirements.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12.04.</w:t>
      </w:r>
    </w:p>
    <w:p>
      <w:pPr>
        <w:spacing w:after="0" w:line="229" w:lineRule="exact"/>
        <w:rPr>
          <w:sz w:val="20"/>
          <w:szCs w:val="20"/>
          <w:color w:val="auto"/>
        </w:rPr>
      </w:pPr>
    </w:p>
    <w:p>
      <w:pPr>
        <w:ind w:left="1820" w:hanging="515"/>
        <w:spacing w:after="0"/>
        <w:tabs>
          <w:tab w:leader="none" w:pos="18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Article XII, the following terms shall have the meanings set forth below.</w:t>
      </w:r>
    </w:p>
    <w:p>
      <w:pPr>
        <w:spacing w:after="0" w:line="221" w:lineRule="exact"/>
        <w:rPr>
          <w:rFonts w:ascii="Times New Roman" w:cs="Times New Roman" w:eastAsia="Times New Roman" w:hAnsi="Times New Roman"/>
          <w:sz w:val="18"/>
          <w:szCs w:val="18"/>
          <w:color w:val="auto"/>
        </w:rPr>
      </w:pPr>
    </w:p>
    <w:p>
      <w:pPr>
        <w:ind w:left="2160" w:hanging="402"/>
        <w:spacing w:after="0"/>
        <w:tabs>
          <w:tab w:leader="none" w:pos="21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w:t>
      </w:r>
      <w:r>
        <w:rPr>
          <w:rFonts w:ascii="Times New Roman" w:cs="Times New Roman" w:eastAsia="Times New Roman" w:hAnsi="Times New Roman"/>
          <w:sz w:val="18"/>
          <w:szCs w:val="18"/>
          <w:color w:val="auto"/>
        </w:rPr>
        <w:t>” shall mean ambient air, surface water, groundwater, soil, sediment or land.</w:t>
      </w:r>
    </w:p>
    <w:p>
      <w:pPr>
        <w:spacing w:after="0" w:line="225" w:lineRule="exact"/>
        <w:rPr>
          <w:rFonts w:ascii="Times New Roman" w:cs="Times New Roman" w:eastAsia="Times New Roman" w:hAnsi="Times New Roman"/>
          <w:sz w:val="18"/>
          <w:szCs w:val="18"/>
          <w:color w:val="auto"/>
        </w:rPr>
      </w:pPr>
    </w:p>
    <w:p>
      <w:pPr>
        <w:ind w:left="2240" w:hanging="482"/>
        <w:spacing w:after="0"/>
        <w:tabs>
          <w:tab w:leader="none" w:pos="224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Conditions</w:t>
      </w:r>
      <w:r>
        <w:rPr>
          <w:rFonts w:ascii="Times New Roman" w:cs="Times New Roman" w:eastAsia="Times New Roman" w:hAnsi="Times New Roman"/>
          <w:sz w:val="18"/>
          <w:szCs w:val="18"/>
          <w:color w:val="auto"/>
        </w:rPr>
        <w:t>” shall mean any pollution or contamination of, or the Release of Hazardous Materials into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w:t>
      </w:r>
    </w:p>
    <w:p>
      <w:pPr>
        <w:spacing w:after="0" w:line="203" w:lineRule="exact"/>
        <w:rPr>
          <w:sz w:val="20"/>
          <w:szCs w:val="20"/>
          <w:color w:val="auto"/>
        </w:rPr>
      </w:pPr>
    </w:p>
    <w:p>
      <w:pPr>
        <w:jc w:val="both"/>
        <w:ind w:firstLine="1758"/>
        <w:spacing w:after="0" w:line="255" w:lineRule="auto"/>
        <w:tabs>
          <w:tab w:leader="none" w:pos="223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shall mean all federal, state and local laws, ordinances, rules, regulations and legally enforceable policies, now existing or hereafter amended, enacted or promulgated, regarding the environment, health or safety, or Hazardous Materials, which apply to the Demised Premises or its use, including without limitation the Federal Water Pollution Control Act, 33 U.S.C. §§ 1231-1387; the Resource Conservation and Recovery Act, 42 U.S.C. §§ 6901-6991; the Clean Air Act, 42 U.S.C. §§7401-7642; the Comprehensive Environmental Response Compensation and Liability Act, 42 U.S.C. §§ 9601-9675 (“</w:t>
      </w:r>
      <w:r>
        <w:rPr>
          <w:rFonts w:ascii="Times New Roman" w:cs="Times New Roman" w:eastAsia="Times New Roman" w:hAnsi="Times New Roman"/>
          <w:sz w:val="18"/>
          <w:szCs w:val="18"/>
          <w:b w:val="1"/>
          <w:bCs w:val="1"/>
          <w:i w:val="1"/>
          <w:iCs w:val="1"/>
          <w:color w:val="auto"/>
        </w:rPr>
        <w:t>CERCLA</w:t>
      </w:r>
      <w:r>
        <w:rPr>
          <w:rFonts w:ascii="Times New Roman" w:cs="Times New Roman" w:eastAsia="Times New Roman" w:hAnsi="Times New Roman"/>
          <w:sz w:val="18"/>
          <w:szCs w:val="18"/>
          <w:color w:val="auto"/>
        </w:rPr>
        <w:t>”); the Toxic Substances Control Act, 15 U.S.C. §§ 2601-2629; the New Jersey Spill Compensation and Control Act, N.J.S.A. 58:10-23.11 et seq. (“</w:t>
      </w:r>
      <w:r>
        <w:rPr>
          <w:rFonts w:ascii="Times New Roman" w:cs="Times New Roman" w:eastAsia="Times New Roman" w:hAnsi="Times New Roman"/>
          <w:sz w:val="18"/>
          <w:szCs w:val="18"/>
          <w:b w:val="1"/>
          <w:bCs w:val="1"/>
          <w:i w:val="1"/>
          <w:iCs w:val="1"/>
          <w:color w:val="auto"/>
        </w:rPr>
        <w:t>Spill Act</w:t>
      </w:r>
      <w:r>
        <w:rPr>
          <w:rFonts w:ascii="Times New Roman" w:cs="Times New Roman" w:eastAsia="Times New Roman" w:hAnsi="Times New Roman"/>
          <w:sz w:val="18"/>
          <w:szCs w:val="18"/>
          <w:color w:val="auto"/>
        </w:rPr>
        <w:t>”); the New Jersey Water Pollution Control Act, N.J.S.A. 58:10A-1 et seq.; the New Jersey Solid Waste Management Act, N.J.S.A. 13:1E-1 et seq.; the New Jersey Industrial Site Recovery Act, N.J.S.A. 13:1K-6 et seq. (“</w:t>
      </w:r>
      <w:r>
        <w:rPr>
          <w:rFonts w:ascii="Times New Roman" w:cs="Times New Roman" w:eastAsia="Times New Roman" w:hAnsi="Times New Roman"/>
          <w:sz w:val="18"/>
          <w:szCs w:val="18"/>
          <w:b w:val="1"/>
          <w:bCs w:val="1"/>
          <w:i w:val="1"/>
          <w:iCs w:val="1"/>
          <w:color w:val="auto"/>
        </w:rPr>
        <w:t>ISRA</w:t>
      </w:r>
      <w:r>
        <w:rPr>
          <w:rFonts w:ascii="Times New Roman" w:cs="Times New Roman" w:eastAsia="Times New Roman" w:hAnsi="Times New Roman"/>
          <w:sz w:val="18"/>
          <w:szCs w:val="18"/>
          <w:color w:val="auto"/>
        </w:rPr>
        <w:t>”); the New Jersey Underground Storage of Hazardous Substances Act, N.J.S.A. 58:10A-21 et seq.; the Site Remediation Reform Act, N.J.S.A. 58:10C-1 et seq. (the “</w:t>
      </w:r>
      <w:r>
        <w:rPr>
          <w:rFonts w:ascii="Times New Roman" w:cs="Times New Roman" w:eastAsia="Times New Roman" w:hAnsi="Times New Roman"/>
          <w:sz w:val="18"/>
          <w:szCs w:val="18"/>
          <w:b w:val="1"/>
          <w:bCs w:val="1"/>
          <w:i w:val="1"/>
          <w:iCs w:val="1"/>
          <w:color w:val="auto"/>
        </w:rPr>
        <w:t>SRRA</w:t>
      </w:r>
      <w:r>
        <w:rPr>
          <w:rFonts w:ascii="Times New Roman" w:cs="Times New Roman" w:eastAsia="Times New Roman" w:hAnsi="Times New Roman"/>
          <w:sz w:val="18"/>
          <w:szCs w:val="18"/>
          <w:color w:val="auto"/>
        </w:rPr>
        <w:t>”); and the Brownfield and Contaminated Site Remediation Act, N.J.S.A. 58:10B-1 et seq.; and the rules and regulations promulgated thereunder.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91" w:name="page192"/>
    <w:bookmarkEnd w:id="191"/>
    <w:p>
      <w:pPr>
        <w:ind w:left="-20" w:firstLine="1758"/>
        <w:spacing w:after="0" w:line="286" w:lineRule="auto"/>
        <w:tabs>
          <w:tab w:leader="none" w:pos="212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shall mean any hazardous substance, hazardous waste, toxic substance, pollutant or contaminant as any of those terms are defined in any Environmental Laws, and any substance the presence of which may result in liability under common law.</w:t>
      </w:r>
    </w:p>
    <w:p>
      <w:pPr>
        <w:spacing w:after="0" w:line="154" w:lineRule="exact"/>
        <w:rPr>
          <w:rFonts w:ascii="Times New Roman" w:cs="Times New Roman" w:eastAsia="Times New Roman" w:hAnsi="Times New Roman"/>
          <w:sz w:val="18"/>
          <w:szCs w:val="18"/>
          <w:color w:val="auto"/>
        </w:rPr>
      </w:pPr>
    </w:p>
    <w:p>
      <w:pPr>
        <w:ind w:left="-20" w:firstLine="1758"/>
        <w:spacing w:after="0" w:line="286" w:lineRule="auto"/>
        <w:tabs>
          <w:tab w:leader="none" w:pos="221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shall mean any intentional or unintentional release, discharge, burial, spill, leaking, pumping, pouring, emitting, emptying, injection, disposal or dumping into the Environment.</w:t>
      </w:r>
    </w:p>
    <w:p>
      <w:pPr>
        <w:spacing w:after="0" w:line="154" w:lineRule="exact"/>
        <w:rPr>
          <w:rFonts w:ascii="Times New Roman" w:cs="Times New Roman" w:eastAsia="Times New Roman" w:hAnsi="Times New Roman"/>
          <w:sz w:val="18"/>
          <w:szCs w:val="18"/>
          <w:color w:val="auto"/>
        </w:rPr>
      </w:pPr>
    </w:p>
    <w:p>
      <w:pPr>
        <w:ind w:left="-20" w:right="20" w:firstLine="1758"/>
        <w:spacing w:after="0" w:line="286" w:lineRule="auto"/>
        <w:tabs>
          <w:tab w:leader="none" w:pos="2139"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Remediation Standards</w:t>
      </w:r>
      <w:r>
        <w:rPr>
          <w:rFonts w:ascii="Times New Roman" w:cs="Times New Roman" w:eastAsia="Times New Roman" w:hAnsi="Times New Roman"/>
          <w:sz w:val="18"/>
          <w:szCs w:val="18"/>
          <w:color w:val="auto"/>
        </w:rPr>
        <w:t>” means either numeric or narrative standards to which Hazardous Materials in the Environment must be remediated as established pursuant to Environmental Laws.</w:t>
      </w:r>
    </w:p>
    <w:p>
      <w:pPr>
        <w:spacing w:after="0" w:line="158" w:lineRule="exact"/>
        <w:rPr>
          <w:rFonts w:ascii="Times New Roman" w:cs="Times New Roman" w:eastAsia="Times New Roman" w:hAnsi="Times New Roman"/>
          <w:sz w:val="18"/>
          <w:szCs w:val="18"/>
          <w:color w:val="auto"/>
        </w:rPr>
      </w:pPr>
    </w:p>
    <w:p>
      <w:pPr>
        <w:ind w:left="1800" w:hanging="515"/>
        <w:spacing w:after="0"/>
        <w:tabs>
          <w:tab w:leader="none" w:pos="18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Representation and Warranties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firstLine="1758"/>
        <w:spacing w:after="0" w:line="282" w:lineRule="auto"/>
        <w:tabs>
          <w:tab w:leader="none" w:pos="210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Landlord’s knowledge there are no Environmental Conditions on, at, under or emanating from the Demised Premises which require remediation pursuant to Environmental Laws.</w:t>
      </w:r>
    </w:p>
    <w:p>
      <w:pPr>
        <w:spacing w:after="0" w:line="161" w:lineRule="exact"/>
        <w:rPr>
          <w:rFonts w:ascii="Times New Roman" w:cs="Times New Roman" w:eastAsia="Times New Roman" w:hAnsi="Times New Roman"/>
          <w:sz w:val="18"/>
          <w:szCs w:val="18"/>
          <w:color w:val="auto"/>
        </w:rPr>
      </w:pPr>
    </w:p>
    <w:p>
      <w:pPr>
        <w:ind w:left="-20" w:firstLine="1758"/>
        <w:spacing w:after="0" w:line="282" w:lineRule="auto"/>
        <w:tabs>
          <w:tab w:leader="none" w:pos="2182"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has not received notice of any pending or threatened claims, actions, investigations or proceedings of any kind asserted, issued or commenced pursuant to any Environmental Laws against Landlord or the Demised Premises.</w:t>
      </w:r>
    </w:p>
    <w:p>
      <w:pPr>
        <w:spacing w:after="0" w:line="161" w:lineRule="exact"/>
        <w:rPr>
          <w:rFonts w:ascii="Times New Roman" w:cs="Times New Roman" w:eastAsia="Times New Roman" w:hAnsi="Times New Roman"/>
          <w:sz w:val="18"/>
          <w:szCs w:val="18"/>
          <w:color w:val="auto"/>
        </w:rPr>
      </w:pPr>
    </w:p>
    <w:p>
      <w:pPr>
        <w:jc w:val="both"/>
        <w:ind w:left="-20" w:firstLine="1758"/>
        <w:spacing w:after="0" w:line="266" w:lineRule="auto"/>
        <w:tabs>
          <w:tab w:leader="none" w:pos="2123"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does not have in its possession, custody or control any reports and audits, summaries, proposals, recommendations, work plans and field and laboratory data relating or referring to environmental matters respecting the Demised Premises, including any Environmental Conditions on, at, under or emanating from the Demised Premises.</w:t>
      </w:r>
    </w:p>
    <w:p>
      <w:pPr>
        <w:spacing w:after="0" w:line="176" w:lineRule="exact"/>
        <w:rPr>
          <w:rFonts w:ascii="Times New Roman" w:cs="Times New Roman" w:eastAsia="Times New Roman" w:hAnsi="Times New Roman"/>
          <w:sz w:val="18"/>
          <w:szCs w:val="18"/>
          <w:color w:val="auto"/>
        </w:rPr>
      </w:pPr>
    </w:p>
    <w:p>
      <w:pPr>
        <w:jc w:val="both"/>
        <w:ind w:left="-20" w:firstLine="1758"/>
        <w:spacing w:after="0" w:line="266" w:lineRule="auto"/>
        <w:tabs>
          <w:tab w:leader="none" w:pos="2092"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ISRA compliance proceedings respecting Indopco Incorporated (Case No. E97238) and Permabond International (Case No. E2000007), which to Landlord’s knowledge were completed in compliance with the requirements of ISRA, there have been no site remediation proceedings conducted under or pursuant to Environmental Laws at or with respect to the Demised Premises.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Section 12.05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Tenant’s Covenants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 w:firstLine="1305"/>
        <w:spacing w:after="0" w:line="282" w:lineRule="auto"/>
        <w:tabs>
          <w:tab w:leader="none" w:pos="176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set forth in this Section 12.05, and subject to the limitations set forth in Section 12.02, Tenant shall conduct its operations at, and maintain, the Demised Premises in compliance with all applicable Environmental Laws.</w:t>
      </w:r>
    </w:p>
    <w:p>
      <w:pPr>
        <w:spacing w:after="0" w:line="157" w:lineRule="exact"/>
        <w:rPr>
          <w:rFonts w:ascii="Times New Roman" w:cs="Times New Roman" w:eastAsia="Times New Roman" w:hAnsi="Times New Roman"/>
          <w:sz w:val="18"/>
          <w:szCs w:val="18"/>
          <w:color w:val="auto"/>
        </w:rPr>
      </w:pPr>
    </w:p>
    <w:p>
      <w:pPr>
        <w:jc w:val="both"/>
        <w:ind w:left="-20" w:firstLine="1305"/>
        <w:spacing w:after="0" w:line="259" w:lineRule="auto"/>
        <w:tabs>
          <w:tab w:leader="none" w:pos="184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hereby represents that the North American Industry Classification System (hereinafter “</w:t>
      </w:r>
      <w:r>
        <w:rPr>
          <w:rFonts w:ascii="Times New Roman" w:cs="Times New Roman" w:eastAsia="Times New Roman" w:hAnsi="Times New Roman"/>
          <w:sz w:val="18"/>
          <w:szCs w:val="18"/>
          <w:b w:val="1"/>
          <w:bCs w:val="1"/>
          <w:i w:val="1"/>
          <w:iCs w:val="1"/>
          <w:color w:val="auto"/>
        </w:rPr>
        <w:t>NAICS</w:t>
      </w:r>
      <w:r>
        <w:rPr>
          <w:rFonts w:ascii="Times New Roman" w:cs="Times New Roman" w:eastAsia="Times New Roman" w:hAnsi="Times New Roman"/>
          <w:sz w:val="18"/>
          <w:szCs w:val="18"/>
          <w:color w:val="auto"/>
        </w:rPr>
        <w:t>”) code that best describes Tenant’s operations at the Demised Premises, which shall consist of the operations described in Section 5.01 hereof, is 423430, as determined by reference to the NAICS codes dated and published in 2002 by the Executive Office of the President of the United States, Office of Management and Budget, ISBN 0-934213-87-9 NTIS PB2002-502024, which NAICS code is not subject to ISRA. Tenant shall not conduct operations at the Demised Premises which would cause the Demised Premised to be an “industrial establishment” pursuant to ISRA.</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1" w:right="239" w:bottom="1440" w:gutter="0" w:footer="0" w:header="0"/>
        </w:sectPr>
      </w:pPr>
    </w:p>
    <w:bookmarkStart w:id="192" w:name="page193"/>
    <w:bookmarkEnd w:id="192"/>
    <w:p>
      <w:pPr>
        <w:jc w:val="both"/>
        <w:ind w:left="-20" w:firstLine="1305"/>
        <w:spacing w:after="0" w:line="252" w:lineRule="auto"/>
        <w:tabs>
          <w:tab w:leader="none" w:pos="179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Tenant shall not cause, or permit any of its employees, contractors, invitees or licensees (the “</w:t>
      </w:r>
      <w:r>
        <w:rPr>
          <w:rFonts w:ascii="Times New Roman" w:cs="Times New Roman" w:eastAsia="Times New Roman" w:hAnsi="Times New Roman"/>
          <w:sz w:val="18"/>
          <w:szCs w:val="18"/>
          <w:b w:val="1"/>
          <w:bCs w:val="1"/>
          <w:i w:val="1"/>
          <w:iCs w:val="1"/>
          <w:color w:val="auto"/>
        </w:rPr>
        <w:t>Tenant Parties</w:t>
      </w:r>
      <w:r>
        <w:rPr>
          <w:rFonts w:ascii="Times New Roman" w:cs="Times New Roman" w:eastAsia="Times New Roman" w:hAnsi="Times New Roman"/>
          <w:sz w:val="18"/>
          <w:szCs w:val="18"/>
          <w:color w:val="auto"/>
        </w:rPr>
        <w:t>”) to cause, a Release of Hazardous Materials on, at or under the Demised Premises (a “</w:t>
      </w:r>
      <w:r>
        <w:rPr>
          <w:rFonts w:ascii="Times New Roman" w:cs="Times New Roman" w:eastAsia="Times New Roman" w:hAnsi="Times New Roman"/>
          <w:sz w:val="18"/>
          <w:szCs w:val="18"/>
          <w:b w:val="1"/>
          <w:bCs w:val="1"/>
          <w:i w:val="1"/>
          <w:iCs w:val="1"/>
          <w:color w:val="auto"/>
        </w:rPr>
        <w:t>Tenant Release</w:t>
      </w:r>
      <w:r>
        <w:rPr>
          <w:rFonts w:ascii="Times New Roman" w:cs="Times New Roman" w:eastAsia="Times New Roman" w:hAnsi="Times New Roman"/>
          <w:sz w:val="18"/>
          <w:szCs w:val="18"/>
          <w:color w:val="auto"/>
        </w:rPr>
        <w:t>”). In the event of a Tenant Release, Tenant shall retain a Licensed Site Remediation Professional reasonably satisfactory to Landlord and conduct at its own cost and expense, the investigation or remediation of such Tenant Release in accordance with the requirements of applicable Environmental Laws and consistent with the non-residential use of the Demised Premises, including Remediation Standards applicable to non-residential uses and properties, the preparation of all required reports and forms including, without limitation, the preparation of a Remedial Action Workplan (if required), and the submission of all required Remediation Funding Sources (as such term is defined in the SRRA), provided Tenant shall not propose or implement any engineering control or institutional control at the Demised Premises without Landlord’s consent, which consent shall not be unreasonably withheld, delayed or conditioned. In the event that Landlord shall approve any engineering control or institutional control, Tenant shall be responsible, but only during the Term and prior to the expiration or earlier termination of this Lease, to comply at Tenant’s sole cost and expense with the conditions of same, including, without limitation by complying with any “remedial action permit”; provided, however, that, at the expiration or earlier termination of the Term, Tenant shall (i) pay to Landlord the amount of any financial assurance required under such remedial action permit and Landlord shall use such funds to post new financial assurance to replace the financial assurance posted by Tenant, and (ii) Tenant shall reimburse Landlord within fifteen (15) days of Tenant’s receipt of a bill (and reasonable documentation requested by Tenant) for out-of-pocket costs and expenses reasonably incurred by Landlord to comply with the requirements of such engineering and/or institutional controls and such remedial action permit, which obligation of Landlord and Tenant shall survive the termination of the Lease until such time as such controls or permits are no longer required at the Premises by any Governmental Authority. Tenant shall have no obligation to pay for, address, investigate or remediate, and Landlord shall be solely responsible at its cost and expense to address, investigate and remediate (i) any Release of Hazardous Materials that is not a Tenant Release, including any Release that is caused by Landlord, or (ii) any Environmental Conditions on, at, under or emanating from the Demised Premises occurring or existing on or before the Commencement Date (collectively, the “</w:t>
      </w:r>
      <w:r>
        <w:rPr>
          <w:rFonts w:ascii="Times New Roman" w:cs="Times New Roman" w:eastAsia="Times New Roman" w:hAnsi="Times New Roman"/>
          <w:sz w:val="18"/>
          <w:szCs w:val="18"/>
          <w:b w:val="1"/>
          <w:bCs w:val="1"/>
          <w:i w:val="1"/>
          <w:iCs w:val="1"/>
          <w:color w:val="auto"/>
        </w:rPr>
        <w:t>Existing Conditions</w:t>
      </w:r>
      <w:r>
        <w:rPr>
          <w:rFonts w:ascii="Times New Roman" w:cs="Times New Roman" w:eastAsia="Times New Roman" w:hAnsi="Times New Roman"/>
          <w:sz w:val="18"/>
          <w:szCs w:val="18"/>
          <w:color w:val="auto"/>
        </w:rPr>
        <w:t>”). Without in any way limiting the generality of the foregoing, in the event remediation shall be required, Tenant shall be responsible for all costs of investigation and remediation related to a Tenant Release and Landlord shall be responsible for all costs of investigation and remediation related to the Existing Conditions and shall conduct such investigations and remediation at such times, in such manner and with such advance notice to Tenant so as not to unreasonable interfere with Tenant’s use of or operations at the Demised Premises.</w:t>
      </w:r>
    </w:p>
    <w:p>
      <w:pPr>
        <w:spacing w:after="0" w:line="192" w:lineRule="exact"/>
        <w:rPr>
          <w:rFonts w:ascii="Times New Roman" w:cs="Times New Roman" w:eastAsia="Times New Roman" w:hAnsi="Times New Roman"/>
          <w:sz w:val="18"/>
          <w:szCs w:val="18"/>
          <w:color w:val="auto"/>
        </w:rPr>
      </w:pPr>
    </w:p>
    <w:p>
      <w:pPr>
        <w:jc w:val="both"/>
        <w:ind w:left="-20" w:firstLine="1305"/>
        <w:spacing w:after="0" w:line="255" w:lineRule="auto"/>
        <w:tabs>
          <w:tab w:leader="none" w:pos="181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no expense to Landlord, Tenant shall promptly provide all information reasonably requested by Landlord or any Governmental Authority regarding Tenant’s compliance with applicable Environmental Laws or Tenant’s satisfaction of its obligations under this Section 12.05, and, at no expense to Tenant, Landlord shall promptly provide all information reasonably requested by Tenant or any Governmental Authority regarding Landlord’s compliance with applicable Environmental Laws or Landlord’s compliance with its obligations under this Section 12.05. Consistent with the foregoing sentence, Landlord and Tenant shall sign any certification or affidavit concerning compliance with Environmental Laws submitted to it by the other which is true, accurate and complete and reasonably acceptable to such party’s counsel; if a certification or affidavit is not true, accurate and complete, such party shall provide the necessary information to make it true, accurate or complete and shall then sign same.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1" w:right="239" w:bottom="1440" w:gutter="0" w:footer="0" w:header="0"/>
        </w:sectPr>
      </w:pPr>
    </w:p>
    <w:bookmarkStart w:id="193" w:name="page194"/>
    <w:bookmarkEnd w:id="193"/>
    <w:p>
      <w:pPr>
        <w:jc w:val="both"/>
        <w:ind w:left="-20" w:firstLine="1305"/>
        <w:spacing w:after="0" w:line="261" w:lineRule="auto"/>
        <w:tabs>
          <w:tab w:leader="none" w:pos="187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within two (2) business days’ supply Landlord with copies of any notices, correspondence and submissions made by Tenant to, or received by Tenant from, the NJDEP, the USEPA or any other Governmental Authority concerning Tenant’s compliance with Environmental Laws. Tenant shall provide Landlord with any report, workplan or proposal for the performance of investigatory or remedial actions which Tenant intends to submit to any governmental authority no less than five (5) days prior to such submission.</w:t>
      </w:r>
    </w:p>
    <w:p>
      <w:pPr>
        <w:spacing w:after="0" w:line="180" w:lineRule="exact"/>
        <w:rPr>
          <w:rFonts w:ascii="Times New Roman" w:cs="Times New Roman" w:eastAsia="Times New Roman" w:hAnsi="Times New Roman"/>
          <w:sz w:val="18"/>
          <w:szCs w:val="18"/>
          <w:color w:val="auto"/>
        </w:rPr>
      </w:pPr>
    </w:p>
    <w:p>
      <w:pPr>
        <w:ind w:left="-20" w:firstLine="1305"/>
        <w:spacing w:after="0" w:line="282" w:lineRule="auto"/>
        <w:tabs>
          <w:tab w:leader="none" w:pos="201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install any Underground Storage Tanks, as that term is defined in any Environmental Laws, or any other underground or above ground tanks or vessels for the storage of Hazardous Materials on the Demised Premises.</w:t>
      </w:r>
    </w:p>
    <w:p>
      <w:pPr>
        <w:spacing w:after="0" w:line="161" w:lineRule="exact"/>
        <w:rPr>
          <w:rFonts w:ascii="Times New Roman" w:cs="Times New Roman" w:eastAsia="Times New Roman" w:hAnsi="Times New Roman"/>
          <w:sz w:val="18"/>
          <w:szCs w:val="18"/>
          <w:color w:val="auto"/>
        </w:rPr>
      </w:pPr>
    </w:p>
    <w:p>
      <w:pPr>
        <w:jc w:val="both"/>
        <w:ind w:left="-20" w:firstLine="1305"/>
        <w:spacing w:after="0" w:line="261" w:lineRule="auto"/>
        <w:tabs>
          <w:tab w:leader="none" w:pos="176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upon the reasonable request of the Landlord, and after providing reasonable prior notice, Tenant shall give Landlord and its representatives access to the Demised Premises during normal business hours, accompanied by a representative of Tenant, in order to inspect the Demised Premises, inspect any documents pertaining to Tenant’s compliance with Environmental Laws, or perform any similar evaluations in order to determine that the Demised Premises or its use by Tenant complies with Environmental Laws.</w:t>
      </w:r>
    </w:p>
    <w:p>
      <w:pPr>
        <w:spacing w:after="0" w:line="180" w:lineRule="exact"/>
        <w:rPr>
          <w:rFonts w:ascii="Times New Roman" w:cs="Times New Roman" w:eastAsia="Times New Roman" w:hAnsi="Times New Roman"/>
          <w:sz w:val="18"/>
          <w:szCs w:val="18"/>
          <w:color w:val="auto"/>
        </w:rPr>
      </w:pPr>
    </w:p>
    <w:p>
      <w:pPr>
        <w:jc w:val="both"/>
        <w:ind w:left="-20" w:firstLine="1305"/>
        <w:spacing w:after="0" w:line="254" w:lineRule="auto"/>
        <w:tabs>
          <w:tab w:leader="none" w:pos="198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the expiration or earlier termination of this Lease, there exists a violation of, or failure to comply with, Environmental Laws at the Demised for which Tenant is responsible under Environmental Laws and this Lease, or if Tenant has failed to fulfill its obligations under this Section 12.05, and Landlord, despite commercially reasonable efforts, is unable to rent the entire Demised Premises as a result thereof, then Landlord shall provide Tenant with a thirty (30) day period within which to cure such violation or satisfy such obligation and, if Tenant has not cured such violation or satisfied such obligation within such thirty (30) day period and Landlord is still, despite its commercially reasonable efforts, prevented from renting the Demised Premises as a result thereof, Landlord shall have the right to treat Tenant as a “holdover tenant” pursuant to Section 17.01 hereof at a Monthly Basic Rent at the rate required under Section 17.01 until the earlier of such time as Tenant has cured such violation or satisfied such obligation or Landlord is otherwise able to rent the Demised Premises. During such period, Tenant shall have access to the Demised Premises to perform the work necessary to cure the violation or satisfy the obligation subject to the indemnification and insurance requirements under this Lease.</w:t>
      </w:r>
    </w:p>
    <w:p>
      <w:pPr>
        <w:spacing w:after="0" w:line="189" w:lineRule="exact"/>
        <w:rPr>
          <w:rFonts w:ascii="Times New Roman" w:cs="Times New Roman" w:eastAsia="Times New Roman" w:hAnsi="Times New Roman"/>
          <w:sz w:val="18"/>
          <w:szCs w:val="18"/>
          <w:color w:val="auto"/>
        </w:rPr>
      </w:pPr>
    </w:p>
    <w:p>
      <w:pPr>
        <w:jc w:val="both"/>
        <w:ind w:left="-20" w:firstLine="1305"/>
        <w:spacing w:after="0" w:line="261" w:lineRule="auto"/>
        <w:tabs>
          <w:tab w:leader="none" w:pos="185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lien shall be filed pursuant to Environmental Laws (including the Spill Act or CERCLA) against the Demised Premises during the Term resulting from a Tenant Release, then Tenant shall, within thirty (30) days from the time Tenant is given notice of the lien, or within such shorter period of time in the event that the United States, New Jersey, or any Governmental Authority has commenced steps to cause the Demised Premises to be sold pursuant to the lien, pay or bond the claim and remove the lien from the Demised Premises.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194" w:name="page195"/>
    <w:bookmarkEnd w:id="194"/>
    <w:p>
      <w:pPr>
        <w:ind w:left="1300"/>
        <w:spacing w:after="0"/>
        <w:rPr>
          <w:sz w:val="20"/>
          <w:szCs w:val="20"/>
          <w:color w:val="auto"/>
        </w:rPr>
      </w:pPr>
      <w:r>
        <w:rPr>
          <w:rFonts w:ascii="Times New Roman" w:cs="Times New Roman" w:eastAsia="Times New Roman" w:hAnsi="Times New Roman"/>
          <w:sz w:val="18"/>
          <w:szCs w:val="18"/>
          <w:b w:val="1"/>
          <w:bCs w:val="1"/>
          <w:color w:val="auto"/>
        </w:rPr>
        <w:t>Section 12.06</w:t>
      </w:r>
      <w:r>
        <w:rPr>
          <w:rFonts w:ascii="Times New Roman" w:cs="Times New Roman" w:eastAsia="Times New Roman" w:hAnsi="Times New Roman"/>
          <w:sz w:val="18"/>
          <w:szCs w:val="18"/>
          <w:color w:val="auto"/>
        </w:rPr>
        <w:t>. Indemnification.</w:t>
      </w:r>
    </w:p>
    <w:p>
      <w:pPr>
        <w:spacing w:after="0" w:line="229" w:lineRule="exact"/>
        <w:rPr>
          <w:sz w:val="20"/>
          <w:szCs w:val="20"/>
          <w:color w:val="auto"/>
        </w:rPr>
      </w:pPr>
    </w:p>
    <w:p>
      <w:pPr>
        <w:jc w:val="both"/>
        <w:ind w:firstLine="1305"/>
        <w:spacing w:after="0" w:line="253" w:lineRule="auto"/>
        <w:tabs>
          <w:tab w:leader="none" w:pos="190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Tenant</w:t>
      </w:r>
      <w:r>
        <w:rPr>
          <w:rFonts w:ascii="Times New Roman" w:cs="Times New Roman" w:eastAsia="Times New Roman" w:hAnsi="Times New Roman"/>
          <w:sz w:val="18"/>
          <w:szCs w:val="18"/>
          <w:color w:val="auto"/>
        </w:rPr>
        <w:t>. Tenant shall indemnify, defend and hold Landlord and its managing agent harmless from and against all fines, suits, procedures, claims, liabilities, costs (including sampling, monitoring and remediation costs, attorneys’, consultants’ and engineering fees and disbursements, costs of defense and interest), actions of any kind and compensatory damages (including damages on account of personal injury or death, property damage or damage to natural resources) (collectively, “</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imposed on, incurred by or asserted against Landlord or for which Landlord may be liable or obligated, arising out of or in any way connected with (i) any Tenant Releases, or (ii) Tenant’s failure to comply with the provisions of Section 12.05 hereof. Tenant’s obligations under this Section 12.06(a) shall be subject to the following conditions: (1) Landlord promptly notifies Tenant in writing of any claim or Losses and fully cooperates with Tenant (at no cost to Landlord) in the defense of such claim or the disposition of such Losses; (2) Tenant shall have sole control of such defense and all negotiations for any settlement; and (3) Landlord shall refrain from admitting liability or otherwise compromising the claim in whole or in part without the express prior written permission of Tenant. Losses shall not include any indirect, consequential, inferred, presumed, special, incidental, or exemplary, punitive or “stinging,” damages, or any of the like, of any kind or nature, no matter how denominated, titled or labeled, whether foreseen or unforeseen, including, without limitation, damages for loss of revenue or loss of profits</w:t>
      </w:r>
    </w:p>
    <w:p>
      <w:pPr>
        <w:spacing w:after="0" w:line="192" w:lineRule="exact"/>
        <w:rPr>
          <w:rFonts w:ascii="Times New Roman" w:cs="Times New Roman" w:eastAsia="Times New Roman" w:hAnsi="Times New Roman"/>
          <w:sz w:val="18"/>
          <w:szCs w:val="18"/>
          <w:color w:val="auto"/>
        </w:rPr>
      </w:pPr>
    </w:p>
    <w:p>
      <w:pPr>
        <w:jc w:val="both"/>
        <w:ind w:firstLine="1305"/>
        <w:spacing w:after="0" w:line="254" w:lineRule="auto"/>
        <w:tabs>
          <w:tab w:leader="none" w:pos="199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Landlord</w:t>
      </w:r>
      <w:r>
        <w:rPr>
          <w:rFonts w:ascii="Times New Roman" w:cs="Times New Roman" w:eastAsia="Times New Roman" w:hAnsi="Times New Roman"/>
          <w:sz w:val="18"/>
          <w:szCs w:val="18"/>
          <w:color w:val="auto"/>
        </w:rPr>
        <w:t>. Landlord shall indemnify, defend and hold Tenant and the Tenant Parties harmless from and against all Losses imposed on, incurred by or asserted against Tenant or any of the Tenant Parties or for which Tenant or any of the Tenant Parties may be liable or obligated, arising out of or in any way connected with (i) any Existing Conditions, (ii) any violations of or non-compliance with Environmental Laws applicable to the Demised Premises by Landlord during the Term, (iii) Landlord’s failure to satisfy any of its obligations under Section 12.05 hereof; or (iv) Landlord’s breach of any of its representations and warranties set forth in Section 12.04(b) hereof. Landlord’s obligations under this Section 12.06(b) shall be subject to the following conditions: (1) Tenant promptly notifies Landlord in writing of any claim or Losses and fully cooperates with Landlord (at no cost to Tenant) in the defense of such claim or the disposition of such Losses; (2) Landlord shall have sole control of such defense and all negotiations for any settlement; and (3) Tenant shall refrain from admitting liability or otherwise compromising the claim in whole or in part without the express prior written permission of Landlord.</w:t>
      </w:r>
    </w:p>
    <w:p>
      <w:pPr>
        <w:spacing w:after="0" w:line="185" w:lineRule="exact"/>
        <w:rPr>
          <w:sz w:val="20"/>
          <w:szCs w:val="20"/>
          <w:color w:val="auto"/>
        </w:rPr>
      </w:pPr>
    </w:p>
    <w:p>
      <w:pPr>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Section 12.07</w:t>
      </w:r>
      <w:r>
        <w:rPr>
          <w:rFonts w:ascii="Times New Roman" w:cs="Times New Roman" w:eastAsia="Times New Roman" w:hAnsi="Times New Roman"/>
          <w:sz w:val="18"/>
          <w:szCs w:val="18"/>
          <w:color w:val="auto"/>
        </w:rPr>
        <w:t>. Survival. The respective obligations of Tenant and Landlord under Sections 12.05 and 12.06 hereof, shall survive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or earlier termination of this Lease.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Subordination/Estoppels</w:t>
      </w:r>
    </w:p>
    <w:p>
      <w:pPr>
        <w:spacing w:after="0" w:line="225"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13.01. </w:t>
      </w:r>
      <w:r>
        <w:rPr>
          <w:rFonts w:ascii="Times New Roman" w:cs="Times New Roman" w:eastAsia="Times New Roman" w:hAnsi="Times New Roman"/>
          <w:sz w:val="18"/>
          <w:szCs w:val="18"/>
          <w:color w:val="auto"/>
        </w:rPr>
        <w:t>Landlord represents that there are no mortgages currently encumbering the Demised Premises. This Lease shall be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subordinate to all future institutional first mortgages affecting the Demised Premises, provided that any such first mortgagee shall provide a subordination, non-disturbance and attornment agreement (“</w:t>
      </w:r>
      <w:r>
        <w:rPr>
          <w:rFonts w:ascii="Times New Roman" w:cs="Times New Roman" w:eastAsia="Times New Roman" w:hAnsi="Times New Roman"/>
          <w:sz w:val="18"/>
          <w:szCs w:val="18"/>
          <w:b w:val="1"/>
          <w:bCs w:val="1"/>
          <w:i w:val="1"/>
          <w:iCs w:val="1"/>
          <w:u w:val="single" w:color="auto"/>
          <w:color w:val="auto"/>
        </w:rPr>
        <w:t>SNDA</w:t>
      </w:r>
      <w:r>
        <w:rPr>
          <w:rFonts w:ascii="Times New Roman" w:cs="Times New Roman" w:eastAsia="Times New Roman" w:hAnsi="Times New Roman"/>
          <w:sz w:val="18"/>
          <w:szCs w:val="18"/>
          <w:color w:val="auto"/>
        </w:rPr>
        <w:t>”) that will provide that in the event of a foreclosure of such mortgage, the mortgagee and/or subsequent purchaser shall honor all of Tenant’s rights under this Lease, including without limitation, any free rent periods and renewal rights and not disturb the Tenant’s possession of the Demised Premises so long as the Tenant is not in default under any provision of this Lease after receipt of notice thereof and the expiration of all applicable cure periods set forth herein. The Tenant shall execute any reasonable instrument which may be deemed necessary or desirable by the mortgagee and/or Landlord to further evidence the subordination of this Lease to any such first mortgage. An institutional first mortgage shall be construed to be one in favor of a pension trust fund, insurance company, bank or other institutional lender. The Landlord may assign this Lease to any such mortgagee in connection with any mortgage lien superior to this Lease, and the Tenant shall execute any reasonable instrument which may be necessary or desirable by the Landlord or the mortgagee in connection with said assignment. Any expense incurred in the preparing or recording of such assignment or subordination to any mortgagee shall be without expense or cost to the Tenant.</w:t>
      </w:r>
    </w:p>
    <w:p>
      <w:pPr>
        <w:spacing w:after="0" w:line="183"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13.02. </w:t>
      </w:r>
      <w:r>
        <w:rPr>
          <w:rFonts w:ascii="Times New Roman" w:cs="Times New Roman" w:eastAsia="Times New Roman" w:hAnsi="Times New Roman"/>
          <w:sz w:val="18"/>
          <w:szCs w:val="18"/>
          <w:color w:val="auto"/>
        </w:rPr>
        <w:t>The Tenant further agrees, within ten (10) days of Landlord’s written request, to certify by written instrument duly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acknowledged to any institutional first mortgagee or purchaser, or any proposed institutional first mortgage lender or purchaser, that this Lease is in full force and effect, or if not, in what respect it is not, that this Lease has not been modified, or the extent to which it has been modified, that there are no existing defaults hereunder to the best of the knowledge of the party so certifying, or specifying the defaults, if any, and any other information which Landlord shall reasonably require. Any such certification shall be without prejudice as between the Landlord and the Tenant, it being agreed that any document required hereunder shall not be used in any litigation between the Landlord and the Tenant. Upon Tenant’s request, Landlord shall deliver an estoppel certificate to Tenant certifying the foregoing, mutatis mutandis.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Defaults, Remedies</w:t>
      </w:r>
    </w:p>
    <w:p>
      <w:pPr>
        <w:spacing w:after="0" w:line="225" w:lineRule="exact"/>
        <w:rPr>
          <w:sz w:val="20"/>
          <w:szCs w:val="20"/>
          <w:color w:val="auto"/>
        </w:rPr>
      </w:pPr>
    </w:p>
    <w:p>
      <w:pPr>
        <w:jc w:val="both"/>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14.01. </w:t>
      </w:r>
      <w:r>
        <w:rPr>
          <w:rFonts w:ascii="Times New Roman" w:cs="Times New Roman" w:eastAsia="Times New Roman" w:hAnsi="Times New Roman"/>
          <w:sz w:val="18"/>
          <w:szCs w:val="18"/>
          <w:color w:val="auto"/>
        </w:rPr>
        <w:t>If, during the Term, any one or more of the following acts or occurrences (any one of such occurrences or acts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called an Event of Default) shall happen:</w:t>
      </w:r>
    </w:p>
    <w:p>
      <w:pPr>
        <w:spacing w:after="0" w:line="159" w:lineRule="exact"/>
        <w:rPr>
          <w:sz w:val="20"/>
          <w:szCs w:val="20"/>
          <w:color w:val="auto"/>
        </w:rPr>
      </w:pPr>
    </w:p>
    <w:p>
      <w:pPr>
        <w:jc w:val="both"/>
        <w:ind w:firstLine="1305"/>
        <w:spacing w:after="0" w:line="266" w:lineRule="auto"/>
        <w:tabs>
          <w:tab w:leader="none" w:pos="176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shall default in making any payment of Term Basic Rent or any regularly recurring Additional Rent as and when the same shall become due and payable, and such default shall continue for a period of ten (10) days after notice from the Landlord that such payment is due and unpaid; or</w:t>
      </w:r>
    </w:p>
    <w:p>
      <w:pPr>
        <w:spacing w:after="0" w:line="176"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2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shall default in the performance of or compliance with any of the other covenants, agreements, terms or conditions of this Lease to be performed by the Tenant (other than any default curable by payment of money), and such default shall continue for a period of twenty (20) days after written notice thereof from the Landlord to the Tenant, or, in the case of a default which cannot with due diligence be cured within twenty (20) days, the Tenant shall fail to proceed promptly (except for unavoidable delays) after the giving of such notice and with all due diligence to cure such default and thereafter to prosecute the curing hereof with all due diligence (it being intended that as to a default not susceptible of being cured with due diligence within twenty (20) days, the time within which such default may be cured shall be extended for such period as may be reasonably necessary to permit the same to be cured with all due diligence);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6" w:name="page197"/>
    <w:bookmarkEnd w:id="196"/>
    <w:p>
      <w:pPr>
        <w:jc w:val="both"/>
        <w:ind w:firstLine="1305"/>
        <w:spacing w:after="0" w:line="261" w:lineRule="auto"/>
        <w:tabs>
          <w:tab w:leader="none" w:pos="181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shall file a voluntary petition in bankruptcy or shall be adjudicated a bankrupt or insolvent, or shall file any petition or answer seeking any reorganization, composition, readjustment or similar relief under any present or future bankruptcy or other applicable law, or shall seek or consent to or acquiesce in the appointment of any trustee, receiver, or liquidator of the Tenant or of all or any substantial part of its properties or of all or any part of the Demised Premises; or</w:t>
      </w:r>
    </w:p>
    <w:p>
      <w:pPr>
        <w:spacing w:after="0" w:line="180" w:lineRule="exact"/>
        <w:rPr>
          <w:rFonts w:ascii="Times New Roman" w:cs="Times New Roman" w:eastAsia="Times New Roman" w:hAnsi="Times New Roman"/>
          <w:sz w:val="18"/>
          <w:szCs w:val="18"/>
          <w:color w:val="auto"/>
        </w:rPr>
      </w:pPr>
    </w:p>
    <w:p>
      <w:pPr>
        <w:jc w:val="both"/>
        <w:ind w:firstLine="1305"/>
        <w:spacing w:after="0" w:line="255" w:lineRule="auto"/>
        <w:tabs>
          <w:tab w:leader="none" w:pos="184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sixty (60) days after the filing of an involuntary petition in bankruptcy against the Tenant or the commencement of any proceeding against the Tenant seeking any reorganization, composition, readjustment or similar relief under any law, such proceeding shall not have been dismissed, or if, within sixty (60) days after the appointment, without the consent or acquiescence of the Tenant of any trustee, receiver or liquidator of the Tenant or of all or any part of the Demised Premises, such appointment shall not have been vacated or stayed on appeal or otherwise, or if, within sixty (60) days after the expiration of any such stay, such appointment shall have been vacated, or if, within sixty (60) days after the taking possession, without the consent or acquiescence of the Tenant or such guarantor, of the property of the Tenant, by any governmental office or agency pursuant to statutory authority for the dissolution or liquidation of the Tenant, such taking shall not have been vacated or stayed on appeal or otherwise; or</w:t>
      </w:r>
    </w:p>
    <w:p>
      <w:pPr>
        <w:spacing w:after="0" w:line="189" w:lineRule="exact"/>
        <w:rPr>
          <w:rFonts w:ascii="Times New Roman" w:cs="Times New Roman" w:eastAsia="Times New Roman" w:hAnsi="Times New Roman"/>
          <w:sz w:val="18"/>
          <w:szCs w:val="18"/>
          <w:color w:val="auto"/>
        </w:rPr>
      </w:pPr>
    </w:p>
    <w:p>
      <w:pPr>
        <w:ind w:left="1760" w:hanging="455"/>
        <w:spacing w:after="0"/>
        <w:tabs>
          <w:tab w:leader="none" w:pos="17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Demised Premises shall be abandoned by the Tenant for a period of thirty (30) consecutive days.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then, and in any such event, and during the continuance thereof, the Landlord may, at its option, then or thereafter while any such Event of Default shall continue and notwithstanding the fact that the Landlord may have any other remedy hereunder or at law or in equity, by notice to the Tenant, designate a date, not less than ten (10) days after the giving of such notice, on which this Lease shall terminate; and thereupon, on such date the Term of this Lease and the estate hereby granted shall expire and terminate upon the date specified in such notice with the same force and effect as if the date specified in such notice was the date hereinbefore fixed for the expiration of the Term of this Lease, and all rights of the Tenant hereunder shall expire and terminate, but the Tenant shall remain liable as hereinafter provided. Additionally, Tenant agrees to pay, as Additional Rent, all reasonable attorney’s fees and other expenses incurred by the Landlord in enforcing any of the obligations under this Lease, this covenant to survive the expiration or sooner termination of this Lease.</w:t>
      </w:r>
    </w:p>
    <w:p>
      <w:pPr>
        <w:spacing w:after="0" w:line="185"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14.02. </w:t>
      </w:r>
      <w:r>
        <w:rPr>
          <w:rFonts w:ascii="Times New Roman" w:cs="Times New Roman" w:eastAsia="Times New Roman" w:hAnsi="Times New Roman"/>
          <w:sz w:val="18"/>
          <w:szCs w:val="18"/>
          <w:color w:val="auto"/>
        </w:rPr>
        <w:t>If this Lease is terminated as provided in Section 14.01, or as permitted by law, the Tenant shall peaceably quit and surrender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Demised Premises to the Landlord, and the Landlord may, without further notice, enter upon, re-enter, possess and repossess the same by summary proceedings, ejectment or other legal proceedings, and again have, repossess and enjoy the same as if this Lease had not been made, and in any such event neither the Tenant nor any person claiming through or under the Tenant by virtue of any law or an order of any court shall be entitled to possession or to remain in possession of the Demised Premises, and the Landlord, at its option, shall forthwith, notwithstanding any other provision of this Lease, be entitled to recover from the Tenant (in lieu of all other claims for damages on account of such termination) as and for liquidated damages an amount equal to the excess of all Term Basic Rent and Additional Rent reserved hereunder for the unexpired portion of the Term of this Lease discounted at the rate of six (6%) percent per annum to the then present worth, over the fair rental value of the Demised Premises at the time of termination for such unexpired portion of the Term. Nothing herein contained shall limit or prejudice the right of the Landlord, in any bankruptcy or reorganization or insolvency proceeding, to prove for and obtain as liquidated damages by reason of such termination an amount equal to the maximum allowed by any bankruptcy or reorganization or insolvency proceedings, or to prove for and obtain as liquidated damages by reason of such termination, an amount equal to the maximum allowed by any statute or rule of law whether such amount shall be greater or less than the excess referred to above.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7" w:name="page198"/>
    <w:bookmarkEnd w:id="197"/>
    <w:p>
      <w:pPr>
        <w:jc w:val="both"/>
        <w:ind w:firstLine="1297"/>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14.03. </w:t>
      </w:r>
      <w:r>
        <w:rPr>
          <w:rFonts w:ascii="Times New Roman" w:cs="Times New Roman" w:eastAsia="Times New Roman" w:hAnsi="Times New Roman"/>
          <w:sz w:val="18"/>
          <w:szCs w:val="18"/>
          <w:color w:val="auto"/>
        </w:rPr>
        <w:t>If the Landlord re-enters and obtains possession of the Demised Premises, as provided in Section 14.02 of this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an Event of Default, the Landlord shall have the right, without notice, to repair or alter the Demised Premises in such manner as the Landlord may deem necessary or advisable so as to put the Demised Premises in good order and to make the same rentable, and shall have the right, at the Landlord’s option, to relet the Demised Premises or a part thereof, and the Tenant shall pay to the Landlord on demand all reasonable expenses incurred by the Landlord in obtaining possession, and in altering, repairing and putting the Demised Premises in good order and condition and in reletting the same, including reasonable fees of attorneys and architects, and all other reasonable expenses or commissions, and the Tenant shall pay to the Landlord upon the rent payment dates following the date of such re-entry and including the date for the expiration of the Term of this Lease in effect immediately prior to such re-entry, the sums of money which would have been payable by the Tenant as Term Basic Rent and Additional Rent hereunder on such rent payment dates if the Landlord had not re-entered and resumed possession of the Demised Premises, deducting only the net amount of Term Basic Rent and Additional Rent, if any, which the Landlord shall actually receive (after deducting from the gross receipts the expenses, costs and payments of the Landlord which in accordance with the terms of this Lease would have been borne by the Tenant) in the meantime from and by any reletting of the Demised Premises, and the Tenant shall remain liable for all sums otherwise payable by the Tenant under this Lease, including but not limited to the expense of the Landlord aforesaid, as well as for any deficiency aforesaid, and the Landlord shall have the right from time to time to begin and maintain successive actions or other legal proceedings against the Tenant for the recovery of such deficiency, expenses or damages or for a sum equal to any Term Basic Rent payment and Additional Rent. Notwithstanding anything to the contrary in this Lease, Landlord shall use its commercially reasonable efforts to minimize its damages in the event of any Event of Default by Tenant. As an alternative remedy, the Landlord shall be entitled to damages against the Tenant for breach of this Lease, at any time (whether or not the Landlord shall have become entitled to or shall have received any damages as hereinabove provided) in an amount equal to the excess, if any, of the Term Basic Rent and Additional Rent which would be payable under this Lease at the date of the expiration of the Term, less the amount of Term Basic Rent and Additional Rent received by the Landlord upon any reletting, both discounted to present worth at the rate of six (6%) percent per annum. The obligation and liability of the Tenant to pay the Term Basic Rent and the Additional Rent shall survive the commencement, prosecution and termination of any action to secure possession of the Demised Premises. Nothing herein contained shall be deemed to require the Landlord to wait to begin such action or other legal proceedings until the date when this Lease would have expired had there not been an Event of Default.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8" w:name="page199"/>
    <w:bookmarkEnd w:id="198"/>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14.04. </w:t>
      </w:r>
      <w:r>
        <w:rPr>
          <w:rFonts w:ascii="Times New Roman" w:cs="Times New Roman" w:eastAsia="Times New Roman" w:hAnsi="Times New Roman"/>
          <w:sz w:val="18"/>
          <w:szCs w:val="18"/>
          <w:color w:val="auto"/>
        </w:rPr>
        <w:t>The Tenant hereby waives all right of redemption to which the Tenant or any person under it may be entitled by any law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hereafter in force. In addition, in the case of an Event of Default which results in the Landlord recovering possession of the Demised Premises, Landlord will use reasonable efforts to mitigate its damages as provided for in this Article XIV, provided that Landlord shall retain the right, in the exercise of its reasonable business judgment, to approve any tenant and determine the reasonable terms and conditions of any lease, including, but not limited to, rent and length of term. Notwithstanding the foregoing, Landlord shall not be obligated to display the Demised Premises to prospective tenants if Landlord or its affiliates has other premises available in the immediate area. However, if prospective tenants do not find such other premises suitable, Landlord agrees that it will then display the Demised Premises to the prospective tenants. The Landlord’s remedies hereunder are in addition to any remedy allowed by law.</w:t>
      </w:r>
    </w:p>
    <w:p>
      <w:pPr>
        <w:spacing w:after="0" w:line="18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14.05. </w:t>
      </w:r>
      <w:r>
        <w:rPr>
          <w:rFonts w:ascii="Times New Roman" w:cs="Times New Roman" w:eastAsia="Times New Roman" w:hAnsi="Times New Roman"/>
          <w:sz w:val="18"/>
          <w:szCs w:val="18"/>
          <w:color w:val="auto"/>
        </w:rPr>
        <w:t>In the event of any breach or threatened breach by Tenant of any of the agreements, terms, covenants or conditions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Lease, Landlord shall be entitled to enjoin such breach and shall have the right to invoke any right or remedy allowed at law or in equity or by statute or otherwise as though re entry, summary dispossess proceedings, and other remedies were not provided for in this Lease. During the pendency of any proceedings brought by Landlord to recover possession by reason of default, Tenant shall continue all money payments required to be made to Landlord, and Landlord may accept such payments for use and occupancy of the Demised Premises. In such event, Tenant waives its right in such proceedings to claim as a defense that the receipt of such money payments by Landlord constitutes a waiver by Landlord of such default.</w:t>
      </w:r>
    </w:p>
    <w:p>
      <w:pPr>
        <w:spacing w:after="0" w:line="183"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14.06. </w:t>
      </w:r>
      <w:r>
        <w:rPr>
          <w:rFonts w:ascii="Times New Roman" w:cs="Times New Roman" w:eastAsia="Times New Roman" w:hAnsi="Times New Roman"/>
          <w:sz w:val="18"/>
          <w:szCs w:val="18"/>
          <w:color w:val="auto"/>
        </w:rPr>
        <w:t>If Tenant fails, on three (3) separate occasions in any twelve (12) consecutive month period during the Term hereof,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the Monthly Basic Rent and/or any regularly recurring Additional Rent on or before the expiration of the due date therefor, or within ten (10) days of receipt of notice that same was not received, then, whether or not Tenant ultimately makes and Landlord accepts the required payment thereafter, Landlord shall have the right to accelerate Tenant’s payment of all Monthly Basic Rent and any regularly recurring Additional Rent for the balance of the then current Lease Year, and within ten (10) business days after receipt of notice of Landlord’s election to do so, Tenant shall pay to Landlord all such Monthly Basic Rent and regularly recurring Additional Rent due for the balance of the then current Lease Year. For the purpose of calculating the twelve (12) month period referred to in the first sentence of this Section 14.06 following Tenant’s payment of the accelerated Rent as set forth in the previous sentence, the new twelve</w:t>
      </w:r>
    </w:p>
    <w:p>
      <w:pPr>
        <w:spacing w:after="0" w:line="1" w:lineRule="exact"/>
        <w:rPr>
          <w:sz w:val="20"/>
          <w:szCs w:val="20"/>
          <w:color w:val="auto"/>
        </w:rPr>
      </w:pPr>
    </w:p>
    <w:p>
      <w:pPr>
        <w:ind w:left="5640" w:right="5160" w:hanging="5632"/>
        <w:spacing w:after="0" w:line="530" w:lineRule="auto"/>
        <w:tabs>
          <w:tab w:leader="none" w:pos="362"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 period shall begin on the first day of the first month of the next Lease Year.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Sublease</w:t>
      </w:r>
    </w:p>
    <w:p>
      <w:pPr>
        <w:spacing w:after="0" w:line="225" w:lineRule="exact"/>
        <w:rPr>
          <w:sz w:val="20"/>
          <w:szCs w:val="20"/>
          <w:color w:val="auto"/>
        </w:rPr>
      </w:pPr>
    </w:p>
    <w:p>
      <w:pPr>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15.01. </w:t>
      </w:r>
      <w:r>
        <w:rPr>
          <w:rFonts w:ascii="Times New Roman" w:cs="Times New Roman" w:eastAsia="Times New Roman" w:hAnsi="Times New Roman"/>
          <w:sz w:val="18"/>
          <w:szCs w:val="18"/>
          <w:color w:val="auto"/>
        </w:rPr>
        <w:t>(A) The Tenant may not mortgage, pledge, hypothecate, assign, transfer, sublet, license or otherwise deal with this Lease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Demised Premises in any manner except as specifically provided for in this Article XV.</w:t>
      </w:r>
    </w:p>
    <w:p>
      <w:pPr>
        <w:spacing w:after="0" w:line="159" w:lineRule="exact"/>
        <w:rPr>
          <w:sz w:val="20"/>
          <w:szCs w:val="20"/>
          <w:color w:val="auto"/>
        </w:rPr>
      </w:pPr>
    </w:p>
    <w:p>
      <w:pPr>
        <w:jc w:val="both"/>
        <w:ind w:firstLine="1305"/>
        <w:spacing w:after="0" w:line="266" w:lineRule="auto"/>
        <w:tabs>
          <w:tab w:leader="none" w:pos="192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have the right to assign this Lease or underlet the whole or any part of the Demised Premises for a use permitted hereunder, but only with the written consent of the Landlord first had and obtained, which consent shall not be unreasonably withheld or delayed, on the basis of the following terms and conditions:</w:t>
      </w:r>
    </w:p>
    <w:p>
      <w:pPr>
        <w:spacing w:after="0" w:line="176" w:lineRule="exact"/>
        <w:rPr>
          <w:rFonts w:ascii="Times New Roman" w:cs="Times New Roman" w:eastAsia="Times New Roman" w:hAnsi="Times New Roman"/>
          <w:sz w:val="18"/>
          <w:szCs w:val="18"/>
          <w:color w:val="auto"/>
        </w:rPr>
      </w:pPr>
    </w:p>
    <w:p>
      <w:pPr>
        <w:jc w:val="both"/>
        <w:ind w:left="2080" w:firstLine="651"/>
        <w:spacing w:after="0" w:line="266" w:lineRule="auto"/>
        <w:tabs>
          <w:tab w:leader="none" w:pos="322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sublease or a signed final term sheet shall be furnished to the Landlord which, in the case of an assignment shall provide that said assignee assumes all of the obligations of this Lease. Any sublease shall expressly acknowledge that said subtenant’s rights against the Landlord shall be no greater than those of Tenant.</w:t>
      </w:r>
    </w:p>
    <w:p>
      <w:pPr>
        <w:spacing w:after="0" w:line="176" w:lineRule="exact"/>
        <w:rPr>
          <w:rFonts w:ascii="Times New Roman" w:cs="Times New Roman" w:eastAsia="Times New Roman" w:hAnsi="Times New Roman"/>
          <w:sz w:val="18"/>
          <w:szCs w:val="18"/>
          <w:color w:val="auto"/>
        </w:rPr>
      </w:pPr>
    </w:p>
    <w:p>
      <w:pPr>
        <w:jc w:val="both"/>
        <w:ind w:left="2080" w:firstLine="651"/>
        <w:spacing w:after="0" w:line="261" w:lineRule="auto"/>
        <w:tabs>
          <w:tab w:leader="none" w:pos="3247"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shall be and remain liable for the observance of all of the covenants and provisions of this Lease, including but not limited to the payment of the Term Basic Rent reserved herein, through the entire Term of this Lease, as the same may be renewed, extended or otherwise modified, but Tenant shall not be liable for any increase in obligations or decrease in rights to which modification, extension or otherwise Tenant did not consent to in writing.</w:t>
      </w:r>
    </w:p>
    <w:p>
      <w:pPr>
        <w:spacing w:after="0" w:line="180" w:lineRule="exact"/>
        <w:rPr>
          <w:rFonts w:ascii="Times New Roman" w:cs="Times New Roman" w:eastAsia="Times New Roman" w:hAnsi="Times New Roman"/>
          <w:sz w:val="18"/>
          <w:szCs w:val="18"/>
          <w:color w:val="auto"/>
        </w:rPr>
      </w:pPr>
    </w:p>
    <w:p>
      <w:pPr>
        <w:jc w:val="both"/>
        <w:ind w:left="2080" w:firstLine="651"/>
        <w:spacing w:after="0" w:line="254" w:lineRule="auto"/>
        <w:tabs>
          <w:tab w:leader="none" w:pos="317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shall promptly pay to the Landlord one half (1/2) of the net consideration received for any assignment or one-half (1/2) of the net rent (Basic and Additional), and one-half (1/2) of any other net consideration payable by the subtenant to Tenant under or in connection with the sublease (including, but not limited to, sums paid for the sale or rental of Tenant’s fixtures, leasehold improvements, equipment, furniture, or other personal property), as and when received in excess of the Basic Rent and Additional Rent required to be paid by Tenant for the area sublet, computed on the basis of an average square foot rent for the gross square footage tenant has leased. As used herein, “net consideration” and/or “net rent” shall mean gross rent Basic and Additional) or gross consideration for an assignment less any reasonable brokerage or tenant improvement work paid by tenant in connection with the assignment or sublet, said brokerage or tenant work to be amortized over the term of the assignment or sublet. This subparagraph shall not apply to a transfer as described in subsection (J) below.</w:t>
      </w:r>
    </w:p>
    <w:p>
      <w:pPr>
        <w:spacing w:after="0" w:line="189" w:lineRule="exact"/>
        <w:rPr>
          <w:rFonts w:ascii="Times New Roman" w:cs="Times New Roman" w:eastAsia="Times New Roman" w:hAnsi="Times New Roman"/>
          <w:sz w:val="18"/>
          <w:szCs w:val="18"/>
          <w:color w:val="auto"/>
        </w:rPr>
      </w:pPr>
    </w:p>
    <w:p>
      <w:pPr>
        <w:jc w:val="both"/>
        <w:ind w:firstLine="1305"/>
        <w:spacing w:after="0" w:line="266" w:lineRule="auto"/>
        <w:tabs>
          <w:tab w:leader="none" w:pos="192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the acceptance by the Landlord of any rent from the assignee or from any of the subtenants, or the failure of the Landlord to insist upon a strict performance of any of the terms, conditions and covenants herein shall not release the Tenant herein from any and all of the obligations herein during and for the entire Term of this Lease.</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7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shall require a One Thousand and 00/100 ($1,000.00) Dollar payment to cover its handling charges for each request for consent to any assignment or sublet prior to its consideration of the same. The Tenant acknowledges that its sole remedy with respect to any assertion that the Landlord’s failure to consent to any assignment or sublet is unreasonable shall be the remedy of specific performance, and the Tenant shall have no other claim or cause of action against the Landlord as a result of the Landlord’s actions in refusing to consent thereto.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00" w:name="page201"/>
    <w:bookmarkEnd w:id="200"/>
    <w:p>
      <w:pPr>
        <w:jc w:val="both"/>
        <w:ind w:firstLine="1305"/>
        <w:spacing w:after="0" w:line="254" w:lineRule="auto"/>
        <w:tabs>
          <w:tab w:leader="none" w:pos="185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or all of Tenant’s interest in the Demised Premises and/or this Lease is transferred by operation of law to any trustee, receiver, or other representative or agent of Tenant, or to Tenant as a debtor in possession, and subsequently any or all of Tenant’s interest in the Demised Premises and/or this Lease is offered or to be offered by Tenant or any trustee, receiver, or other representative or agent of Tenant as to its estate or property (such person, firm or entity being hereinafter referred to as the “Grantor”), for assignment, conveyance, lease, or other disposition to a person, firm or entity other than Landlord (each such transaction being hereinafter referred to as a “Disposition”), it is agreed that Landlord has and shall have a right of first refusal to purchase, take, or otherwise acquire, the same upon the same terms and conditions as the Grantor thereof shall accept upon such Disposition to such other person, firm, or entity; and as to each such Disposition the Grantor shall give written notice to Landlord in reasonable detail of all of the terms and conditions of such Disposition within twenty (20) days next following its determination to accept the same but prior to accepting the same, and Grantor shall not make the Disposition until and unless Landlord has failed or refused to accept such right of first refusal as to the Disposition, as set forth herein.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Landlord shall have sixty (60) days next following its receipt of the written notice as to such Disposition in which to exercise the option to acquire Tenant’s interest by such Disposition, and the exercise of the option by Landlord shall be effected by notice to that effect sent to the Grantor; but nothing herein shall require Landlord to accept a particular Disposition or any Disposition, nor does the rejection of any one such offer of first refusal constitute a waiver or release of the obligation of the Grantor to submit other offers hereunder to Landlord. In the event Landlord accepts such offer of first refusal, the transaction shall be consummated pursuant to the terms and conditions of the Disposition described in the notice to Landlord. In the event Landlord rejects such offer of first refusal, Grantor may consummate the Disposition with such other person, firm, or entity; but any decrease in price of more than two (2%) percent of the price sought from Landlord or any change in the terms of payment for such Disposition shall constitute a new transaction requiring a further option of first refusal to be given to Landlord hereunder.</w:t>
      </w:r>
    </w:p>
    <w:p>
      <w:pPr>
        <w:spacing w:after="0" w:line="185" w:lineRule="exact"/>
        <w:rPr>
          <w:sz w:val="20"/>
          <w:szCs w:val="20"/>
          <w:color w:val="auto"/>
        </w:rPr>
      </w:pPr>
    </w:p>
    <w:p>
      <w:pPr>
        <w:jc w:val="both"/>
        <w:ind w:firstLine="1305"/>
        <w:spacing w:after="0" w:line="256" w:lineRule="auto"/>
        <w:tabs>
          <w:tab w:leader="none" w:pos="189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provisions of Article XIV, if pursuant to the Federal Bankruptcy Code (or any similar law hereafter enacted having the same general purpose), Tenant is permitted to assign this Lease, notwithstanding the restrictions contained in this Lease, adequate assurance of future performance by an assignee expressly permitted under such Code shall be deemed to mean the deposit of cash security in an amount equal to the sum of one (1) year’s Annual Basic Rent and Additional Rent for the next succeeding twelve (12) months (which Additional Rent shall be reasonably estimated by Landlord), which deposit shall be held by Landlord for the balance of the Term, without interest, as security for the full performance of all of Tenant’s obligations under this Lease, to be held and applied in the manner specified for security in Section 22.02.</w:t>
      </w:r>
    </w:p>
    <w:p>
      <w:pPr>
        <w:spacing w:after="0" w:line="187" w:lineRule="exact"/>
        <w:rPr>
          <w:rFonts w:ascii="Times New Roman" w:cs="Times New Roman" w:eastAsia="Times New Roman" w:hAnsi="Times New Roman"/>
          <w:sz w:val="18"/>
          <w:szCs w:val="18"/>
          <w:color w:val="auto"/>
        </w:rPr>
      </w:pPr>
    </w:p>
    <w:p>
      <w:pPr>
        <w:ind w:left="1820" w:hanging="515"/>
        <w:spacing w:after="0"/>
        <w:tabs>
          <w:tab w:leader="none" w:pos="18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184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set forth above, or in (I) or (J) below no portion of the Demised Premises or of Tenant’s interest in this Lease may be acquired by any other person or entity, whether by assignment, mortgage, sublease, transfer, operation of law or act of the Tenant, nor shall Tenant pledge its interest in this Lease or in any security deposit required hereunder.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01" w:name="page202"/>
    <w:bookmarkEnd w:id="201"/>
    <w:p>
      <w:pPr>
        <w:jc w:val="both"/>
        <w:ind w:firstLine="1305"/>
        <w:spacing w:after="0" w:line="252" w:lineRule="auto"/>
        <w:tabs>
          <w:tab w:leader="none" w:pos="180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is a corporation other than a corporation whose stock is listed and traded on a nationally or internationally recognized stock exchange, and except as otherwise permitted by Section 15.01 (J) below, the provisions of this Subsection 15.01(I) shall apply to a transfer (however accomplished, whether in a single transaction or in a series of related or unrelated transactions) of stock [or any other mechanism such as, by way of example, the issuance of additional stock, a stock voting agreement or change in class(es) of stock] which results in a change of control of Tenant as if such transfer of stock (or other mechanism) which results in a change of control of Tenant were an assignment of this Lease, and if Tenant is a partnership or joint venture, said provisions shall apply with respect to a transfer (by one or more transfers) of an interest in the distributions of profits and losses of such partnership or joint venture (or other mechanism, such as, by way of example, the creation of additional general partnership or limited partnership interests) which results in a change of control of such a partnership or joint venture as if such transfer of an interest in the distributions of profits and losses of such partnership or joint venture which results in a change of control of such partnership or joint venture were an assignment of this Lease however this provision shall not apply to the addition of partners, or reformulation on retirement or death of partners and said provisions shall not apply to transactions with a corporation into or with which Tenant is merged or consolidated or to which all or substantially all of Tenant’s assets are transferred or to any corporation which controls or is controlled by Tenant or is under common control with Tenant, provided that in the event of such merger, consolidation or transfer of all or substantially all of Tenant’s assets, (i) the successor to Tenant has a net worth computed in accordance with generally accepted accounting principles at least equal to the greater of (a) the net worth of Tenant immediately prior to such merger, consolidation or transfer or (b) the net worth of Tenant herein named on the date of this Lease, and (ii) proof satisfactory to Landlord of such net worth shall have been delivered to Landlord at least ten (10) days prior to the effective date of any such transaction.</w:t>
      </w:r>
    </w:p>
    <w:p>
      <w:pPr>
        <w:spacing w:after="0" w:line="196"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6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Article XV, upon at least thirty (30) days prior written notice but without having to obtain Landlord’s prior written approval the Tenant may assign or sublet the whole or any part of the Demised Premises to (i) an affiliated entity,(ii) to any entity with which it shall be merged, or (ii) to an entity that acquires all of the assets of the Tenant, provided Tenant first supplies Landlord with all written evidence necessary to satisfy Landlord of the relationship between Tenant and the transferee and further provided that in each instance above, Tenant shall remain liable hereunder.. As used herein, “affiliated corporation” with respect to Tenant shall mean any corporation related to Tenant as a parent, subsidiary or brother-sister corporation so that such corporation and Tenant and other corporations constitute a controlled group as determined under Section 1563 of the Internal Revenue Code of 1986, as amended and as elaborated by the Treasury Regulations promulgated thereunder.</w:t>
      </w:r>
    </w:p>
    <w:p>
      <w:pPr>
        <w:spacing w:after="0" w:line="189" w:lineRule="exact"/>
        <w:rPr>
          <w:rFonts w:ascii="Times New Roman" w:cs="Times New Roman" w:eastAsia="Times New Roman" w:hAnsi="Times New Roman"/>
          <w:sz w:val="18"/>
          <w:szCs w:val="18"/>
          <w:color w:val="auto"/>
        </w:rPr>
      </w:pPr>
    </w:p>
    <w:p>
      <w:pPr>
        <w:ind w:left="1860" w:hanging="555"/>
        <w:spacing w:after="0"/>
        <w:tabs>
          <w:tab w:leader="none" w:pos="18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assignment, sublet or other transfer under this Article, the Demised Premises may be used only for the Permitted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2" w:name="page203"/>
    <w:bookmarkEnd w:id="20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Section 16.01.</w:t>
      </w:r>
      <w:r>
        <w:rPr>
          <w:rFonts w:ascii="Times New Roman" w:cs="Times New Roman" w:eastAsia="Times New Roman" w:hAnsi="Times New Roman"/>
          <w:sz w:val="18"/>
          <w:szCs w:val="18"/>
          <w:color w:val="auto"/>
        </w:rPr>
        <w:t>Any notice by either party to the other shall be in writing and shall be deemed to have been duly given only if (a)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personally or (b) sent by registered mail or certified mail, return receipt requested, in a postpaid envelope or (c) sent by regionally or nationally recognized overnight courier service (“</w:t>
      </w:r>
      <w:r>
        <w:rPr>
          <w:rFonts w:ascii="Times New Roman" w:cs="Times New Roman" w:eastAsia="Times New Roman" w:hAnsi="Times New Roman"/>
          <w:sz w:val="18"/>
          <w:szCs w:val="18"/>
          <w:b w:val="1"/>
          <w:bCs w:val="1"/>
          <w:i w:val="1"/>
          <w:iCs w:val="1"/>
          <w:u w:val="single" w:color="auto"/>
          <w:color w:val="auto"/>
        </w:rPr>
        <w:t>Overnight Courier</w:t>
      </w:r>
      <w:r>
        <w:rPr>
          <w:rFonts w:ascii="Times New Roman" w:cs="Times New Roman" w:eastAsia="Times New Roman" w:hAnsi="Times New Roman"/>
          <w:sz w:val="18"/>
          <w:szCs w:val="18"/>
          <w:color w:val="auto"/>
        </w:rPr>
        <w:t>”) such as Federal Express, addressed at the address set forth below, or at such other address as it shall designate by notice, as follows:</w:t>
      </w:r>
    </w:p>
    <w:p>
      <w:pPr>
        <w:sectPr>
          <w:pgSz w:w="11900" w:h="16838" w:orient="portrait"/>
          <w:cols w:equalWidth="0" w:num="1">
            <w:col w:w="11420"/>
          </w:cols>
          <w:pgMar w:left="240" w:top="901" w:right="239" w:bottom="1440" w:gutter="0" w:footer="0" w:header="0"/>
        </w:sectPr>
      </w:pPr>
    </w:p>
    <w:p>
      <w:pPr>
        <w:spacing w:after="0" w:line="181"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If to Landlord: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Bonanno Real Estate Group I,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Tryon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 West Tryon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Teaneck, New Jersey 07666</w:t>
      </w:r>
    </w:p>
    <w:p>
      <w:pPr>
        <w:spacing w:after="0" w:line="200" w:lineRule="exact"/>
        <w:rPr>
          <w:sz w:val="20"/>
          <w:szCs w:val="20"/>
          <w:color w:val="auto"/>
        </w:rPr>
      </w:pPr>
    </w:p>
    <w:p>
      <w:pPr>
        <w:sectPr>
          <w:pgSz w:w="11900" w:h="16838" w:orient="portrait"/>
          <w:cols w:equalWidth="0" w:num="2">
            <w:col w:w="1720" w:space="640"/>
            <w:col w:w="9060"/>
          </w:cols>
          <w:pgMar w:left="240" w:top="901" w:right="2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with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Cole Schotz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 Plaza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Main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Hackensack, New Jersey 07601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Mitchell W. Abrahams, Esq.</w:t>
      </w:r>
    </w:p>
    <w:p>
      <w:pPr>
        <w:spacing w:after="0" w:line="200" w:lineRule="exact"/>
        <w:rPr>
          <w:sz w:val="20"/>
          <w:szCs w:val="20"/>
          <w:color w:val="auto"/>
        </w:rPr>
      </w:pPr>
    </w:p>
    <w:p>
      <w:pPr>
        <w:sectPr>
          <w:pgSz w:w="11900" w:h="16838" w:orient="portrait"/>
          <w:cols w:equalWidth="0" w:num="2">
            <w:col w:w="1640" w:space="720"/>
            <w:col w:w="9060"/>
          </w:cols>
          <w:pgMar w:left="240" w:top="901" w:right="239" w:bottom="1440" w:gutter="0" w:footer="0" w:header="0"/>
          <w:type w:val="continuous"/>
        </w:sectPr>
      </w:pP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Kornit Digital North America,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480 South Dean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Englewood, New Jersey 07631</w:t>
      </w:r>
    </w:p>
    <w:p>
      <w:pPr>
        <w:spacing w:after="0" w:line="200" w:lineRule="exact"/>
        <w:rPr>
          <w:sz w:val="20"/>
          <w:szCs w:val="20"/>
          <w:color w:val="auto"/>
        </w:rPr>
      </w:pPr>
    </w:p>
    <w:p>
      <w:pPr>
        <w:sectPr>
          <w:pgSz w:w="11900" w:h="16838" w:orient="portrait"/>
          <w:cols w:equalWidth="0" w:num="2">
            <w:col w:w="1640" w:space="720"/>
            <w:col w:w="9060"/>
          </w:cols>
          <w:pgMar w:left="240" w:top="901" w:right="2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with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 Ha’Amal St., Rosh Ha’Ayin Israel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0" w:lineRule="exact"/>
        <w:rPr>
          <w:sz w:val="20"/>
          <w:szCs w:val="20"/>
          <w:color w:val="auto"/>
        </w:rPr>
      </w:pPr>
    </w:p>
    <w:p>
      <w:pPr>
        <w:sectPr>
          <w:pgSz w:w="11900" w:h="16838" w:orient="portrait"/>
          <w:cols w:equalWidth="0" w:num="2">
            <w:col w:w="1640" w:space="720"/>
            <w:col w:w="9060"/>
          </w:cols>
          <w:pgMar w:left="240" w:top="901" w:right="2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notice so sent shall be deemed given upon its receipt or rejection as evidenced by a bill of lading or return receipt or upon delivery if personally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Holding Over</w:t>
      </w:r>
    </w:p>
    <w:p>
      <w:pPr>
        <w:spacing w:after="0" w:line="225" w:lineRule="exact"/>
        <w:rPr>
          <w:sz w:val="20"/>
          <w:szCs w:val="20"/>
          <w:color w:val="auto"/>
        </w:rPr>
      </w:pPr>
    </w:p>
    <w:p>
      <w:pPr>
        <w:jc w:val="both"/>
        <w:ind w:firstLine="1297"/>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Section 17.01. </w:t>
      </w:r>
      <w:r>
        <w:rPr>
          <w:rFonts w:ascii="Times New Roman" w:cs="Times New Roman" w:eastAsia="Times New Roman" w:hAnsi="Times New Roman"/>
          <w:sz w:val="18"/>
          <w:szCs w:val="18"/>
          <w:color w:val="auto"/>
        </w:rPr>
        <w:t>If the Tenant shall remain in the Demised Premises after the expiration of the Term without having executed and delivered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lease with the Landlord, such holding over shall not constitute a renewal or extension of this Lease. The Landlord may, at its option, elect to treat the Tenant as one who has not removed at the end of its Term, and thereupon be entitled to all the remedies against the Tenant provided by law in that situation, or the Landlord may elect, at its option, to construe such holding over as a tenancy from month to month, subject to all the terms and conditions of this Lease, except as to the duration thereof, and in that event the Tenant shall in additional to all Additional Rent pay installments of Monthly Basic Rent at one hundred fifty percent (150%) of the rate paid for the month immediately preceding the expiration of the Lease for the first thirty (30) days, then commencing on the thirty first (31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day following the expiration of the Lease Term, at one hundred seventy-five percent (175%) of the rate paid for the month immediately</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preceding the expiration of the Lease for the next thirty (30) days, and thereafter, commencing on the sixty first (61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day following the expiration of the Lease Term, at two hundred percent (200%) of the rate of Monthly Basic Rent paid immediately preceding the expiration of the Lease Term, but in no event less than the rate provided herein for the last month of the Term.</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type w:val="continuous"/>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t>ARTICLE XVIII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Liens</w:t>
      </w:r>
    </w:p>
    <w:p>
      <w:pPr>
        <w:spacing w:after="0" w:line="225"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18.01. </w:t>
      </w:r>
      <w:r>
        <w:rPr>
          <w:rFonts w:ascii="Times New Roman" w:cs="Times New Roman" w:eastAsia="Times New Roman" w:hAnsi="Times New Roman"/>
          <w:sz w:val="18"/>
          <w:szCs w:val="18"/>
          <w:color w:val="auto"/>
        </w:rPr>
        <w:t>In the event that any mechanic’s lien is filed against the Demised Premises as a result of alterations, additions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made by the Tenant and not discharged by payment or bonding within twenty (20) days after notice by the Landlord to the Tenant, Landlord may treat such failure as an Event of Default under Section 14.01(B). In addition, after twenty (20) days’ written notice to the Tenant, the Landlord, at its option, may pay and discharge such lien, without inquiring into the validity thereof, and the Tenant shall, on demand of the Landlord, reimburse the Landlord as Additional Rent hereunder for the total expense incurred by the Landlord in discharging such lien.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of Demised Premises, Loss, Etc.</w:t>
      </w:r>
    </w:p>
    <w:p>
      <w:pPr>
        <w:spacing w:after="0" w:line="225"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Section 19.01.</w:t>
      </w:r>
      <w:r>
        <w:rPr>
          <w:rFonts w:ascii="Times New Roman" w:cs="Times New Roman" w:eastAsia="Times New Roman" w:hAnsi="Times New Roman"/>
          <w:sz w:val="18"/>
          <w:szCs w:val="18"/>
          <w:color w:val="auto"/>
        </w:rPr>
        <w:t>After the commencement of the Tenant’s occupancy, except as otherwise set forth in this Lease, the Landlord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for the loss of, or damage to, Tenant’s property or that is under its care, custody or control, or injury to Tenant occurring in or about the Demised Premises, or for any business interruption loss, or for any reason whatsoever, including but not be limited to: any existing or future condition, defect, matter or thing in the Demised Premises (but excluding, without limitation, Landlord’s obligations with respect to Legal Requirements as set forth in the Lease; the acts, omissions or negligence of other persons or tenants in and about the Demised Premises (except as otherwise set forth in this Lease, including, without limitation, that of Landlord or any Landlord Party); theft or burglary from the Demised Premises; the negligence of Landlord, its agents, servants or invitees (except as otherwise set forth in this Lease); and defects, errors or omissions in the construction or design of the Demised Premises and/or the Building including the structural and nonstructural portions thereof.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Inspection, For Sale and For Rent Signs</w:t>
      </w:r>
    </w:p>
    <w:p>
      <w:pPr>
        <w:spacing w:after="0" w:line="225"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20.01. </w:t>
      </w:r>
      <w:r>
        <w:rPr>
          <w:rFonts w:ascii="Times New Roman" w:cs="Times New Roman" w:eastAsia="Times New Roman" w:hAnsi="Times New Roman"/>
          <w:sz w:val="18"/>
          <w:szCs w:val="18"/>
          <w:color w:val="auto"/>
        </w:rPr>
        <w:t>The Landlord, or its agents, shall have the right, upon not less than 48 hours prior written notice (which, notwithstanding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Article XVI hereof, may be by electronic mail if Tenant has provided Landlord with the appropriate e-mail addresses) to enter the Demised Premises at reasonable hours to examine the same, or to exhibit the Demised Premises to prospective purchasers and to place upon the Demised Premises a suitable “For Sale” sign, which sign must be approved by the Tenant, which approval shall not be unreasonably withheld. For twelve (12) months prior to the expiration of the Term, the Landlord, or its agents, may exhibit the Demised Premises to prospective tenants and may place the usual “To Let” signs thereon.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ARTICLE XXI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Signs</w:t>
      </w:r>
    </w:p>
    <w:p>
      <w:pPr>
        <w:spacing w:after="0" w:line="225"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21.01. </w:t>
      </w:r>
      <w:r>
        <w:rPr>
          <w:rFonts w:ascii="Times New Roman" w:cs="Times New Roman" w:eastAsia="Times New Roman" w:hAnsi="Times New Roman"/>
          <w:sz w:val="18"/>
          <w:szCs w:val="18"/>
          <w:color w:val="auto"/>
        </w:rPr>
        <w:t>No sign, advertisement or notice shall be affixed to or placed upon any part of the Demised Premises by the Tenant,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such manner, and of such size, design and color as shall be approved in advance in writing by the Landlord, which approval the Landlord shall not unreasonably withhold, delay or condition, provided: (i) that Tenant complies with all applicable governmental ordinances and regulations pertaining to such signage and receives all necessary governmental approvals required for the erection and maintenance of such signage, and (ii) no later than the last day of the Term, Tenant shall, at Tenant’s expense, remove the sign and repair all injury done by or in connection with the installation or removal of the sign.</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XXII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Advance Rent, Security and Late Charge</w:t>
      </w:r>
    </w:p>
    <w:p>
      <w:pPr>
        <w:spacing w:after="0" w:line="225"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22.01. </w:t>
      </w:r>
      <w:r>
        <w:rPr>
          <w:rFonts w:ascii="Times New Roman" w:cs="Times New Roman" w:eastAsia="Times New Roman" w:hAnsi="Times New Roman"/>
          <w:sz w:val="18"/>
          <w:szCs w:val="18"/>
          <w:color w:val="auto"/>
        </w:rPr>
        <w:t>Simultaneously herewith, the Tenant has deposited with the Landlord the sum of Eleven Thousand Eight Hundred Eighty-Three and 75/100 ($11,883.75) Dollars in advance for Monthly Basic Rent for the first month of the first Lease Year.</w:t>
      </w:r>
    </w:p>
    <w:p>
      <w:pPr>
        <w:spacing w:after="0" w:line="155"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22.02. </w:t>
      </w:r>
      <w:r>
        <w:rPr>
          <w:rFonts w:ascii="Times New Roman" w:cs="Times New Roman" w:eastAsia="Times New Roman" w:hAnsi="Times New Roman"/>
          <w:sz w:val="18"/>
          <w:szCs w:val="18"/>
          <w:color w:val="auto"/>
        </w:rPr>
        <w:t>(a) Concurrently with the execution and delivery of this Lease, Tenant shall deposit with Landlord the sum of Thirty-Five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Thousand Six Hundred Fifty-One and 25/100 ($35,651.25) Dollars (hereinafter “</w:t>
      </w:r>
      <w:r>
        <w:rPr>
          <w:rFonts w:ascii="Times New Roman" w:cs="Times New Roman" w:eastAsia="Times New Roman" w:hAnsi="Times New Roman"/>
          <w:sz w:val="18"/>
          <w:szCs w:val="18"/>
          <w:b w:val="1"/>
          <w:bCs w:val="1"/>
          <w:i w:val="1"/>
          <w:iCs w:val="1"/>
          <w:u w:val="single" w:color="auto"/>
          <w:color w:val="auto"/>
        </w:rPr>
        <w:t>Security Deposit</w:t>
      </w:r>
      <w:r>
        <w:rPr>
          <w:rFonts w:ascii="Times New Roman" w:cs="Times New Roman" w:eastAsia="Times New Roman" w:hAnsi="Times New Roman"/>
          <w:sz w:val="18"/>
          <w:szCs w:val="18"/>
          <w:color w:val="auto"/>
        </w:rPr>
        <w:t>”) either by check or by letter of credit as hereinafter set forth in Section 22.03 below, as security for the full and faithful performance by Tenant of all of the terms and conditions upon the Tenant’s part to be performed, which Security Deposit shall be returned to Tenant within thirty (30) days after the time fixed as the expiration or earlier termination of the Term herein, provided Tenant has fully and faithfully carried out all of the terms, covenants and conditions on the Tenant’s part to be performed. In the event the Landlord uses any of said Security Deposit to cure Tenant’s default(s) or meet any of Tenant’s obligations, Tenant covenants, upon demand, to replace the amount so utilized or to provide an amended or replacement letter of credit as hereinafter set forth. In the event of a bona fide sale, subject to this Lease, the Landlord shall transfer the Security Deposit to the vendee, and the Landlord shall be considered released by the Tenant from all liability for the return of such Security Deposit provided the vendee has assumed Landlord’s obligations hereunder; and the Tenant agrees to look solely to the new landlord for the return of the said Security Deposit, and it is agreed that this shall apply to every transfer or assignment made of the Security Deposit to a new landlord. Notwithstanding anything in this Lease to the contrary, nor anything to the contrary in any purchase and sale, or sale-leaseback or other agreement of transference of the landlord’s interest hereunder, such vendee, lease assignee, lessor, or other transferee shall, for all purposes, be deemed to have assumed the obligations of Landlord hereunder from and after the effective date of the sale or other transfer, without the need of written evidence thereof. The security deposited under this shall not be mortgaged, assigned or encumbered by the Tenant without the written consent of the Landlord.</w:t>
      </w:r>
    </w:p>
    <w:p>
      <w:pPr>
        <w:spacing w:after="0" w:line="191" w:lineRule="exact"/>
        <w:rPr>
          <w:sz w:val="20"/>
          <w:szCs w:val="20"/>
          <w:color w:val="auto"/>
        </w:rPr>
      </w:pPr>
    </w:p>
    <w:p>
      <w:pPr>
        <w:jc w:val="both"/>
        <w:ind w:firstLine="1305"/>
        <w:spacing w:after="0" w:line="261" w:lineRule="auto"/>
        <w:tabs>
          <w:tab w:leader="none" w:pos="181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during the Term or any extension or renewal thereof, the Security Deposit shall equal the sum of three (3) installments of Monthly Basic Rent. As and when the Monthly Basic Rent increases, Tenant shall deposit with Landlord the difference between the then existing Security Deposit and the aforementioned sum (hereinafter “</w:t>
      </w:r>
      <w:r>
        <w:rPr>
          <w:rFonts w:ascii="Times New Roman" w:cs="Times New Roman" w:eastAsia="Times New Roman" w:hAnsi="Times New Roman"/>
          <w:sz w:val="18"/>
          <w:szCs w:val="18"/>
          <w:b w:val="1"/>
          <w:bCs w:val="1"/>
          <w:i w:val="1"/>
          <w:iCs w:val="1"/>
          <w:u w:val="single" w:color="auto"/>
          <w:color w:val="auto"/>
        </w:rPr>
        <w:t>Additional Security</w:t>
      </w:r>
      <w:r>
        <w:rPr>
          <w:rFonts w:ascii="Times New Roman" w:cs="Times New Roman" w:eastAsia="Times New Roman" w:hAnsi="Times New Roman"/>
          <w:sz w:val="18"/>
          <w:szCs w:val="18"/>
          <w:color w:val="auto"/>
        </w:rPr>
        <w:t>”). Failure of Tenant to deposit the Additional Security within ten (10) days after Landlord’s written demand shall constitute a material breach of this Lease by Tenant.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05" w:name="page206"/>
    <w:bookmarkEnd w:id="205"/>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22.03. </w:t>
      </w:r>
      <w:r>
        <w:rPr>
          <w:rFonts w:ascii="Times New Roman" w:cs="Times New Roman" w:eastAsia="Times New Roman" w:hAnsi="Times New Roman"/>
          <w:sz w:val="18"/>
          <w:szCs w:val="18"/>
          <w:color w:val="auto"/>
        </w:rPr>
        <w:t>In the event of the insolvency of Tenant or in the event of the entry of a judgment in bankruptcy in any court against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is not discharged within sixty (60) days after entry, or in the event a petition is filed by or against Tenant under any chapter of the bankruptcy laws of the State of New Jersey or the United States of America, then and in such event Landlord may require the Tenant to deposit additional security in the amount specified in Subsection 15.01(F) to adequately assure Tenant’s performance of all of its obligations under this Lease, including all payments subsequently accruing. Failure of Tenant to deposit the security required by this Section 22.04 within ten (10) business days after Landlord’s written demand shall constitute a material breach of this Lease by Tenant.</w:t>
      </w:r>
    </w:p>
    <w:p>
      <w:pPr>
        <w:spacing w:after="0" w:line="183"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22.04. </w:t>
      </w:r>
      <w:r>
        <w:rPr>
          <w:rFonts w:ascii="Times New Roman" w:cs="Times New Roman" w:eastAsia="Times New Roman" w:hAnsi="Times New Roman"/>
          <w:sz w:val="18"/>
          <w:szCs w:val="18"/>
          <w:color w:val="auto"/>
        </w:rPr>
        <w:t>Anything in this Lease to the contrary notwithstanding, at Landlord’s option, Tenant shall pay a “</w:t>
      </w:r>
      <w:r>
        <w:rPr>
          <w:rFonts w:ascii="Times New Roman" w:cs="Times New Roman" w:eastAsia="Times New Roman" w:hAnsi="Times New Roman"/>
          <w:sz w:val="18"/>
          <w:szCs w:val="18"/>
          <w:b w:val="1"/>
          <w:bCs w:val="1"/>
          <w:i w:val="1"/>
          <w:iCs w:val="1"/>
          <w:u w:val="single" w:color="auto"/>
          <w:color w:val="auto"/>
        </w:rPr>
        <w:t>Late Charge</w:t>
      </w:r>
      <w:r>
        <w:rPr>
          <w:rFonts w:ascii="Times New Roman" w:cs="Times New Roman" w:eastAsia="Times New Roman" w:hAnsi="Times New Roman"/>
          <w:sz w:val="18"/>
          <w:szCs w:val="18"/>
          <w:color w:val="auto"/>
        </w:rPr>
        <w:t>” of seven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 percent of any installment of Monthly Basic Rent or Additional Rent paid more than five (5) days after the due date thereof, to cover the extra expense involved in handling delinquent payments; provided however, that Landlord shall notify Tenant each time Landlord elects to exercise its option to charge the Late Charge, and Tenant shall have ten (10) business days after receipt of such notice to pay the Late Charge as Additional Rent.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Section 23.01.</w:t>
      </w:r>
      <w:r>
        <w:rPr>
          <w:rFonts w:ascii="Times New Roman" w:cs="Times New Roman" w:eastAsia="Times New Roman" w:hAnsi="Times New Roman"/>
          <w:sz w:val="18"/>
          <w:szCs w:val="18"/>
          <w:color w:val="auto"/>
        </w:rPr>
        <w:t>The Tenant agrees, within one hundred twenty (120) days after the end of the Tenant’s accounting year, at the request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or at the request of the holder of any first mortgage upon the Demised Premises, to furnish to the Landlord or mortgagee, its certified balance sheet and profit and loss statement for the last accounting year provided however, if Tenant does not have financials prepared by a certified public accountant, such financial statements shall be certified by the CFO of the company, provided that Landlord or any such mortgagee shall execute a Nondisclosure /Confidentiality Agreement prepared by Tenant and reasonably satisfactory to Landlord and any such mortgagee.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XXIV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p>
      <w:pPr>
        <w:spacing w:after="0" w:line="225"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24.01. </w:t>
      </w:r>
      <w:r>
        <w:rPr>
          <w:rFonts w:ascii="Times New Roman" w:cs="Times New Roman" w:eastAsia="Times New Roman" w:hAnsi="Times New Roman"/>
          <w:sz w:val="18"/>
          <w:szCs w:val="18"/>
          <w:color w:val="auto"/>
        </w:rPr>
        <w:t>The Landlord and Tenant represent and warrant to the other that Studley Inc. is the sole broker (the “Broker”) which advised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of the availability of the Demised Premises for leasing and is the sole Broker which introduced Tenant to the Landlord. Landlord agrees that it shall pay the commission, if any, which may be due to said Broker pursuant to a separate agreement between Landlord and the Broker. The Landlord and Tenant agree to indemnify and hold each other harmless from any and all claims of other brokers and expenses in connection therewith arising out of or in connection with the negotiation of or the entering into this Lease by Landlord and Tenant.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XXV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Commencement Date Agreement</w:t>
      </w:r>
    </w:p>
    <w:p>
      <w:pPr>
        <w:spacing w:after="0" w:line="225"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25.01. </w:t>
      </w:r>
      <w:r>
        <w:rPr>
          <w:rFonts w:ascii="Times New Roman" w:cs="Times New Roman" w:eastAsia="Times New Roman" w:hAnsi="Times New Roman"/>
          <w:sz w:val="18"/>
          <w:szCs w:val="18"/>
          <w:color w:val="auto"/>
        </w:rPr>
        <w:t>Promptly after the commencement of the Term the parties shall execute and deliver, in duplicate original counterparts,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Commencement Date Agreement stating the commencement and expiration dates of the Term of this Lease.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XXVI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Waiver of Jury Trial/Non-Mandatory Counterclaims</w:t>
      </w:r>
    </w:p>
    <w:p>
      <w:pPr>
        <w:spacing w:after="0" w:line="225"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26.01. </w:t>
      </w:r>
      <w:r>
        <w:rPr>
          <w:rFonts w:ascii="Times New Roman" w:cs="Times New Roman" w:eastAsia="Times New Roman" w:hAnsi="Times New Roman"/>
          <w:sz w:val="18"/>
          <w:szCs w:val="18"/>
          <w:color w:val="auto"/>
        </w:rPr>
        <w:t>If Landlord commences any summary proceedings or an action for nonpayment of Term Basic Rent or Additional 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shall not interpose any non-mandatory counterclaim of any nature or description in any such proceedings or action. Tenant and Landlord both waive a trial by jury of any or all issues arising in any action or proceeding between the parties hereto or their successors under or connected with this Lease or any of its provisions.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XXVII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Waiver of Distraint</w:t>
      </w:r>
    </w:p>
    <w:p>
      <w:pPr>
        <w:spacing w:after="0" w:line="225"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27.01. </w:t>
      </w:r>
      <w:r>
        <w:rPr>
          <w:rFonts w:ascii="Times New Roman" w:cs="Times New Roman" w:eastAsia="Times New Roman" w:hAnsi="Times New Roman"/>
          <w:sz w:val="18"/>
          <w:szCs w:val="18"/>
          <w:color w:val="auto"/>
        </w:rPr>
        <w:t>Landlord waives all lien, right, interest and claim it might otherwise have in and waives its right of distraint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machinery, fixtures and other property of the Tenant, and in any other property of any nature whether on or off the Demised Premises, belonging to the Tenant. The provisions of this Section are intended to apply to the Landlord’s common law (if any) and statutory right of distraint because of failure to pay Term Basic Rent or Additional Rent. In the event Landlord is requested to execute a lien waiver or similar document evidencing that Landlord does not have a lien on Tenant’s inventory, equipment or other personalty, then Tenant agrees to reimburse Landlord, as Additional Rent, for the reasonable legal fees and costs incurred by Landlord in connection with reviewing and responding to such request, not to exceed One Thousand Dollars ($1,000.00).</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XXVIII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Landlord’s Retained Rights</w:t>
      </w:r>
    </w:p>
    <w:p>
      <w:pPr>
        <w:spacing w:after="0" w:line="225"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28.01. </w:t>
      </w:r>
      <w:r>
        <w:rPr>
          <w:rFonts w:ascii="Times New Roman" w:cs="Times New Roman" w:eastAsia="Times New Roman" w:hAnsi="Times New Roman"/>
          <w:sz w:val="18"/>
          <w:szCs w:val="18"/>
          <w:color w:val="auto"/>
        </w:rPr>
        <w:t>(a) Subject to the terms and conditions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reserves to itself, its successors and assigns, the full use of the roof;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Landlord shall not make any installations thereon other than solar panels and equipment related to the generation of solar power, and which shall be for the exclusive use of the Building. Except as otherwise set forth in this Lease and subject to the terms and conditions of this Lease, Landlord hereby reserves to itself, its successors and assigns, the right to grant, construct, maintain and use utility easements and drainage easements, across, through, over and under the Demised Premises, Building and Real Property or to or from other lands and other portions of the Real Property now owned or in the future acquired by the Landlord, and to construct and install pipes and other equipment necessitated thereby, provided the same to be at the sole cost of the Landlord and provided such easements do not interfere with the use of or access to the Demised Premises by the Tenant by more than a de minimis degree.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7" w:name="page208"/>
    <w:bookmarkEnd w:id="207"/>
    <w:p>
      <w:pPr>
        <w:jc w:val="both"/>
        <w:ind w:firstLine="1305"/>
        <w:spacing w:after="0" w:line="252" w:lineRule="auto"/>
        <w:tabs>
          <w:tab w:leader="none" w:pos="155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Landlord exercises its rights under this Section 28.01 and places solar panels and related equipment thereon, from and after the date Landlord or its employees, agents or contractors enter upon the roof to perform such installations (or any other installations whether or not permitted by this Lease), Landlord shall assume all responsibility for the maintenance in watertight condition, replacement and repair of the roof, and Sections 9.01, 12.01 and 12.02 shall be deemed modified accordingly. Upon request of Tenant, Landlord shall enter into a commercially reasonable written agreement with Tenant acknowledging the date on which Landlord shall be deemed to have assumed liability for the maintenance, repair and replacement of the roof, but the failure or refusal to sign the agreement by either party shall in no event affect the determination of such date or either party’s obligations hereunder. If Tenant shall notify Landlord in writing of the need of roof repairs, Landlord shall use all commercially reasonable efforts to commence such repairs within five (5) business days after receipt of notice thereof, and to thereafter diligently pursue such repairs to completion. If Landlord fails to commence such repairs within the five (5) business day period, Tenant may send Landlord a reminder notice stating in BOLD AND CONSPICOUS LETTERS, that failure of commence repair of the roof within five (5) business days after receipt of such notice shall entitle Tenant to commence making the repairs at Landlord’s cost and expense, and if Landlord thereafter fails to timely commence such repairs and thereafter to diligently pursue same to completion, Tenant shall have the right to make such repairs at Landlord’s sole cost and expense, and Landlord shall reimburse Tenant for Tenant’s actual costs and expenses incurred in connection therewith within thirty (30) days after receipt of Tenant’s bill therefor accompanied by reasonable substantiation of the charges therein. If Landlord fails to timely reimburse Tenant, Tenant may send Landlord a reminder notice stating in BOLD AND CONSPICOUS LETTERS, that Landlord’s failure to pay said charges within five (5) business days following receipt of such reminder notice shall entitle Tenant to offset the amount stated in Tenant’s bill against the next due installments of Basic Rent however, in no event shall Tenant deduct more than twenty (20%) percent from each monthly installment until such time as Tenant has been fully reimbursed for its expenditures for such roof repairs.</w:t>
      </w:r>
    </w:p>
    <w:p>
      <w:pPr>
        <w:spacing w:after="0" w:line="191"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28.02. </w:t>
      </w:r>
      <w:r>
        <w:rPr>
          <w:rFonts w:ascii="Times New Roman" w:cs="Times New Roman" w:eastAsia="Times New Roman" w:hAnsi="Times New Roman"/>
          <w:sz w:val="18"/>
          <w:szCs w:val="18"/>
          <w:color w:val="auto"/>
        </w:rPr>
        <w:t>Subject to approval by all applicable governmental authorities and compliance with all applicable Legal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shall have the right, at Tenant’s sole option, to install an antenna or satellite “dish”, or similar device for the reception and transmission of signals with its home office or other stores (“</w:t>
      </w:r>
      <w:r>
        <w:rPr>
          <w:rFonts w:ascii="Times New Roman" w:cs="Times New Roman" w:eastAsia="Times New Roman" w:hAnsi="Times New Roman"/>
          <w:sz w:val="18"/>
          <w:szCs w:val="18"/>
          <w:b w:val="1"/>
          <w:bCs w:val="1"/>
          <w:i w:val="1"/>
          <w:iCs w:val="1"/>
          <w:u w:val="single" w:color="auto"/>
          <w:color w:val="auto"/>
        </w:rPr>
        <w:t>Device</w:t>
      </w:r>
      <w:r>
        <w:rPr>
          <w:rFonts w:ascii="Times New Roman" w:cs="Times New Roman" w:eastAsia="Times New Roman" w:hAnsi="Times New Roman"/>
          <w:sz w:val="18"/>
          <w:szCs w:val="18"/>
          <w:color w:val="auto"/>
        </w:rPr>
        <w:t>”), on the roof of the Building in a location to be mutually agreed upon, subject to Landlord’s prior written approval of such location and Tenant’s plans and specifications, such approval not to be unreasonably withheld, conditioned or delayed. The Device shall be utilized solely for Tenant’s business operations and shall be screened so that it is not be visible from the parking areas. The Device shall be installed at Tenant’s expense and Tenant shall comply with all laws, ordinances and regulations relating to the installation, use and maintenance of the Device. Tenant will ensure that the Device, and each part of it, will be installed in accordance with all Legal Requirements and shall repair all damage to the Premises and building (including but not limited to the roof of the Premises) caused as a result of Tenant’s installation, maintenance or removal of the Device. The Device is and shall remain the property of Tenant or Tenant’s assignee, transferee or sublessee, and Landlord and Tenant agree that the Device is not, and installation of the Device at the Demised Premises shall not cause the Device to become, a fixture pursuant to this Lease or by operation of law. Tenant shall be responsible for the replacement, repair and maintenance of the Device during the Term of this Lease at its sole cost and expense, and upon the termination of this Lease shall remove said Device and repair damage caused as a result of such installation or removal. Any roof penetrations caused by Tenant shall not invalidate the roof warranty. Roof penetrations if any, shall be performed only by Landlord’s designated contractor at Tenant’s expense. All damage caused to the roof by Tenant, its agents, servants, employees or contractors shall be repaired by a Landlord’s designated contractor, at Tenant’s sole cost and expense. Tenant shall indemnify, defend and hold Landlord harmless from and against all costs, expenses, claims, suits, causes of action, liabilities, losses, injuries, and damage, including, without limitation, reasonable attorneys' fees and costs for damage or injury to persons or their property caused by the installation, repair, replacement or removal of the Device. Except as expressly set forth in this Section, Tenant shall have no other rights to make any other installations on the roof of the Building.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08" w:name="page209"/>
    <w:bookmarkEnd w:id="20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XXIX</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29.01. Partial Invalidity. </w:t>
      </w:r>
      <w:r>
        <w:rPr>
          <w:rFonts w:ascii="Times New Roman" w:cs="Times New Roman" w:eastAsia="Times New Roman" w:hAnsi="Times New Roman"/>
          <w:sz w:val="18"/>
          <w:szCs w:val="18"/>
          <w:color w:val="auto"/>
        </w:rPr>
        <w:t>If any term or provision of this Lease or the application thereof to any party or circumstances shall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be invalid or unenforceable, the remainder of this Lease or the application of such term or provision to parties or circumstances other than those to which it is held invalid or unenforceable, shall not be affected thereby, and each term and provision of this Lease shall be valid and enforced to the fullest extent permitted by law.</w:t>
      </w:r>
    </w:p>
    <w:p>
      <w:pPr>
        <w:spacing w:after="0" w:line="177"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29.02. Waivers. </w:t>
      </w:r>
      <w:r>
        <w:rPr>
          <w:rFonts w:ascii="Times New Roman" w:cs="Times New Roman" w:eastAsia="Times New Roman" w:hAnsi="Times New Roman"/>
          <w:sz w:val="18"/>
          <w:szCs w:val="18"/>
          <w:color w:val="auto"/>
        </w:rPr>
        <w:t>(a) One or more waivers by either party of the obligation of the other to perform any covenant or condition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construed as a waiver of a subsequent breach of the same or any other covenant or condition.</w:t>
      </w:r>
    </w:p>
    <w:p>
      <w:pPr>
        <w:spacing w:after="0" w:line="159" w:lineRule="exact"/>
        <w:rPr>
          <w:sz w:val="20"/>
          <w:szCs w:val="20"/>
          <w:color w:val="auto"/>
        </w:rPr>
      </w:pPr>
    </w:p>
    <w:p>
      <w:pPr>
        <w:jc w:val="both"/>
        <w:ind w:firstLine="1305"/>
        <w:spacing w:after="0" w:line="258" w:lineRule="auto"/>
        <w:tabs>
          <w:tab w:leader="none" w:pos="184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Monthly Basic Rent and Additional Rent by the Landlord, with knowledge of any breach of this Lease by the Tenant or of any default on the part of the Tenant in the observance or performance of any of the conditions or covenants of this Lease, shall not be deemed to be a waiver of any provision of this Lease. Neither acceptance of the keys nor any other act or thing done by the Landlord or any agent or employee during the Term herein demised shall be deemed to be an acceptance of a surrender of said Demised Premises, excepting only an agreement in writing signed by the Landlord accepting or agreeing to accept such surrender.</w:t>
      </w:r>
    </w:p>
    <w:p>
      <w:pPr>
        <w:spacing w:after="0" w:line="183" w:lineRule="exact"/>
        <w:rPr>
          <w:rFonts w:ascii="Times New Roman" w:cs="Times New Roman" w:eastAsia="Times New Roman" w:hAnsi="Times New Roman"/>
          <w:sz w:val="18"/>
          <w:szCs w:val="18"/>
          <w:color w:val="auto"/>
        </w:rPr>
      </w:pPr>
    </w:p>
    <w:p>
      <w:pPr>
        <w:jc w:val="both"/>
        <w:ind w:firstLine="1305"/>
        <w:spacing w:after="0" w:line="266" w:lineRule="auto"/>
        <w:tabs>
          <w:tab w:leader="none" w:pos="180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any sum of money or reimbursement or refund by Tenant, with knowledge of any breach of this Lease by the Landlord or of any default on the part of the Landlord in the observance or performance of any of the conditions or covenants of this Lease, shall not be deemed to be a waiver of any provision of this Lease.</w:t>
      </w:r>
    </w:p>
    <w:p>
      <w:pPr>
        <w:spacing w:after="0" w:line="172" w:lineRule="exact"/>
        <w:rPr>
          <w:sz w:val="20"/>
          <w:szCs w:val="20"/>
          <w:color w:val="auto"/>
        </w:rPr>
      </w:pPr>
    </w:p>
    <w:p>
      <w:pPr>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29.03. Number, Gender. </w:t>
      </w:r>
      <w:r>
        <w:rPr>
          <w:rFonts w:ascii="Times New Roman" w:cs="Times New Roman" w:eastAsia="Times New Roman" w:hAnsi="Times New Roman"/>
          <w:sz w:val="18"/>
          <w:szCs w:val="18"/>
          <w:color w:val="auto"/>
        </w:rPr>
        <w:t>Wherever herein the singular number is used, the same shall include the plural, and the masculine gender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include the feminine and neuter genders.</w:t>
      </w:r>
    </w:p>
    <w:p>
      <w:pPr>
        <w:spacing w:after="0" w:line="155" w:lineRule="exact"/>
        <w:rPr>
          <w:sz w:val="20"/>
          <w:szCs w:val="20"/>
          <w:color w:val="auto"/>
        </w:rPr>
      </w:pPr>
    </w:p>
    <w:p>
      <w:pPr>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29.04. Successors, Assigns. </w:t>
      </w:r>
      <w:r>
        <w:rPr>
          <w:rFonts w:ascii="Times New Roman" w:cs="Times New Roman" w:eastAsia="Times New Roman" w:hAnsi="Times New Roman"/>
          <w:sz w:val="18"/>
          <w:szCs w:val="18"/>
          <w:color w:val="auto"/>
        </w:rPr>
        <w:t>The terms, covenants and conditions herein contained shall be binding upon and inure to the benefit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parties and their successors and assigns.</w:t>
      </w:r>
    </w:p>
    <w:p>
      <w:pPr>
        <w:spacing w:after="0" w:line="155" w:lineRule="exact"/>
        <w:rPr>
          <w:sz w:val="20"/>
          <w:szCs w:val="20"/>
          <w:color w:val="auto"/>
        </w:rPr>
      </w:pPr>
    </w:p>
    <w:p>
      <w:pPr>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29.05. Headings. </w:t>
      </w:r>
      <w:r>
        <w:rPr>
          <w:rFonts w:ascii="Times New Roman" w:cs="Times New Roman" w:eastAsia="Times New Roman" w:hAnsi="Times New Roman"/>
          <w:sz w:val="18"/>
          <w:szCs w:val="18"/>
          <w:color w:val="auto"/>
        </w:rPr>
        <w:t>The Article and marginal headings herein are intended for convenience in finding the subject matters, are not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taken as part of this Lease and are not to be used in determining the intent of the parties to this Lease.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09" w:name="page210"/>
    <w:bookmarkEnd w:id="209"/>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29.06. Entire Agreement. </w:t>
      </w:r>
      <w:r>
        <w:rPr>
          <w:rFonts w:ascii="Times New Roman" w:cs="Times New Roman" w:eastAsia="Times New Roman" w:hAnsi="Times New Roman"/>
          <w:sz w:val="18"/>
          <w:szCs w:val="18"/>
          <w:color w:val="auto"/>
        </w:rPr>
        <w:t>This instrument contains the entire and only agreement between the parties and no oral statements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or prior written matter not contained in this instrument shall have any force or effect. This Lease shall not be modified in any way or terminated except by a writing executed by both parties.</w:t>
      </w:r>
    </w:p>
    <w:p>
      <w:pPr>
        <w:spacing w:after="0" w:line="171"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29.07. Landlord. </w:t>
      </w:r>
      <w:r>
        <w:rPr>
          <w:rFonts w:ascii="Times New Roman" w:cs="Times New Roman" w:eastAsia="Times New Roman" w:hAnsi="Times New Roman"/>
          <w:sz w:val="18"/>
          <w:szCs w:val="18"/>
          <w:color w:val="auto"/>
        </w:rPr>
        <w:t>The term “Landlord” as used in this Lease means only the holder, for the time being, of the Landlord’s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Lease so that in the event of any transfer of title to the Demised Premises the Landlord shall be and hereby is entirely freed and relieved of all obligations of the Landlord hereunder accruing after such transfer, and it shall be deemed without further agreement between the parties that such grantee, transferee or assignee has assumed and agreed to observe and perform all obligations of the Landlord hereunder arising during the period it is the holder of the Landlord’s interest hereunder.</w:t>
      </w:r>
    </w:p>
    <w:p>
      <w:pPr>
        <w:spacing w:after="0" w:line="180" w:lineRule="exact"/>
        <w:rPr>
          <w:sz w:val="20"/>
          <w:szCs w:val="20"/>
          <w:color w:val="auto"/>
        </w:rPr>
      </w:pPr>
    </w:p>
    <w:p>
      <w:pPr>
        <w:jc w:val="both"/>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29.08. Words of Duty. </w:t>
      </w:r>
      <w:r>
        <w:rPr>
          <w:rFonts w:ascii="Times New Roman" w:cs="Times New Roman" w:eastAsia="Times New Roman" w:hAnsi="Times New Roman"/>
          <w:sz w:val="18"/>
          <w:szCs w:val="18"/>
          <w:color w:val="auto"/>
        </w:rPr>
        <w:t>Whenever in this Lease any words of obligation or duty are used, such words or expressions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force and effect as though made in the form of covenants.</w:t>
      </w:r>
    </w:p>
    <w:p>
      <w:pPr>
        <w:spacing w:after="0" w:line="155"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29.09. Cumulative Remedies. </w:t>
      </w:r>
      <w:r>
        <w:rPr>
          <w:rFonts w:ascii="Times New Roman" w:cs="Times New Roman" w:eastAsia="Times New Roman" w:hAnsi="Times New Roman"/>
          <w:sz w:val="18"/>
          <w:szCs w:val="18"/>
          <w:color w:val="auto"/>
        </w:rPr>
        <w:t>The specified remedies to which the Landlord or the Tenant may resort under the terms of this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cumulative and are not intended to be exclusive of any other remedies or means of redress to which the Landlord or the Tenant may lawfully be entitled in case of any breach or threatened breach of any provision of this Lease.</w:t>
      </w:r>
    </w:p>
    <w:p>
      <w:pPr>
        <w:spacing w:after="0" w:line="171"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29.10. No Option. </w:t>
      </w:r>
      <w:r>
        <w:rPr>
          <w:rFonts w:ascii="Times New Roman" w:cs="Times New Roman" w:eastAsia="Times New Roman" w:hAnsi="Times New Roman"/>
          <w:sz w:val="18"/>
          <w:szCs w:val="18"/>
          <w:color w:val="auto"/>
        </w:rPr>
        <w:t>The submission of this Lease Agreement for examination does not constitute a reservation of, or option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Demised Premises, and this Lease Agreement becomes effective as a Lease Agreement only upon execution and delivery thereof by Landlord and Tenant.</w:t>
      </w:r>
    </w:p>
    <w:p>
      <w:pPr>
        <w:spacing w:after="0" w:line="155"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29.11. Accord and Satisfaction. </w:t>
      </w:r>
      <w:r>
        <w:rPr>
          <w:rFonts w:ascii="Times New Roman" w:cs="Times New Roman" w:eastAsia="Times New Roman" w:hAnsi="Times New Roman"/>
          <w:sz w:val="18"/>
          <w:szCs w:val="18"/>
          <w:color w:val="auto"/>
        </w:rPr>
        <w:t>No payment by Tenant or receipt by Landlord of a lesser amount than the Monthly Basic Rent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charges payable hereunder shall be deemed to be other than a payment on account of the earliest stipulated Monthly Basic Rent and Additional Rent, nor shall any endorsement or statement on any check or any letter accompanying any check or payment for Basic Rent or Additional Rent be deemed an accord and satisfaction, and Landlord may accept such check or payment without prejudice to Landlord’s right to recover the balance of such Basic Rent and Additional Rent or pursue any other remedy provided herein or by law. No payment by Landlord to Tenant of a lesser amount than that owed to Tenant shall be deemed to be other than payment on account, nor shall any endorsement or statement on any check or any letter accompanying any check or payment of sums owed to Tenant be deemed an accord and satisfaction, and Tenant may accept such check or payment without prejudice to Tenant’s right to recover the balance of any such amounts owed to Tenant or to pursue any other remedy provided herein or by law.</w:t>
      </w:r>
    </w:p>
    <w:p>
      <w:pPr>
        <w:spacing w:after="0" w:line="185"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29.12. Authority. </w:t>
      </w:r>
      <w:r>
        <w:rPr>
          <w:rFonts w:ascii="Times New Roman" w:cs="Times New Roman" w:eastAsia="Times New Roman" w:hAnsi="Times New Roman"/>
          <w:sz w:val="18"/>
          <w:szCs w:val="18"/>
          <w:color w:val="auto"/>
        </w:rPr>
        <w:t>(a) Tenant represents and warrants to Landlord it has full right, power and authority to enter into this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consent or approval of any other entity or person and makes this representation knowing that the Landlord party will rely thereon. The signatory on behalf of Tenant further represents and warrants that it has full right, power and authority to act for and on behalf of Tenant in entering into this lease.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0" w:name="page211"/>
    <w:bookmarkEnd w:id="210"/>
    <w:p>
      <w:pPr>
        <w:jc w:val="both"/>
        <w:ind w:firstLine="1305"/>
        <w:spacing w:after="0" w:line="261" w:lineRule="auto"/>
        <w:tabs>
          <w:tab w:leader="none" w:pos="186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represents and warrants to Tenant that it is the fee owner of the Demised Premises and the Real Property, it has full right, power and authority to enter into this Lease without the consent or approval of any other entity or person and makes this representation knowing that Tenant will rely thereon. The signatory on behalf of Landlord further represents and warrants that it has full right, power and authority to act for and on behalf of Landlord in entering into this lease.</w:t>
      </w:r>
    </w:p>
    <w:p>
      <w:pPr>
        <w:spacing w:after="0" w:line="176"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Section 29.13. Lease Commencement</w:t>
      </w:r>
      <w:r>
        <w:rPr>
          <w:rFonts w:ascii="Times New Roman" w:cs="Times New Roman" w:eastAsia="Times New Roman" w:hAnsi="Times New Roman"/>
          <w:sz w:val="18"/>
          <w:szCs w:val="18"/>
          <w:color w:val="auto"/>
        </w:rPr>
        <w:t>. If Landlord, for any reason whatsoever including Landlord’s negligence, cannot deliver possession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Demised Premises to Tenant at the commencement of the agreed Term as set forth in Section 2.01, this Lease shall not be void or voidable but it shall be terminable as set forth in said Section 2.01, nor shall Landlord be liable to Tenant for any loss or damage resulting therefrom except as set forth in said Section 2.01, but in that event, the Term shall be for the full Term as specified above to commence from and after the date Landlord shall have delivered possession of the Demised Premises to Tenant, and, if requested by Landlord, Landlord and Tenant shall, by a writing signed by the parties, ratify and confirm said commencement and termination dates.</w:t>
      </w:r>
    </w:p>
    <w:p>
      <w:pPr>
        <w:spacing w:after="0" w:line="183"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29.14. </w:t>
      </w:r>
      <w:r>
        <w:rPr>
          <w:rFonts w:ascii="Times New Roman" w:cs="Times New Roman" w:eastAsia="Times New Roman" w:hAnsi="Times New Roman"/>
          <w:sz w:val="18"/>
          <w:szCs w:val="18"/>
          <w:color w:val="auto"/>
        </w:rPr>
        <w:t>As used in this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Real Estate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property taxes and assessments imposed upon the Real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Building, or upon the Term Basic Rent and Additional Rent, as such, payable to Landlord, including, but not limited to, real estate, city, county, village, school and transit taxes, or taxes, assessments or changes levied, imposed, or assessed against the Demised Premises including the Building by any other lawful taxing authority, whether general or specific, ordinary or extraordinary, foreseen or unforeseen, less any tax exemptions and abatements granted pursuant to any law or ordinance. Real Estate Taxes shall not include (i) any income, franchise, gross receipts, use or “value added” taxes, transfer or gains taxes, corporation, capital levy, excess profits, revenue, inheritance, devolution, gift, estate, payroll or stamp tax, by whatever authority imposed or however designated, nor any interest or penalties payable because of late payment of Real Estate Taxes (unless such late payment is due solely to the late payment by Tenant), If due to a future change in the method of taxation, any franchise, income or profit tax or other tax shall be levied against Landlord in substitution for, or in lieu of, or in addition to, any tax which would otherwise constitute a Real Estate Tax, such franchise, income or profit tax or other tax shall be deemed to be a Real Estate Tax for the purposes hereof; conversely, any additional real estate tax hereafter imposed in substitution for, or in lieu of, any franchise, income or profit tax or other tax (which is not in substitution for, or in lieu of, or in addition to, a Real Estate Tax as hereinbefore provided) shall not be deemed a Real Estate Tax for the purposes hereof.</w:t>
      </w:r>
    </w:p>
    <w:p>
      <w:pPr>
        <w:spacing w:after="0" w:line="191"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Section 29.15. Execution</w:t>
      </w:r>
      <w:r>
        <w:rPr>
          <w:rFonts w:ascii="Times New Roman" w:cs="Times New Roman" w:eastAsia="Times New Roman" w:hAnsi="Times New Roman"/>
          <w:sz w:val="18"/>
          <w:szCs w:val="18"/>
          <w:color w:val="auto"/>
        </w:rPr>
        <w:t>. This Lease may be executed in one or more counterparts, each of which counterparts shall be an original.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copy of this Lease may delivered by facsimile or electronic mail with the same effect as if an executed original counterpart were delivered; however, upon request of any party hereto, the parties shall promptly execute and deliver to all parties hereto, “hard” duplicate original copies with original inked signatures.</w:t>
      </w:r>
    </w:p>
    <w:p>
      <w:pPr>
        <w:spacing w:after="0" w:line="177"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29.16. Force Majeure. </w:t>
      </w:r>
      <w:r>
        <w:rPr>
          <w:rFonts w:ascii="Times New Roman" w:cs="Times New Roman" w:eastAsia="Times New Roman" w:hAnsi="Times New Roman"/>
          <w:sz w:val="18"/>
          <w:szCs w:val="18"/>
          <w:color w:val="auto"/>
        </w:rPr>
        <w:t>Force Majeure shall mean and include those situations beyond a party’s control, including by way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example and not by way of limitation, acts of God; accidents; repairs; strikes; shortages of labor, supplies or materials; inclement weather; or, where applicable, the passage of time while waiting for an adjustment of insurance proceeds. Any time limits required to be met by either party hereunder, whether specifically made subject to Force Majeure or not, except those related to the payment of Basic Rent or Additional Rent and except as to the time periods set forth in Article XVII, shall, unless specifically stated to the contrary elsewhere in this Lease, be automatically extended by the number of days by which any performance called for is delayed due to Force Majeure.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1" w:name="page212"/>
    <w:bookmarkEnd w:id="211"/>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29.17. Applicable Law. </w:t>
      </w:r>
      <w:r>
        <w:rPr>
          <w:rFonts w:ascii="Times New Roman" w:cs="Times New Roman" w:eastAsia="Times New Roman" w:hAnsi="Times New Roman"/>
          <w:sz w:val="18"/>
          <w:szCs w:val="18"/>
          <w:color w:val="auto"/>
        </w:rPr>
        <w:t>This Lease shall be governed by and construed and enforced in accordance with the laws by the Courts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New Jersey (excluding New Jersey conflict laws) and by the Courts of New Jersey.</w:t>
      </w:r>
    </w:p>
    <w:p>
      <w:pPr>
        <w:spacing w:after="0" w:line="155"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29.18. Memorandum of Lease. </w:t>
      </w:r>
      <w:r>
        <w:rPr>
          <w:rFonts w:ascii="Times New Roman" w:cs="Times New Roman" w:eastAsia="Times New Roman" w:hAnsi="Times New Roman"/>
          <w:sz w:val="18"/>
          <w:szCs w:val="18"/>
          <w:color w:val="auto"/>
        </w:rPr>
        <w:t>This Lease shall not be filed of record in any office or place of public record, without Landlord’s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Tenant’s consent; but on request of either party, Landlord and Tenant shall execute, acknowledge and deliver to each other duplicate originals of a memorandum of this Lease, substantially in the form attached hereto as Exhibit F, and on request of either party a memorandum or short form of any modification of this Lease, in recordable form, containing the information required by law for recording and such other provisions as either party may reasonably request (other than rental terms), so as to give notice of the provisions of this Lease or said modification, as the case may be. In the event that a memorandum of this Lease is recorded, the parties shall simultaneously execute a Discharge of Memorandum in the form of Exhibit G to be held in escrow by Landlord’s counsel and not recored until the expiration or sooner termination of this Lease.</w:t>
      </w:r>
    </w:p>
    <w:p>
      <w:pPr>
        <w:spacing w:after="0" w:line="183"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Section 29.19. Lease Year</w:t>
      </w:r>
      <w:r>
        <w:rPr>
          <w:rFonts w:ascii="Times New Roman" w:cs="Times New Roman" w:eastAsia="Times New Roman" w:hAnsi="Times New Roman"/>
          <w:sz w:val="18"/>
          <w:szCs w:val="18"/>
          <w:color w:val="auto"/>
        </w:rPr>
        <w:t>. The first Lease Year shall be the period commencing on the Rent Commencement Date and ending twelve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after the last day of the month in which the Rent Commencement Date occurs, and each succeeding twelve (12) month period thereafter shall be a Lease Year.</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29.20. 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Section 29.21. Rules of Construction</w:t>
      </w:r>
      <w:r>
        <w:rPr>
          <w:rFonts w:ascii="Times New Roman" w:cs="Times New Roman" w:eastAsia="Times New Roman" w:hAnsi="Times New Roman"/>
          <w:sz w:val="18"/>
          <w:szCs w:val="18"/>
          <w:color w:val="auto"/>
        </w:rPr>
        <w:t>. The following rules of construction shall be applicable for all purposes of this Lease unless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context otherwise requires:</w:t>
      </w:r>
    </w:p>
    <w:p>
      <w:pPr>
        <w:spacing w:after="0" w:line="155" w:lineRule="exact"/>
        <w:rPr>
          <w:sz w:val="20"/>
          <w:szCs w:val="20"/>
          <w:color w:val="auto"/>
        </w:rPr>
      </w:pPr>
    </w:p>
    <w:p>
      <w:pPr>
        <w:ind w:right="20" w:firstLine="1305"/>
        <w:spacing w:after="0" w:line="286" w:lineRule="auto"/>
        <w:tabs>
          <w:tab w:leader="none" w:pos="189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w:t>
      </w:r>
      <w:r>
        <w:rPr>
          <w:rFonts w:ascii="Times New Roman" w:cs="Times New Roman" w:eastAsia="Times New Roman" w:hAnsi="Times New Roman"/>
          <w:sz w:val="18"/>
          <w:szCs w:val="18"/>
          <w:b w:val="1"/>
          <w:bCs w:val="1"/>
          <w:i w:val="1"/>
          <w:iCs w:val="1"/>
          <w:color w:val="auto"/>
        </w:rPr>
        <w:t>“hereby”, “hereof”, “hereto”, “herein”, “hereunder”</w:t>
      </w:r>
      <w:r>
        <w:rPr>
          <w:rFonts w:ascii="Times New Roman" w:cs="Times New Roman" w:eastAsia="Times New Roman" w:hAnsi="Times New Roman"/>
          <w:sz w:val="18"/>
          <w:szCs w:val="18"/>
          <w:color w:val="auto"/>
        </w:rPr>
        <w:t xml:space="preserve"> and any similar terms shall refer to this Lease, and </w:t>
      </w:r>
      <w:r>
        <w:rPr>
          <w:rFonts w:ascii="Times New Roman" w:cs="Times New Roman" w:eastAsia="Times New Roman" w:hAnsi="Times New Roman"/>
          <w:sz w:val="18"/>
          <w:szCs w:val="18"/>
          <w:b w:val="1"/>
          <w:bCs w:val="1"/>
          <w:i w:val="1"/>
          <w:iCs w:val="1"/>
          <w:color w:val="auto"/>
        </w:rPr>
        <w:t>“hereafter”</w:t>
      </w:r>
      <w:r>
        <w:rPr>
          <w:rFonts w:ascii="Times New Roman" w:cs="Times New Roman" w:eastAsia="Times New Roman" w:hAnsi="Times New Roman"/>
          <w:sz w:val="18"/>
          <w:szCs w:val="18"/>
          <w:color w:val="auto"/>
        </w:rPr>
        <w:t xml:space="preserve"> shall mean after, and </w:t>
      </w:r>
      <w:r>
        <w:rPr>
          <w:rFonts w:ascii="Times New Roman" w:cs="Times New Roman" w:eastAsia="Times New Roman" w:hAnsi="Times New Roman"/>
          <w:sz w:val="18"/>
          <w:szCs w:val="18"/>
          <w:b w:val="1"/>
          <w:bCs w:val="1"/>
          <w:i w:val="1"/>
          <w:iCs w:val="1"/>
          <w:color w:val="auto"/>
        </w:rPr>
        <w:t>“heretofore”</w:t>
      </w:r>
      <w:r>
        <w:rPr>
          <w:rFonts w:ascii="Times New Roman" w:cs="Times New Roman" w:eastAsia="Times New Roman" w:hAnsi="Times New Roman"/>
          <w:sz w:val="18"/>
          <w:szCs w:val="18"/>
          <w:color w:val="auto"/>
        </w:rPr>
        <w:t xml:space="preserve"> shall mean before, the date of this Lease.</w:t>
      </w:r>
    </w:p>
    <w:p>
      <w:pPr>
        <w:spacing w:after="0" w:line="154"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w:t>
      </w:r>
      <w:r>
        <w:rPr>
          <w:rFonts w:ascii="Times New Roman" w:cs="Times New Roman" w:eastAsia="Times New Roman" w:hAnsi="Times New Roman"/>
          <w:sz w:val="18"/>
          <w:szCs w:val="18"/>
          <w:b w:val="1"/>
          <w:bCs w:val="1"/>
          <w:i w:val="1"/>
          <w:iCs w:val="1"/>
          <w:color w:val="auto"/>
        </w:rPr>
        <w:t>“include”, “including”, “</w:t>
      </w:r>
      <w:r>
        <w:rPr>
          <w:rFonts w:ascii="Times New Roman" w:cs="Times New Roman" w:eastAsia="Times New Roman" w:hAnsi="Times New Roman"/>
          <w:sz w:val="18"/>
          <w:szCs w:val="18"/>
          <w:b w:val="1"/>
          <w:bCs w:val="1"/>
          <w:i w:val="1"/>
          <w:iCs w:val="1"/>
          <w:u w:val="single" w:color="auto"/>
          <w:color w:val="auto"/>
        </w:rPr>
        <w:t>exclude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u w:val="single" w:color="auto"/>
          <w:color w:val="auto"/>
        </w:rPr>
        <w:t>excluding</w:t>
      </w:r>
      <w:r>
        <w:rPr>
          <w:rFonts w:ascii="Times New Roman" w:cs="Times New Roman" w:eastAsia="Times New Roman" w:hAnsi="Times New Roman"/>
          <w:sz w:val="18"/>
          <w:szCs w:val="18"/>
          <w:color w:val="auto"/>
        </w:rPr>
        <w:t>” and similar terms shall be construed as if followed by the phrase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being limited to”.</w:t>
      </w:r>
    </w:p>
    <w:p>
      <w:pPr>
        <w:spacing w:after="0" w:line="202" w:lineRule="exact"/>
        <w:rPr>
          <w:rFonts w:ascii="Times New Roman" w:cs="Times New Roman" w:eastAsia="Times New Roman" w:hAnsi="Times New Roman"/>
          <w:sz w:val="18"/>
          <w:szCs w:val="18"/>
          <w:color w:val="auto"/>
        </w:rPr>
      </w:pPr>
    </w:p>
    <w:p>
      <w:pPr>
        <w:ind w:firstLine="1305"/>
        <w:spacing w:after="0" w:line="286" w:lineRule="auto"/>
        <w:tabs>
          <w:tab w:leader="none" w:pos="181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w:t>
      </w:r>
      <w:r>
        <w:rPr>
          <w:rFonts w:ascii="Times New Roman" w:cs="Times New Roman" w:eastAsia="Times New Roman" w:hAnsi="Times New Roman"/>
          <w:sz w:val="18"/>
          <w:szCs w:val="18"/>
          <w:b w:val="1"/>
          <w:bCs w:val="1"/>
          <w:i w:val="1"/>
          <w:iCs w:val="1"/>
          <w:color w:val="auto"/>
        </w:rPr>
        <w:t>“and/or”</w:t>
      </w:r>
      <w:r>
        <w:rPr>
          <w:rFonts w:ascii="Times New Roman" w:cs="Times New Roman" w:eastAsia="Times New Roman" w:hAnsi="Times New Roman"/>
          <w:sz w:val="18"/>
          <w:szCs w:val="18"/>
          <w:color w:val="auto"/>
        </w:rPr>
        <w:t xml:space="preserve"> when applied to one or more matters or things shall be construed to apply to any one or more or all thereof as the circumstances warrant at the time in question.</w:t>
      </w:r>
    </w:p>
    <w:p>
      <w:pPr>
        <w:spacing w:after="0" w:line="158" w:lineRule="exact"/>
        <w:rPr>
          <w:rFonts w:ascii="Times New Roman" w:cs="Times New Roman" w:eastAsia="Times New Roman" w:hAnsi="Times New Roman"/>
          <w:sz w:val="18"/>
          <w:szCs w:val="18"/>
          <w:color w:val="auto"/>
        </w:rPr>
      </w:pPr>
    </w:p>
    <w:p>
      <w:pPr>
        <w:ind w:right="20" w:firstLine="1305"/>
        <w:spacing w:after="0" w:line="282" w:lineRule="auto"/>
        <w:tabs>
          <w:tab w:leader="none" w:pos="190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 part shall have the right of self-help, the costs incurred on account of the other party shall be deemed to be only the “reasonable costs” so incurred.</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8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there appears an express right of self-help, or an express right of one party to expend monies on behalf of the other party, the party seeking to exercise such right of self-help shall first send a reminder /warning notice and provide an appropriate time period for cure (except in an emergency situation) before the party seeking to exercise such right of self-help exercises such right or expends funds on behalf of the other party.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12" w:name="page213"/>
    <w:bookmarkEnd w:id="212"/>
    <w:p>
      <w:pPr>
        <w:ind w:left="1780" w:hanging="475"/>
        <w:spacing w:after="0"/>
        <w:tabs>
          <w:tab w:leader="none" w:pos="17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b w:val="1"/>
          <w:bCs w:val="1"/>
          <w:i w:val="1"/>
          <w:iCs w:val="1"/>
          <w:color w:val="auto"/>
        </w:rPr>
        <w:t>business days</w:t>
      </w:r>
      <w:r>
        <w:rPr>
          <w:rFonts w:ascii="Times New Roman" w:cs="Times New Roman" w:eastAsia="Times New Roman" w:hAnsi="Times New Roman"/>
          <w:sz w:val="18"/>
          <w:szCs w:val="18"/>
          <w:color w:val="auto"/>
        </w:rPr>
        <w:t>” shall mean Monday through Friday exclusive of Holidays.</w:t>
      </w:r>
    </w:p>
    <w:p>
      <w:pPr>
        <w:spacing w:after="0" w:line="225" w:lineRule="exact"/>
        <w:rPr>
          <w:rFonts w:ascii="Times New Roman" w:cs="Times New Roman" w:eastAsia="Times New Roman" w:hAnsi="Times New Roman"/>
          <w:sz w:val="18"/>
          <w:szCs w:val="18"/>
          <w:color w:val="auto"/>
        </w:rPr>
      </w:pPr>
    </w:p>
    <w:p>
      <w:pPr>
        <w:ind w:left="1820" w:hanging="515"/>
        <w:spacing w:after="0"/>
        <w:tabs>
          <w:tab w:leader="none" w:pos="18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b w:val="1"/>
          <w:bCs w:val="1"/>
          <w:i w:val="1"/>
          <w:iCs w:val="1"/>
          <w:color w:val="auto"/>
        </w:rPr>
        <w:t>Holidays</w:t>
      </w:r>
      <w:r>
        <w:rPr>
          <w:rFonts w:ascii="Times New Roman" w:cs="Times New Roman" w:eastAsia="Times New Roman" w:hAnsi="Times New Roman"/>
          <w:sz w:val="18"/>
          <w:szCs w:val="18"/>
          <w:color w:val="auto"/>
        </w:rPr>
        <w:t>” shall mean all holidays observed by the federal government and/or the State of New Jersey.</w:t>
      </w:r>
    </w:p>
    <w:p>
      <w:pPr>
        <w:spacing w:after="0" w:line="225" w:lineRule="exact"/>
        <w:rPr>
          <w:rFonts w:ascii="Times New Roman" w:cs="Times New Roman" w:eastAsia="Times New Roman" w:hAnsi="Times New Roman"/>
          <w:sz w:val="18"/>
          <w:szCs w:val="18"/>
          <w:color w:val="auto"/>
        </w:rPr>
      </w:pPr>
    </w:p>
    <w:p>
      <w:pPr>
        <w:ind w:left="5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 XXX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Personal Liability</w:t>
      </w:r>
    </w:p>
    <w:p>
      <w:pPr>
        <w:spacing w:after="0" w:line="225"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30.01. </w:t>
      </w:r>
      <w:r>
        <w:rPr>
          <w:rFonts w:ascii="Times New Roman" w:cs="Times New Roman" w:eastAsia="Times New Roman" w:hAnsi="Times New Roman"/>
          <w:sz w:val="18"/>
          <w:szCs w:val="18"/>
          <w:color w:val="auto"/>
        </w:rPr>
        <w:t>Notwithstanding anything to the contrary provided in this Lease, it is specifically understood and agreed, such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a primary consideration for the execution of this Lease by Landlord, that there shall be absolutely no personal liability on the part of Landlord, its successors, assigns or any mortgagee in possession (for the purposes of this Section, collectively referred to as “Landlord”), with respect to any of the terms, covenants and conditions of this Lease, and that Tenant shall look solely to the equity of Landlord and the proceeds of any insurance or other awards in the Building for the satisfaction of each and every remedy of Tenant in the event of any breach by Landlord of any of the terms, covenants and conditions of this Lease to be performed by Landlord, such exculpation of liability to be absolute and without any exceptions whatsoever.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XXXI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Concession</w:t>
      </w:r>
    </w:p>
    <w:p>
      <w:pPr>
        <w:spacing w:after="0" w:line="225"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31.01. </w:t>
      </w:r>
      <w:r>
        <w:rPr>
          <w:rFonts w:ascii="Times New Roman" w:cs="Times New Roman" w:eastAsia="Times New Roman" w:hAnsi="Times New Roman"/>
          <w:sz w:val="18"/>
          <w:szCs w:val="18"/>
          <w:color w:val="auto"/>
        </w:rPr>
        <w:t>Notwithstanding anything contained herein to the contrary, and provided Tenant is not in default under any of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Lease, the Tenant shall not be obligated to pay Basic Rent for the first sixty (60) days of the Term beginning on the Commencement Date (the “</w:t>
      </w:r>
      <w:r>
        <w:rPr>
          <w:rFonts w:ascii="Times New Roman" w:cs="Times New Roman" w:eastAsia="Times New Roman" w:hAnsi="Times New Roman"/>
          <w:sz w:val="18"/>
          <w:szCs w:val="18"/>
          <w:b w:val="1"/>
          <w:bCs w:val="1"/>
          <w:i w:val="1"/>
          <w:iCs w:val="1"/>
          <w:u w:val="single" w:color="auto"/>
          <w:color w:val="auto"/>
        </w:rPr>
        <w:t>Concession Period</w:t>
      </w:r>
      <w:r>
        <w:rPr>
          <w:rFonts w:ascii="Times New Roman" w:cs="Times New Roman" w:eastAsia="Times New Roman" w:hAnsi="Times New Roman"/>
          <w:sz w:val="18"/>
          <w:szCs w:val="18"/>
          <w:color w:val="auto"/>
        </w:rPr>
        <w:t>”). Notwithstanding the foregoing, Tenant shall nevertheless be obligated to fulfill all of its other obligations required by this Lease during the aforedescribed period including by way of example but not of limitation, those requirements described in Articles VII and VIII.</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XXXII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Intentionally Omitted.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XXXIII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Guaranty</w:t>
      </w:r>
    </w:p>
    <w:p>
      <w:pPr>
        <w:spacing w:after="0" w:line="225" w:lineRule="exact"/>
        <w:rPr>
          <w:sz w:val="20"/>
          <w:szCs w:val="20"/>
          <w:color w:val="auto"/>
        </w:rPr>
      </w:pPr>
    </w:p>
    <w:p>
      <w:pPr>
        <w:jc w:val="both"/>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33.01. </w:t>
      </w:r>
      <w:r>
        <w:rPr>
          <w:rFonts w:ascii="Times New Roman" w:cs="Times New Roman" w:eastAsia="Times New Roman" w:hAnsi="Times New Roman"/>
          <w:sz w:val="18"/>
          <w:szCs w:val="18"/>
          <w:color w:val="auto"/>
        </w:rPr>
        <w:t>This Lease is expressly conditioned on the execution by KORNIT DIGITAL LTD. of the guaranty of the terms,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in this Lease to be performed and observed by Tenant in the form and substance attached hereto and made a part hereof as Exhibit 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t>ARTICLE XXXIV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Cancellation Option</w:t>
      </w:r>
    </w:p>
    <w:p>
      <w:pPr>
        <w:spacing w:after="0" w:line="233" w:lineRule="exact"/>
        <w:rPr>
          <w:sz w:val="20"/>
          <w:szCs w:val="20"/>
          <w:color w:val="auto"/>
        </w:rPr>
      </w:pPr>
    </w:p>
    <w:p>
      <w:pPr>
        <w:jc w:val="both"/>
        <w:ind w:firstLine="1297"/>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Section 34.01. </w:t>
      </w:r>
      <w:r>
        <w:rPr>
          <w:rFonts w:ascii="Times New Roman" w:cs="Times New Roman" w:eastAsia="Times New Roman" w:hAnsi="Times New Roman"/>
          <w:sz w:val="18"/>
          <w:szCs w:val="18"/>
          <w:color w:val="auto"/>
        </w:rPr>
        <w:t>Tenant at its option will have a one-time right to cancel and terminate the Lease effective on the last day of the fifth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Year of the Term (the “</w:t>
      </w:r>
      <w:r>
        <w:rPr>
          <w:rFonts w:ascii="Times New Roman" w:cs="Times New Roman" w:eastAsia="Times New Roman" w:hAnsi="Times New Roman"/>
          <w:sz w:val="18"/>
          <w:szCs w:val="18"/>
          <w:b w:val="1"/>
          <w:bCs w:val="1"/>
          <w:i w:val="1"/>
          <w:iCs w:val="1"/>
          <w:color w:val="auto"/>
        </w:rPr>
        <w:t>Cancellation Date</w:t>
      </w:r>
      <w:r>
        <w:rPr>
          <w:rFonts w:ascii="Times New Roman" w:cs="Times New Roman" w:eastAsia="Times New Roman" w:hAnsi="Times New Roman"/>
          <w:sz w:val="18"/>
          <w:szCs w:val="18"/>
          <w:color w:val="auto"/>
        </w:rPr>
        <w:t>”). Tenant shall provide one hundred eighty (180) days prior written notice of its election to cancel the Lease, TIME HEREBY BEING MADE OF THE ESSENCE.. The right to cancel the Lease shall be conditioned upon the following: there being no uncured Event of Default under the Lease and Tenant paying a cancellation fee at the time it sends its cancellation notice equal to four (4) months of the Basic Monthly Rent due at the time of the Cancellation Date (FIFTY-THREE THOUSAND FIVE HUNDRED ONE AND 08/00 DOLLARS) ($53,501.08), plus the unearned real estate commission in the amount of FORTY-SIX THOUSAND EIGHT HUNDRED SIXTY-SEVEN DOLLARS ($46,867.00). Tenant shall also enter into a mutually acceptable Surrender and Acceptance Agreement effective as of the Cancellation Date, continue to perform all of the terms and conditions of the Lease until the Cancellation Date and actually vacates the Demised Premises and deliver possession in the condition required by the Lease at the scheduled expiration date on or before the Cancellation Date free and clear of liens, encumbrances and tenancies of any kind or nature. Upon Tenant’s compliance with all of the terms and conditions of this Section 34.01, Tenant shall be released from its obligations as contained in this Lease, as if said Cancellation Date were the scheduled expiration date of the Lease.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FURTHER TEXT – SIGNATURE PAGE TO FOLLOW]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hereunto set their hands and seals the day and year first above written.</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BONANNO REAL ESTATE GROUP I, L.P.,</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Landlord</w:t>
      </w:r>
    </w:p>
    <w:p>
      <w:pPr>
        <w:spacing w:after="0" w:line="207" w:lineRule="exact"/>
        <w:rPr>
          <w:sz w:val="20"/>
          <w:szCs w:val="20"/>
          <w:color w:val="auto"/>
        </w:rPr>
      </w:pPr>
    </w:p>
    <w:p>
      <w:pPr>
        <w:ind w:left="620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Max Bonanno</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Max Bonanno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-130810</wp:posOffset>
            </wp:positionV>
            <wp:extent cx="252984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200"/>
        <w:spacing w:after="0"/>
        <w:tabs>
          <w:tab w:leader="none" w:pos="6760" w:val="left"/>
        </w:tabs>
        <w:rPr>
          <w:sz w:val="20"/>
          <w:szCs w:val="20"/>
          <w:color w:val="auto"/>
        </w:rPr>
      </w:pPr>
      <w:r>
        <w:rPr>
          <w:rFonts w:ascii="Times New Roman" w:cs="Times New Roman" w:eastAsia="Times New Roman" w:hAnsi="Times New Roman"/>
          <w:sz w:val="18"/>
          <w:szCs w:val="18"/>
          <w:color w:val="auto"/>
        </w:rPr>
        <w:t>Title:</w:t>
        <w:tab/>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-130810</wp:posOffset>
            </wp:positionV>
            <wp:extent cx="252984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1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KORNIT DIGITAL NORTH AMERICA, INC.,</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Tenant</w:t>
      </w:r>
    </w:p>
    <w:p>
      <w:pPr>
        <w:spacing w:after="0" w:line="207" w:lineRule="exact"/>
        <w:rPr>
          <w:sz w:val="20"/>
          <w:szCs w:val="20"/>
          <w:color w:val="auto"/>
        </w:rPr>
      </w:pPr>
    </w:p>
    <w:tbl>
      <w:tblPr>
        <w:tblLayout w:type="fixed"/>
        <w:tblInd w:w="620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Shai Terem</w:t>
            </w:r>
          </w:p>
        </w:tc>
        <w:tc>
          <w:tcPr>
            <w:tcW w:w="260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2600" w:type="dxa"/>
            <w:vAlign w:val="bottom"/>
          </w:tcPr>
          <w:p>
            <w:pPr>
              <w:spacing w:after="0"/>
              <w:rPr>
                <w:sz w:val="20"/>
                <w:szCs w:val="20"/>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Gabi Seligsohn</w:t>
            </w:r>
          </w:p>
        </w:tc>
        <w:tc>
          <w:tcPr>
            <w:tcW w:w="2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Guy Avidan</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Gabi Seligsohn</w:t>
            </w:r>
          </w:p>
        </w:tc>
        <w:tc>
          <w:tcPr>
            <w:tcW w:w="26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Guy Avidan</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CEO</w:t>
            </w:r>
          </w:p>
        </w:tc>
        <w:tc>
          <w:tcPr>
            <w:tcW w:w="2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CFO</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901" w:right="2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164465</wp:posOffset>
            </wp:positionV>
            <wp:extent cx="5265420" cy="6011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2">
                      <a:extLst>
                        <a:ext uri="{28A0092B-C50C-407E-A947-70E740481C1C}"/>
                      </a:extLst>
                    </a:blip>
                    <a:srcRect/>
                    <a:stretch>
                      <a:fillRect/>
                    </a:stretch>
                  </pic:blipFill>
                  <pic:spPr bwMode="auto">
                    <a:xfrm>
                      <a:off x="0" y="0"/>
                      <a:ext cx="5265420" cy="60115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24765</wp:posOffset>
            </wp:positionV>
            <wp:extent cx="72466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type w:val="continuous"/>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7" w:name="page218"/>
    <w:bookmarkEnd w:id="217"/>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TENANT’S WORK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Tenant shall make the following improvements to the space at Tenant's sole cost and expense.</w:t>
      </w:r>
    </w:p>
    <w:p>
      <w:pPr>
        <w:spacing w:after="0" w:line="237" w:lineRule="exact"/>
        <w:rPr>
          <w:sz w:val="20"/>
          <w:szCs w:val="20"/>
          <w:color w:val="auto"/>
        </w:rPr>
      </w:pPr>
    </w:p>
    <w:p>
      <w:pPr>
        <w:ind w:left="980" w:hanging="324"/>
        <w:spacing w:after="0"/>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or refurbishing all of the windows in the warehouse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reconfiguring or adding to the office space (with Landlord approval)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Polishing or Epoxy Floor in the Warehouse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Warehouse lighting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 and Carpet the office space</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1" w:right="1440"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8"/>
          <w:szCs w:val="18"/>
          <w:b w:val="1"/>
          <w:bCs w:val="1"/>
          <w:color w:val="auto"/>
        </w:rPr>
        <w:t>EXHIBIT C-1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TENANT’S INITIAL PLANS AND SPECIFICATIONS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PERMISSIBLE QUANTITIES AND CHEMICALS WHICH MAY BE STORED AT THE DEMISED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KORNIT DIGITAL NORTH AMERICA, INC., a Delaware corporation, with offices at 10541-10601North Commerce Street,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Mequon, WI 53092, USA (hereinafter referred to as the “</w:t>
      </w:r>
      <w:r>
        <w:rPr>
          <w:rFonts w:ascii="Times New Roman" w:cs="Times New Roman" w:eastAsia="Times New Roman" w:hAnsi="Times New Roman"/>
          <w:sz w:val="18"/>
          <w:szCs w:val="18"/>
          <w:b w:val="1"/>
          <w:bCs w:val="1"/>
          <w:i w:val="1"/>
          <w:iCs w:val="1"/>
          <w:color w:val="auto"/>
        </w:rPr>
        <w:t>Tenant</w:t>
      </w:r>
      <w:r>
        <w:rPr>
          <w:rFonts w:ascii="Times New Roman" w:cs="Times New Roman" w:eastAsia="Times New Roman" w:hAnsi="Times New Roman"/>
          <w:sz w:val="18"/>
          <w:szCs w:val="18"/>
          <w:color w:val="auto"/>
        </w:rPr>
        <w:t>”) is desirous of entering into the lease hereinafter mentioned; and</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KORNIT DIGITAL LTD, an Israeli company with offices at 12 Ha’Amal St., Rosh Ha’Ayin Haayin Israel (hereinafter referred 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has requested BONANNO REAL ESTATE GROUP I, L.P, with offices at 107 West Tryon Avenue, Teaneck, New Jersey 07666 (hereinafter referred to as “</w:t>
      </w:r>
      <w:r>
        <w:rPr>
          <w:rFonts w:ascii="Times New Roman" w:cs="Times New Roman" w:eastAsia="Times New Roman" w:hAnsi="Times New Roman"/>
          <w:sz w:val="18"/>
          <w:szCs w:val="18"/>
          <w:b w:val="1"/>
          <w:bCs w:val="1"/>
          <w:i w:val="1"/>
          <w:iCs w:val="1"/>
          <w:color w:val="auto"/>
        </w:rPr>
        <w:t>Landlord</w:t>
      </w:r>
      <w:r>
        <w:rPr>
          <w:rFonts w:ascii="Times New Roman" w:cs="Times New Roman" w:eastAsia="Times New Roman" w:hAnsi="Times New Roman"/>
          <w:sz w:val="18"/>
          <w:szCs w:val="18"/>
          <w:color w:val="auto"/>
        </w:rPr>
        <w:t>”) to enter into a lease with the Tenant for an initial Term of five (5) Lease Years, in the building located at 480 South Dean Street, in the City of Englewood, County of Bergen, State of New Jersey; and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Landlord has refused to enter into the said Lease unless Guarantor guarantees said Lease in the manner hereinafter set forth.</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to induce the Landlord to enter into said Lease, which Lease is dated this day and is being executed simultaneously herewith,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Guarantor hereby agrees as follows:</w:t>
      </w:r>
    </w:p>
    <w:p>
      <w:pPr>
        <w:spacing w:after="0" w:line="159" w:lineRule="exact"/>
        <w:rPr>
          <w:sz w:val="20"/>
          <w:szCs w:val="20"/>
          <w:color w:val="auto"/>
        </w:rPr>
      </w:pPr>
    </w:p>
    <w:p>
      <w:pPr>
        <w:jc w:val="both"/>
        <w:ind w:firstLine="656"/>
        <w:spacing w:after="0" w:line="266" w:lineRule="auto"/>
        <w:tabs>
          <w:tab w:leader="none" w:pos="133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unconditionally guarantees to the Landlord and the successors and assigns of the Landlord, (a) the full and punctual performance and observance by the Tenant of all of the terms, covenants and conditions in said Lease contained on Tenant’s part to be kept, performed or observed but expressly excluding any acceleration of Rents.</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123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Guarantor unconditionally guarantees to the Landlord and the successors and assigns of the Landlord, the full and punctual performance and observance by the Tenant of all of the terms, covenants and conditions in said Lease contained on Tenant’s part to be kept, performed or observed. This is a guaranty of payment and performance and not of collection. Landlord may demand payment from Guarantor without first seeking payment from Tenant. Landlord does not have to notify Guarantor that Tenant has failed to meet any of its obligations under the Lease, or that Guarantor is obligated to make a payment or perform any obligation pursuant to this Guaranty. The liability of Guarantor under this Guaranty will not be modified or terminated because of any changes to the Lease made by Landlord and Tenant or by any waiver of any of the provisions of the Lease by Landlord. Guarantor expressly acknowledges that if Tenant holds over beyond the term of the Lease, the obligations of Guarantor hereunder shall extend to and apply to Tenant’s obligations incurred during the holdover period.</w:t>
      </w:r>
    </w:p>
    <w:p>
      <w:pPr>
        <w:spacing w:after="0" w:line="185" w:lineRule="exact"/>
        <w:rPr>
          <w:rFonts w:ascii="Times New Roman" w:cs="Times New Roman" w:eastAsia="Times New Roman" w:hAnsi="Times New Roman"/>
          <w:sz w:val="18"/>
          <w:szCs w:val="18"/>
          <w:color w:val="auto"/>
        </w:rPr>
      </w:pPr>
    </w:p>
    <w:p>
      <w:pPr>
        <w:jc w:val="both"/>
        <w:ind w:firstLine="1110"/>
        <w:spacing w:after="0" w:line="266" w:lineRule="auto"/>
        <w:tabs>
          <w:tab w:leader="none" w:pos="170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default shall be made by the Tenant in the performance or observance of any of the terms, covenants or conditions in said Lease contained on the Tenant’s part to be kept, performed or observed, the Guarantor will keep, perform and observe the same, as the case may be, in place and stead of the Tenant.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21" w:name="page222"/>
    <w:bookmarkEnd w:id="221"/>
    <w:p>
      <w:pPr>
        <w:ind w:left="-20" w:firstLine="656"/>
        <w:spacing w:after="0" w:line="282" w:lineRule="auto"/>
        <w:tabs>
          <w:tab w:leader="none" w:pos="115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Guarantor hereunder shall be enforceable against the Guarantor without the necessity for any suit or proceedings on the Landlord’s part of any kind or nature whatsoever against the Tenant.</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07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of the Landlord, or the successors or assigns of the Landlord, consisting of a waiver of any of the terms or conditions of said Lease, or the giving of any consent to any manner or thing relating to said Lease, or the granting of any indulgences or extensions of time, to the Tenant, may be done without notice to the Guarantor and without releasing the obligations of the Guarantor hereunder.</w:t>
      </w:r>
    </w:p>
    <w:p>
      <w:pPr>
        <w:spacing w:after="0" w:line="176"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25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Guarantor hereunder shall not be released by Landlord’s receipt, application or release of security given for the performance and observance of covenants and conditions in said Lease contained on the Tenant’s part to be performed or observed; nor by any modification of such Lease, but in the case of any such modification, the liability of the Guarantor shall be deemed modified in accordance with the terms of any such modification of the Lease.</w:t>
      </w:r>
    </w:p>
    <w:p>
      <w:pPr>
        <w:spacing w:after="0" w:line="180" w:lineRule="exact"/>
        <w:rPr>
          <w:rFonts w:ascii="Times New Roman" w:cs="Times New Roman" w:eastAsia="Times New Roman" w:hAnsi="Times New Roman"/>
          <w:sz w:val="18"/>
          <w:szCs w:val="18"/>
          <w:color w:val="auto"/>
        </w:rPr>
      </w:pPr>
    </w:p>
    <w:p>
      <w:pPr>
        <w:jc w:val="both"/>
        <w:ind w:left="-20" w:firstLine="656"/>
        <w:spacing w:after="0" w:line="256" w:lineRule="auto"/>
        <w:tabs>
          <w:tab w:leader="none" w:pos="109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Guarantor hereunder shall in no way be affected by (a) the release or discharge of the Tenant in any creditors’ receivership, bankruptcy or other proceedings; (b) the impairment, limitation or modification of the liability of the Tenant or the estate of the Tenant in bankruptcy, or of any remedy for the enforcement of the Tenant’s said liability under the Lease, resulting from the operation of any present or future provision of the Bankruptcy Code or other statute or from the decision in any court; (c) the rejection or disaffirmance of the Lease in any such proceedings; (d) the assignment or transfer of the Lease by the Tenant; (e) any disability or other defense of the Tenant; or (f) the cessation from any cause whatsoever of the liability of the Tenant.</w:t>
      </w:r>
    </w:p>
    <w:p>
      <w:pPr>
        <w:spacing w:after="0" w:line="187"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112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all the covenants and conditions in said Lease on the Tenant’s part to be performed and observed are fully performed and observed, the Guarantor: (a) shall have no right of subrogation against the Tenant by reasons of any payments or acts of performance by the Guarantor hereunder; (b) waives any right to enforce any remedy which the Guarantor now or hereafter shall have against the Tenant by reason of any one or more payment or acts of performance in compliance with the obligations of the Guarantor hereunder; and (c) subordinates any liability or indebtedness of the Tenant now or hereafter held by the Guarantor to the obligations of the Tenant to the Landlord under said Lease.</w:t>
      </w:r>
    </w:p>
    <w:p>
      <w:pPr>
        <w:spacing w:after="0" w:line="183" w:lineRule="exact"/>
        <w:rPr>
          <w:rFonts w:ascii="Times New Roman" w:cs="Times New Roman" w:eastAsia="Times New Roman" w:hAnsi="Times New Roman"/>
          <w:sz w:val="18"/>
          <w:szCs w:val="18"/>
          <w:color w:val="auto"/>
        </w:rPr>
      </w:pPr>
    </w:p>
    <w:p>
      <w:pPr>
        <w:jc w:val="both"/>
        <w:ind w:left="-20" w:firstLine="656"/>
        <w:spacing w:after="0" w:line="255" w:lineRule="auto"/>
        <w:tabs>
          <w:tab w:leader="none" w:pos="114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Notwithstanding any payments of Basic Rent or Additional Rent made by the undersigned pursuant to the provisions of this Guaranty, the undersigned shall not seek to enforce or collect upon any rights which the undersigned now has or may acquire against the Tenant either by way of subrogation, indemnity, reimbursement or contribution for any amount paid under this Guaranty. In the event either a petition is filed under the Bankruptcy Code or under any other applicable Federal or state insolvency law in regard to the Tenant, or an action or proceeding is commenced for the benefit of the creditors of the Tenant, and the Landlord is ordered to repay all or any portion of any payments made to Landlord which were received from or on behalf of the Tenant and which are held voidable on the grounds of preference, fraudulent conveyance or otherwise, the undersigned shall pay to the Landlord an amount equal to such payments held to be voidable, provided, however, that the aggregate of all payments made by the undersigned under this Guaranty shall not exceed the amount of the Basic Rent and Additional Rent arrears then due and payable and further provided that such payments shall not be accelerated.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222" w:name="page223"/>
    <w:bookmarkEnd w:id="222"/>
    <w:p>
      <w:pPr>
        <w:jc w:val="both"/>
        <w:ind w:firstLine="656"/>
        <w:spacing w:after="0" w:line="255" w:lineRule="auto"/>
        <w:tabs>
          <w:tab w:leader="none" w:pos="117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payment, or portion thereof, made by or for the account of the undersigned on account of the obligations under this Guaranty, is set aside by any court or trustee having jurisdiction as a voidable preference, fraudulent conveyance or otherwise as being subject to avoidance or recovery under the provisions of the Bankruptcy Code or under any other applicable Federal or state insolvency law or similar law, the undersigned hereby agrees that this Guaranty (a) shall continue and remain in full force and effect, and (b) if previously terminated as a result of the undersigned having fulfilled the undersigned’s obligations hereunder in full or as a result of the Landlord having released the undersigned from its obligations and liabilities hereunder, shall without further act or instrument be reinstated and shall thereafter remain in full force and effect, in either case with the same force and effect as though such payment or portion thereof had not been made, and, if applicable, as if such previous termination had not occurred.</w:t>
      </w:r>
    </w:p>
    <w:p>
      <w:pPr>
        <w:spacing w:after="0" w:line="189" w:lineRule="exact"/>
        <w:rPr>
          <w:sz w:val="20"/>
          <w:szCs w:val="20"/>
          <w:color w:val="auto"/>
        </w:rPr>
      </w:pPr>
    </w:p>
    <w:p>
      <w:pPr>
        <w:ind w:left="1200" w:hanging="544"/>
        <w:spacing w:after="0"/>
        <w:tabs>
          <w:tab w:leader="none" w:pos="12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shall apply to the initial Term of the Lease and to any renewal or extension thereof.</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0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instrument may not be changed, modified, discharged or terminated orally or in any manner other than by an agreement in writing signed by the Guarantor and the Landlord.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2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shall be governed by and construed and enforced in accordance with the laws by the Courts of the State of New Jersey (excluding New Jersey conflict laws) and by the Courts of New Jersey. Guarantor herby submits to the jurisdiction of the Courts of the State of New Jersey.</w:t>
      </w:r>
    </w:p>
    <w:p>
      <w:pPr>
        <w:spacing w:after="0" w:line="157" w:lineRule="exact"/>
        <w:rPr>
          <w:rFonts w:ascii="Times New Roman" w:cs="Times New Roman" w:eastAsia="Times New Roman" w:hAnsi="Times New Roman"/>
          <w:sz w:val="18"/>
          <w:szCs w:val="18"/>
          <w:color w:val="auto"/>
        </w:rPr>
      </w:pPr>
    </w:p>
    <w:p>
      <w:pPr>
        <w:ind w:firstLine="656"/>
        <w:spacing w:after="0" w:line="286" w:lineRule="auto"/>
        <w:tabs>
          <w:tab w:leader="none" w:pos="121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demands or other communications (collectively, “</w:t>
      </w:r>
      <w:r>
        <w:rPr>
          <w:rFonts w:ascii="Times New Roman" w:cs="Times New Roman" w:eastAsia="Times New Roman" w:hAnsi="Times New Roman"/>
          <w:sz w:val="18"/>
          <w:szCs w:val="18"/>
          <w:b w:val="1"/>
          <w:bCs w:val="1"/>
          <w:i w:val="1"/>
          <w:iCs w:val="1"/>
          <w:u w:val="single" w:color="auto"/>
          <w:color w:val="auto"/>
        </w:rPr>
        <w:t>Notices</w:t>
      </w:r>
      <w:r>
        <w:rPr>
          <w:rFonts w:ascii="Times New Roman" w:cs="Times New Roman" w:eastAsia="Times New Roman" w:hAnsi="Times New Roman"/>
          <w:sz w:val="18"/>
          <w:szCs w:val="18"/>
          <w:color w:val="auto"/>
        </w:rPr>
        <w:t>”) desired or required to be given under this Guaranty shall be made in accordance with Article XVI of the Lease.</w:t>
      </w:r>
    </w:p>
    <w:p>
      <w:pPr>
        <w:spacing w:after="0" w:line="158"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may be executed in one or more counterparts, each of which counterparts shall be an original. An executed copy of this Guaranty may delivered by facsimile or electronic mail with the same effect as if an executed original counterpart were delivered; however, upon request of any party hereto, the parties shall promptly execute and deliver to all parties hereto, “hard” duplicate original copies with original inked signatures.</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GUARANTOR HEREBY WAIVES THE RIGHT TO A JURY TRIAL IN ANY ACTION OR PROCEEDING THAT MAY HEREAFTER BE INSTITUTED BY LANDLORD AGAINST GUARANTOR WITH RESPECT TO THIS GUARANTY. GUARANTOR SHALL PAY TO LANDLORD ALL OF LANDLORD’S EXPENSES, INCLUDING, BUT NOT LIMITED TO, REASONABLE ATTORNEYS’ FEES AND OTHER COSTS INCURRED IN ENFORCING THE PROVISIONS OF THIS GUARANTY.</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Guarantor has hereunto set his hands and seals the _____ day of___________, 2017</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KORNIT DIGITAL LTD, GUARANTOR</w:t>
      </w:r>
    </w:p>
    <w:p>
      <w:pPr>
        <w:spacing w:after="0" w:line="2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-130810</wp:posOffset>
            </wp:positionV>
            <wp:extent cx="252984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26035</wp:posOffset>
            </wp:positionV>
            <wp:extent cx="252984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-127635</wp:posOffset>
            </wp:positionV>
            <wp:extent cx="252984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4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-130810</wp:posOffset>
            </wp:positionV>
            <wp:extent cx="252984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26035</wp:posOffset>
            </wp:positionV>
            <wp:extent cx="252984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-127635</wp:posOffset>
            </wp:positionV>
            <wp:extent cx="252984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901" w:right="1440"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LEASE</w:t>
      </w:r>
    </w:p>
    <w:p>
      <w:pPr>
        <w:spacing w:after="0" w:line="22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Prepared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17145</wp:posOffset>
            </wp:positionV>
            <wp:extent cx="216979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8">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Mitchell W. Abrahams, Esq.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RECORD and RETURN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Mitchell W. Abrahams,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Cole, Schotz,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Court Plaza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Main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 Box 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Hackensack, New Jersey 07602-0800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MEMORANDUM OF LEASE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THIS MEMORANDUM OF LEASE </w:t>
      </w:r>
      <w:r>
        <w:rPr>
          <w:rFonts w:ascii="Times New Roman" w:cs="Times New Roman" w:eastAsia="Times New Roman" w:hAnsi="Times New Roman"/>
          <w:sz w:val="18"/>
          <w:szCs w:val="18"/>
          <w:color w:val="auto"/>
        </w:rPr>
        <w:t>is made and entered into this ____ day of ________, 2017, by and between Bonanno Real Estate Group I,</w:t>
      </w:r>
    </w:p>
    <w:p>
      <w:pPr>
        <w:spacing w:after="0" w:line="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L.P., a New Jersey limited partnership, with offices at 107 West Tryon Avenue, Teaneck, New Jersey 07666 (“</w:t>
      </w:r>
      <w:r>
        <w:rPr>
          <w:rFonts w:ascii="Times New Roman" w:cs="Times New Roman" w:eastAsia="Times New Roman" w:hAnsi="Times New Roman"/>
          <w:sz w:val="18"/>
          <w:szCs w:val="18"/>
          <w:b w:val="1"/>
          <w:bCs w:val="1"/>
          <w:i w:val="1"/>
          <w:iCs w:val="1"/>
          <w:u w:val="single" w:color="auto"/>
          <w:color w:val="auto"/>
        </w:rPr>
        <w:t>Landlord</w:t>
      </w:r>
      <w:r>
        <w:rPr>
          <w:rFonts w:ascii="Times New Roman" w:cs="Times New Roman" w:eastAsia="Times New Roman" w:hAnsi="Times New Roman"/>
          <w:sz w:val="18"/>
          <w:szCs w:val="18"/>
          <w:color w:val="auto"/>
        </w:rPr>
        <w:t>”), and Kornit Digital North America, Inc., a Delaware corporation, with offices at 10541-10601North Commerce Street, Mequon, WI 53092, USA (“</w:t>
      </w:r>
      <w:r>
        <w:rPr>
          <w:rFonts w:ascii="Times New Roman" w:cs="Times New Roman" w:eastAsia="Times New Roman" w:hAnsi="Times New Roman"/>
          <w:sz w:val="18"/>
          <w:szCs w:val="18"/>
          <w:b w:val="1"/>
          <w:bCs w:val="1"/>
          <w:i w:val="1"/>
          <w:iCs w:val="1"/>
          <w:u w:val="single" w:color="auto"/>
          <w:color w:val="auto"/>
        </w:rPr>
        <w:t>Tenant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p>
    <w:p>
      <w:pPr>
        <w:spacing w:after="0" w:line="229" w:lineRule="exact"/>
        <w:rPr>
          <w:sz w:val="20"/>
          <w:szCs w:val="20"/>
          <w:color w:val="auto"/>
        </w:rPr>
      </w:pPr>
    </w:p>
    <w:p>
      <w:pPr>
        <w:jc w:val="both"/>
        <w:ind w:firstLine="656"/>
        <w:spacing w:after="0" w:line="256" w:lineRule="auto"/>
        <w:tabs>
          <w:tab w:leader="none" w:pos="110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in consideration of the rents and upon the terms, conditions, covenants and agreements set forth in that certain Lease dated _______, 2017 (the “</w:t>
      </w:r>
      <w:r>
        <w:rPr>
          <w:rFonts w:ascii="Times New Roman" w:cs="Times New Roman" w:eastAsia="Times New Roman" w:hAnsi="Times New Roman"/>
          <w:sz w:val="18"/>
          <w:szCs w:val="18"/>
          <w:b w:val="1"/>
          <w:bCs w:val="1"/>
          <w:i w:val="1"/>
          <w:iCs w:val="1"/>
          <w:u w:val="single" w:color="auto"/>
          <w:color w:val="auto"/>
        </w:rPr>
        <w:t>Lease</w:t>
      </w:r>
      <w:r>
        <w:rPr>
          <w:rFonts w:ascii="Times New Roman" w:cs="Times New Roman" w:eastAsia="Times New Roman" w:hAnsi="Times New Roman"/>
          <w:sz w:val="18"/>
          <w:szCs w:val="18"/>
          <w:color w:val="auto"/>
        </w:rPr>
        <w:t xml:space="preserve">”) between Landlord and Tenant, has leased to Tenant the premises, which includes the building and that certain parcel of land, upon which the building is situated, located at 480 South Dean Street, in the City of Englewood, County of Bergen, State of New Jersey designated on the current Tax Map as Lot 4, Block 3005 as more particularly described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 and made a part hereof and a portion of the land located at 470 South Dean Street, in the City of Englewood, County of Bergen, State of New Jersey, designated on the current Tax Map as Lot 3, Block 3005(collectively, the “</w:t>
      </w:r>
      <w:r>
        <w:rPr>
          <w:rFonts w:ascii="Times New Roman" w:cs="Times New Roman" w:eastAsia="Times New Roman" w:hAnsi="Times New Roman"/>
          <w:sz w:val="18"/>
          <w:szCs w:val="18"/>
          <w:b w:val="1"/>
          <w:bCs w:val="1"/>
          <w:i w:val="1"/>
          <w:iCs w:val="1"/>
          <w:u w:val="single" w:color="auto"/>
          <w:color w:val="auto"/>
        </w:rPr>
        <w:t>Property</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111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Lease commences subject to its terms on delivery of the premises by the Landlord in the condition required by the Lease, and is for a period of ten (10) Lease Years, as that term is defined in the Lease.</w:t>
      </w:r>
    </w:p>
    <w:p>
      <w:pPr>
        <w:spacing w:after="0" w:line="161"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addresses of Landlord and Tenant are as set forth above and copies of the Lease are on file with Landlord and Tenant at said addresses.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16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this Memorandum of Lease is to give record notice of the Lease, Tenant’s right of access and use of the Property and of the other rights created thereby, the terms and conditions of which Lease are hereby incorporated by reference as if fully set forth herein. If any term or condition of this Memorandum of Lease shall conflict with any term or condition of the Lease, the terms and conditions of the Lease shall control.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25" w:name="page226"/>
    <w:bookmarkEnd w:id="225"/>
    <w:p>
      <w:pPr>
        <w:ind w:left="660"/>
        <w:spacing w:after="0"/>
        <w:rPr>
          <w:sz w:val="20"/>
          <w:szCs w:val="20"/>
          <w:color w:val="auto"/>
        </w:rPr>
      </w:pPr>
      <w:r>
        <w:rPr>
          <w:rFonts w:ascii="Times New Roman" w:cs="Times New Roman" w:eastAsia="Times New Roman" w:hAnsi="Times New Roman"/>
          <w:sz w:val="17"/>
          <w:szCs w:val="17"/>
          <w:color w:val="auto"/>
        </w:rPr>
        <w:t>IN WITNESS WHEREOF, the undersigned have duly executed these presents under seal as of the day and year first above written.</w:t>
      </w:r>
    </w:p>
    <w:p>
      <w:pPr>
        <w:spacing w:after="0" w:line="2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WITNESS:</w:t>
      </w:r>
      <w:r>
        <w:rPr>
          <w:sz w:val="20"/>
          <w:szCs w:val="20"/>
          <w:color w:val="auto"/>
        </w:rPr>
        <w:tab/>
      </w:r>
      <w:r>
        <w:rPr>
          <w:rFonts w:ascii="Times New Roman" w:cs="Times New Roman" w:eastAsia="Times New Roman" w:hAnsi="Times New Roman"/>
          <w:sz w:val="18"/>
          <w:szCs w:val="18"/>
          <w:b w:val="1"/>
          <w:bCs w:val="1"/>
          <w:color w:val="auto"/>
        </w:rPr>
        <w:t>Bonanno Real Estate Group I, L.P.</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wp:posOffset>
            </wp:positionV>
            <wp:extent cx="252984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1">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2">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-130810</wp:posOffset>
            </wp:positionV>
            <wp:extent cx="253873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3">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4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WITNESS:</w:t>
      </w:r>
      <w:r>
        <w:rPr>
          <w:sz w:val="20"/>
          <w:szCs w:val="20"/>
          <w:color w:val="auto"/>
        </w:rPr>
        <w:tab/>
      </w:r>
      <w:r>
        <w:rPr>
          <w:rFonts w:ascii="Times New Roman" w:cs="Times New Roman" w:eastAsia="Times New Roman" w:hAnsi="Times New Roman"/>
          <w:sz w:val="18"/>
          <w:szCs w:val="18"/>
          <w:b w:val="1"/>
          <w:bCs w:val="1"/>
          <w:color w:val="auto"/>
        </w:rPr>
        <w:t>Kornit Digital North America,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wp:posOffset>
            </wp:positionV>
            <wp:extent cx="252984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5">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6">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-130810</wp:posOffset>
            </wp:positionV>
            <wp:extent cx="253873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7">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wp:posOffset>
            </wp:positionV>
            <wp:extent cx="252984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9">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0">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-130810</wp:posOffset>
            </wp:positionV>
            <wp:extent cx="253873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1">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26" w:name="page227"/>
    <w:bookmarkEnd w:id="226"/>
    <w:p>
      <w:pPr>
        <w:spacing w:after="0" w:line="530" w:lineRule="auto"/>
        <w:rPr>
          <w:sz w:val="20"/>
          <w:szCs w:val="20"/>
          <w:color w:val="auto"/>
        </w:rPr>
      </w:pPr>
      <w:r>
        <w:rPr>
          <w:rFonts w:ascii="Times New Roman" w:cs="Times New Roman" w:eastAsia="Times New Roman" w:hAnsi="Times New Roman"/>
          <w:sz w:val="17"/>
          <w:szCs w:val="17"/>
          <w:color w:val="auto"/>
        </w:rPr>
        <w:t>STATE OF NEW JERSEY COUNTY OF BERGEN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6" w:lineRule="exact"/>
        <w:rPr>
          <w:sz w:val="20"/>
          <w:szCs w:val="20"/>
          <w:color w:val="auto"/>
        </w:rPr>
      </w:pPr>
    </w:p>
    <w:p>
      <w:pPr>
        <w:sectPr>
          <w:pgSz w:w="11900" w:h="16838" w:orient="portrait"/>
          <w:cols w:equalWidth="0" w:num="2">
            <w:col w:w="1940" w:space="360"/>
            <w:col w:w="9120"/>
          </w:cols>
          <w:pgMar w:left="240" w:top="905" w:right="239" w:bottom="1440" w:gutter="0" w:footer="0" w:header="0"/>
        </w:sectPr>
      </w:pPr>
    </w:p>
    <w:p>
      <w:pPr>
        <w:ind w:left="660"/>
        <w:spacing w:after="0"/>
        <w:rPr>
          <w:sz w:val="20"/>
          <w:szCs w:val="20"/>
          <w:color w:val="auto"/>
        </w:rPr>
      </w:pPr>
      <w:r>
        <w:rPr>
          <w:rFonts w:ascii="Times New Roman" w:cs="Times New Roman" w:eastAsia="Times New Roman" w:hAnsi="Times New Roman"/>
          <w:sz w:val="18"/>
          <w:szCs w:val="18"/>
          <w:color w:val="auto"/>
        </w:rPr>
        <w:t>I CERTIFY that on ____________, 2017, ______________________, personally came before me and this person acknowledged under oath, to 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satisfaction, that:</w:t>
      </w:r>
    </w:p>
    <w:p>
      <w:pPr>
        <w:spacing w:after="0" w:line="207" w:lineRule="exact"/>
        <w:rPr>
          <w:sz w:val="20"/>
          <w:szCs w:val="20"/>
          <w:color w:val="auto"/>
        </w:rPr>
      </w:pPr>
    </w:p>
    <w:p>
      <w:pPr>
        <w:ind w:left="1300" w:hanging="644"/>
        <w:spacing w:after="0"/>
        <w:tabs>
          <w:tab w:leader="none" w:pos="13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person was the maker of this Memorandum of Lease;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person was authorized to and did execute this Memorandum of Lease as General Partner of Bonanno Real Estate Group I, L.P., the entity named in this Memorandum of Lease;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person executed this Memorandum of Lease as the act of the entity.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1"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-127635</wp:posOffset>
            </wp:positionV>
            <wp:extent cx="252984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227" w:name="page228"/>
    <w:bookmarkEnd w:id="227"/>
    <w:p>
      <w:pPr>
        <w:jc w:val="both"/>
        <w:spacing w:after="0" w:line="530" w:lineRule="auto"/>
        <w:rPr>
          <w:sz w:val="20"/>
          <w:szCs w:val="20"/>
          <w:color w:val="auto"/>
        </w:rPr>
      </w:pPr>
      <w:r>
        <w:rPr>
          <w:rFonts w:ascii="Times New Roman" w:cs="Times New Roman" w:eastAsia="Times New Roman" w:hAnsi="Times New Roman"/>
          <w:sz w:val="17"/>
          <w:szCs w:val="17"/>
          <w:color w:val="auto"/>
        </w:rPr>
        <w:t>STATE OF _____________ COUNTY OF 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6" w:lineRule="exact"/>
        <w:rPr>
          <w:sz w:val="20"/>
          <w:szCs w:val="20"/>
          <w:color w:val="auto"/>
        </w:rPr>
      </w:pPr>
    </w:p>
    <w:p>
      <w:pPr>
        <w:sectPr>
          <w:pgSz w:w="11900" w:h="16838" w:orient="portrait"/>
          <w:cols w:equalWidth="0" w:num="2">
            <w:col w:w="2060" w:space="240"/>
            <w:col w:w="9120"/>
          </w:cols>
          <w:pgMar w:left="240" w:top="905" w:right="239" w:bottom="1440" w:gutter="0" w:footer="0" w:header="0"/>
        </w:sectPr>
      </w:pPr>
    </w:p>
    <w:p>
      <w:pPr>
        <w:ind w:left="660"/>
        <w:spacing w:after="0"/>
        <w:tabs>
          <w:tab w:leader="none" w:pos="880" w:val="left"/>
          <w:tab w:leader="none" w:pos="1800" w:val="left"/>
          <w:tab w:leader="none" w:pos="2240" w:val="left"/>
          <w:tab w:leader="none" w:pos="2600" w:val="left"/>
          <w:tab w:leader="none" w:pos="3980" w:val="left"/>
          <w:tab w:leader="none" w:pos="4580" w:val="left"/>
          <w:tab w:leader="none" w:pos="6420" w:val="left"/>
          <w:tab w:leader="none" w:pos="7340" w:val="left"/>
          <w:tab w:leader="none" w:pos="7900" w:val="left"/>
          <w:tab w:leader="none" w:pos="8540" w:val="left"/>
          <w:tab w:leader="none" w:pos="8980" w:val="left"/>
          <w:tab w:leader="none" w:pos="11140" w:val="left"/>
        </w:tabs>
        <w:rPr>
          <w:sz w:val="20"/>
          <w:szCs w:val="20"/>
          <w:color w:val="auto"/>
        </w:rPr>
      </w:pPr>
      <w:r>
        <w:rPr>
          <w:rFonts w:ascii="Times New Roman" w:cs="Times New Roman" w:eastAsia="Times New Roman" w:hAnsi="Times New Roman"/>
          <w:sz w:val="18"/>
          <w:szCs w:val="18"/>
          <w:color w:val="auto"/>
        </w:rPr>
        <w:t>I</w:t>
        <w:tab/>
        <w:t>CERTIFY</w:t>
        <w:tab/>
        <w:t>that</w:t>
        <w:tab/>
        <w:t>on</w:t>
        <w:tab/>
        <w:t>_____________,</w:t>
        <w:tab/>
        <w:t>2017,</w:t>
        <w:tab/>
        <w:t>__________________,</w:t>
        <w:tab/>
        <w:t>personally</w:t>
        <w:tab/>
        <w:t>came</w:t>
        <w:tab/>
        <w:t>before</w:t>
        <w:tab/>
        <w:t>me,</w:t>
        <w:tab/>
        <w:t>______________________</w:t>
        <w:tab/>
        <w:t>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 and each such person acknowledged under oath, to my satisfaction, that:</w:t>
      </w:r>
    </w:p>
    <w:p>
      <w:pPr>
        <w:spacing w:after="0" w:line="207" w:lineRule="exact"/>
        <w:rPr>
          <w:sz w:val="20"/>
          <w:szCs w:val="20"/>
          <w:color w:val="auto"/>
        </w:rPr>
      </w:pPr>
    </w:p>
    <w:p>
      <w:pPr>
        <w:ind w:left="1300" w:hanging="644"/>
        <w:spacing w:after="0"/>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was the maker of this Memorandum of Lease;</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was authorized to and did execute this Memorandum of Lease as ______________________ and ______________________, respectively, of Kornit Digital North America, Inc., the entity named in this Memorandum of Lease;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executed this Memorandum of Lease as the act of the entity.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1"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-127635</wp:posOffset>
            </wp:positionV>
            <wp:extent cx="252984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BEGINNING at a point in the northwesterly line of South Dean Street where same is intersected by the northeasterly line of property conveyed by Rockwood Industrial Corporation to Durham Realty Co., by Deed dated June 21, 1961, recorded in the Office of the Clerk of Bergen County in Book 4256, page 419, and thence running (1) North 55 degrees 7 minutes west and along said northeasterly line of property conveyed to Durham Realty Co., as aforesaid a distance of 217.35 feet to the southeasterly line of the property of Northern Railroad of New Jersey; thence (2) North 34 degrees 53 minutes east and along said southeasterly line of Northern Railroad of New Jersey, 150.0 feet to a point; thence (3) South 55 degrees 7 minutes east 205.00 feet, more or less, to the aforesaid northwesterly line of South Dean Street; thence (4) South 30 degrees 17 minutes 30 seconds west and along said northwesterly line of South Dean Street 152.5 feet to the point or place of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997585</wp:posOffset>
            </wp:positionV>
            <wp:extent cx="72466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DISCHARGE OF MEMORANDUM</w:t>
      </w:r>
    </w:p>
    <w:p>
      <w:pPr>
        <w:spacing w:after="0" w:line="22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Prepared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17145</wp:posOffset>
            </wp:positionV>
            <wp:extent cx="216979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Mitchell W. Abrahams, Esq.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RECORD and RETURN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Mitchell W. Abrahams,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Cole Schotz,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Court Plaza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Main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 Box 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Hackensack, New Jersey 07602-0800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DISCHARGE OF MEMORANDUM OF LEASE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THIS DISCHARGE OF MEMORANDUM OF LEASE </w:t>
      </w:r>
      <w:r>
        <w:rPr>
          <w:rFonts w:ascii="Times New Roman" w:cs="Times New Roman" w:eastAsia="Times New Roman" w:hAnsi="Times New Roman"/>
          <w:sz w:val="18"/>
          <w:szCs w:val="18"/>
          <w:color w:val="auto"/>
        </w:rPr>
        <w:t>is made and entered into this ____ day of ________, 20____, by and between</w:t>
      </w:r>
      <w:r>
        <w:rPr>
          <w:rFonts w:ascii="Times New Roman" w:cs="Times New Roman" w:eastAsia="Times New Roman" w:hAnsi="Times New Roman"/>
          <w:sz w:val="18"/>
          <w:szCs w:val="18"/>
          <w:b w:val="1"/>
          <w:bCs w:val="1"/>
          <w:color w:val="auto"/>
        </w:rPr>
        <w:t xml:space="preserve"> Bonanno</w:t>
      </w:r>
    </w:p>
    <w:p>
      <w:pPr>
        <w:spacing w:after="0" w:line="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b w:val="1"/>
          <w:bCs w:val="1"/>
          <w:color w:val="auto"/>
        </w:rPr>
        <w:t>Real Estate Group I, L.P.</w:t>
      </w:r>
      <w:r>
        <w:rPr>
          <w:rFonts w:ascii="Times New Roman" w:cs="Times New Roman" w:eastAsia="Times New Roman" w:hAnsi="Times New Roman"/>
          <w:sz w:val="18"/>
          <w:szCs w:val="18"/>
          <w:color w:val="auto"/>
        </w:rPr>
        <w:t>, a New Jersey limited partnership, with offices at 107 West Tryon Avenue, Teaneck, New Jersey 07666 (“</w:t>
      </w:r>
      <w:r>
        <w:rPr>
          <w:rFonts w:ascii="Times New Roman" w:cs="Times New Roman" w:eastAsia="Times New Roman" w:hAnsi="Times New Roman"/>
          <w:sz w:val="18"/>
          <w:szCs w:val="18"/>
          <w:b w:val="1"/>
          <w:bCs w:val="1"/>
          <w:i w:val="1"/>
          <w:iCs w:val="1"/>
          <w:u w:val="single" w:color="auto"/>
          <w:color w:val="auto"/>
        </w:rPr>
        <w:t>Landlord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Kornit Digital North America, Inc.</w:t>
      </w:r>
      <w:r>
        <w:rPr>
          <w:rFonts w:ascii="Times New Roman" w:cs="Times New Roman" w:eastAsia="Times New Roman" w:hAnsi="Times New Roman"/>
          <w:sz w:val="18"/>
          <w:szCs w:val="18"/>
          <w:color w:val="auto"/>
        </w:rPr>
        <w:t>, a Delaware corporation, with offices at 10541-10601North Commerce Street, Mequon, WI 53092, USA (“</w:t>
      </w:r>
      <w:r>
        <w:rPr>
          <w:rFonts w:ascii="Times New Roman" w:cs="Times New Roman" w:eastAsia="Times New Roman" w:hAnsi="Times New Roman"/>
          <w:sz w:val="18"/>
          <w:szCs w:val="18"/>
          <w:b w:val="1"/>
          <w:bCs w:val="1"/>
          <w:i w:val="1"/>
          <w:iCs w:val="1"/>
          <w:u w:val="single" w:color="auto"/>
          <w:color w:val="auto"/>
        </w:rPr>
        <w:t>Tenant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p>
    <w:p>
      <w:pPr>
        <w:spacing w:after="0" w:line="225" w:lineRule="exact"/>
        <w:rPr>
          <w:sz w:val="20"/>
          <w:szCs w:val="20"/>
          <w:color w:val="auto"/>
        </w:rPr>
      </w:pPr>
    </w:p>
    <w:p>
      <w:pPr>
        <w:jc w:val="both"/>
        <w:ind w:firstLine="656"/>
        <w:spacing w:after="0" w:line="259" w:lineRule="auto"/>
        <w:tabs>
          <w:tab w:leader="none" w:pos="111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certain Lease (the “</w:t>
      </w:r>
      <w:r>
        <w:rPr>
          <w:rFonts w:ascii="Times New Roman" w:cs="Times New Roman" w:eastAsia="Times New Roman" w:hAnsi="Times New Roman"/>
          <w:sz w:val="18"/>
          <w:szCs w:val="18"/>
          <w:b w:val="1"/>
          <w:bCs w:val="1"/>
          <w:i w:val="1"/>
          <w:iCs w:val="1"/>
          <w:u w:val="single" w:color="auto"/>
          <w:color w:val="auto"/>
        </w:rPr>
        <w:t>Lease</w:t>
      </w:r>
      <w:r>
        <w:rPr>
          <w:rFonts w:ascii="Times New Roman" w:cs="Times New Roman" w:eastAsia="Times New Roman" w:hAnsi="Times New Roman"/>
          <w:sz w:val="18"/>
          <w:szCs w:val="18"/>
          <w:color w:val="auto"/>
        </w:rPr>
        <w:t xml:space="preserve">”), dated December ___, 2017, was made by and between Landlord and Tenant relating to that which includes the building and that certain parcel of land, upon which the building is situated, located at 480 South Dean Street, in the City of Englewood, County of Bergen, State of New Jersey designated on the current Tax Map as Lot 4, Block 3005 as more particularly described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 and made a part hereof and a portion of the land located at 470 South Dean Street, in the City of Englewood, County of Bergen, State of New Jersey, designated on the current Tax Map as Lot 3, Block 3005, as more particularly described on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i w:val="1"/>
          <w:iCs w:val="1"/>
          <w:u w:val="single" w:color="auto"/>
          <w:color w:val="auto"/>
        </w:rPr>
        <w:t>Property</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119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said Lease, a certain Memorandum of Lease was recorded or registered in the office of the county recording officer of Bergen County on ___, 201_, in Deed Book ____, Page ____.</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has expired in accordance with its terms or an Event of Default (as defined in the Lease) has occurred under the Lease and remains uncured, and the Lease has been terminated on account of the same by Landlord in accordance with the terms of the Lease. Accordingly, this Discharge of Memorandum of Lease provides notice that the Memorandum of Lease is now cancelled and void.</w:t>
      </w:r>
    </w:p>
    <w:p>
      <w:pPr>
        <w:spacing w:after="0" w:line="176"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Clerk of Bergen County, New Jersey is hereby authorized and directed to cancel and discharge of record the Memorandum of Lease.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31" w:name="page232"/>
    <w:bookmarkEnd w:id="231"/>
    <w:p>
      <w:pPr>
        <w:ind w:left="660"/>
        <w:spacing w:after="0"/>
        <w:rPr>
          <w:sz w:val="20"/>
          <w:szCs w:val="20"/>
          <w:color w:val="auto"/>
        </w:rPr>
      </w:pPr>
      <w:r>
        <w:rPr>
          <w:rFonts w:ascii="Times New Roman" w:cs="Times New Roman" w:eastAsia="Times New Roman" w:hAnsi="Times New Roman"/>
          <w:sz w:val="17"/>
          <w:szCs w:val="17"/>
          <w:color w:val="auto"/>
        </w:rPr>
        <w:t>IN WITNESS WHEREOF, the undersigned have duly executed these presents under seal as of the day and year first above written.</w:t>
      </w:r>
    </w:p>
    <w:p>
      <w:pPr>
        <w:spacing w:after="0" w:line="2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WITNESS:</w:t>
      </w:r>
      <w:r>
        <w:rPr>
          <w:sz w:val="20"/>
          <w:szCs w:val="20"/>
          <w:color w:val="auto"/>
        </w:rPr>
        <w:tab/>
      </w:r>
      <w:r>
        <w:rPr>
          <w:rFonts w:ascii="Times New Roman" w:cs="Times New Roman" w:eastAsia="Times New Roman" w:hAnsi="Times New Roman"/>
          <w:sz w:val="18"/>
          <w:szCs w:val="18"/>
          <w:b w:val="1"/>
          <w:bCs w:val="1"/>
          <w:color w:val="auto"/>
        </w:rPr>
        <w:t>Bonanno Real Estate Group I, L.P.</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wp:posOffset>
            </wp:positionV>
            <wp:extent cx="252984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4">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5">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-130810</wp:posOffset>
            </wp:positionV>
            <wp:extent cx="253873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6">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4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WITNESS:</w:t>
      </w:r>
      <w:r>
        <w:rPr>
          <w:sz w:val="20"/>
          <w:szCs w:val="20"/>
          <w:color w:val="auto"/>
        </w:rPr>
        <w:tab/>
      </w:r>
      <w:r>
        <w:rPr>
          <w:rFonts w:ascii="Times New Roman" w:cs="Times New Roman" w:eastAsia="Times New Roman" w:hAnsi="Times New Roman"/>
          <w:sz w:val="18"/>
          <w:szCs w:val="18"/>
          <w:b w:val="1"/>
          <w:bCs w:val="1"/>
          <w:color w:val="auto"/>
        </w:rPr>
        <w:t>Kornit Digital North America,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wp:posOffset>
            </wp:positionV>
            <wp:extent cx="252984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8">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9">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-130810</wp:posOffset>
            </wp:positionV>
            <wp:extent cx="253873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wp:posOffset>
            </wp:positionV>
            <wp:extent cx="252984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2">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3">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-130810</wp:posOffset>
            </wp:positionV>
            <wp:extent cx="253873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4">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32" w:name="page233"/>
    <w:bookmarkEnd w:id="232"/>
    <w:p>
      <w:pPr>
        <w:jc w:val="both"/>
        <w:spacing w:after="0" w:line="530" w:lineRule="auto"/>
        <w:rPr>
          <w:sz w:val="20"/>
          <w:szCs w:val="20"/>
          <w:color w:val="auto"/>
        </w:rPr>
      </w:pPr>
      <w:r>
        <w:rPr>
          <w:rFonts w:ascii="Times New Roman" w:cs="Times New Roman" w:eastAsia="Times New Roman" w:hAnsi="Times New Roman"/>
          <w:sz w:val="17"/>
          <w:szCs w:val="17"/>
          <w:color w:val="auto"/>
        </w:rPr>
        <w:t>STATE OF _____________ COUNTY OF 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6" w:lineRule="exact"/>
        <w:rPr>
          <w:sz w:val="20"/>
          <w:szCs w:val="20"/>
          <w:color w:val="auto"/>
        </w:rPr>
      </w:pPr>
    </w:p>
    <w:p>
      <w:pPr>
        <w:sectPr>
          <w:pgSz w:w="11900" w:h="16838" w:orient="portrait"/>
          <w:cols w:equalWidth="0" w:num="2">
            <w:col w:w="2060" w:space="240"/>
            <w:col w:w="9100"/>
          </w:cols>
          <w:pgMar w:left="240" w:top="905" w:right="259" w:bottom="1440" w:gutter="0" w:footer="0" w:header="0"/>
        </w:sectPr>
      </w:pPr>
    </w:p>
    <w:p>
      <w:pPr>
        <w:ind w:left="660"/>
        <w:spacing w:after="0"/>
        <w:rPr>
          <w:sz w:val="20"/>
          <w:szCs w:val="20"/>
          <w:color w:val="auto"/>
        </w:rPr>
      </w:pPr>
      <w:r>
        <w:rPr>
          <w:rFonts w:ascii="Times New Roman" w:cs="Times New Roman" w:eastAsia="Times New Roman" w:hAnsi="Times New Roman"/>
          <w:sz w:val="18"/>
          <w:szCs w:val="18"/>
          <w:color w:val="auto"/>
        </w:rPr>
        <w:t>I CERTIFY that on __________ ___, 20___, ________________ personally came before me and this person acknowledged under oath, to 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satisfaction, that:</w:t>
      </w:r>
    </w:p>
    <w:p>
      <w:pPr>
        <w:spacing w:after="0" w:line="207" w:lineRule="exact"/>
        <w:rPr>
          <w:sz w:val="20"/>
          <w:szCs w:val="20"/>
          <w:color w:val="auto"/>
        </w:rPr>
      </w:pPr>
    </w:p>
    <w:p>
      <w:pPr>
        <w:ind w:left="1300" w:hanging="644"/>
        <w:spacing w:after="0"/>
        <w:tabs>
          <w:tab w:leader="none" w:pos="13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person was the maker of this Discharge of Memorandum of Lease;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person was authorized to and did execute this Discharge of Memorandum of Lease as General Partner of Bonanno Real Estate Group I, L.P., the entity named in this Discharge of Memorandum of Lease;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person executed this Discharge of Memorandum of Lease as the act of the entity.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1"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-127635</wp:posOffset>
            </wp:positionV>
            <wp:extent cx="252984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type w:val="continuous"/>
        </w:sectPr>
      </w:pPr>
    </w:p>
    <w:bookmarkStart w:id="233" w:name="page234"/>
    <w:bookmarkEnd w:id="233"/>
    <w:p>
      <w:pPr>
        <w:jc w:val="both"/>
        <w:spacing w:after="0" w:line="530" w:lineRule="auto"/>
        <w:rPr>
          <w:sz w:val="20"/>
          <w:szCs w:val="20"/>
          <w:color w:val="auto"/>
        </w:rPr>
      </w:pPr>
      <w:r>
        <w:rPr>
          <w:rFonts w:ascii="Times New Roman" w:cs="Times New Roman" w:eastAsia="Times New Roman" w:hAnsi="Times New Roman"/>
          <w:sz w:val="17"/>
          <w:szCs w:val="17"/>
          <w:color w:val="auto"/>
        </w:rPr>
        <w:t>STATE OF _____________ COUNTY OF 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6" w:lineRule="exact"/>
        <w:rPr>
          <w:sz w:val="20"/>
          <w:szCs w:val="20"/>
          <w:color w:val="auto"/>
        </w:rPr>
      </w:pPr>
    </w:p>
    <w:p>
      <w:pPr>
        <w:sectPr>
          <w:pgSz w:w="11900" w:h="16838" w:orient="portrait"/>
          <w:cols w:equalWidth="0" w:num="2">
            <w:col w:w="2060" w:space="240"/>
            <w:col w:w="9120"/>
          </w:cols>
          <w:pgMar w:left="240" w:top="932" w:right="239" w:bottom="1440" w:gutter="0" w:footer="0" w:header="0"/>
        </w:sectPr>
      </w:pPr>
    </w:p>
    <w:p>
      <w:pPr>
        <w:ind w:left="660"/>
        <w:spacing w:after="0"/>
        <w:tabs>
          <w:tab w:leader="none" w:pos="880" w:val="left"/>
          <w:tab w:leader="none" w:pos="1820" w:val="left"/>
          <w:tab w:leader="none" w:pos="2280" w:val="left"/>
          <w:tab w:leader="none" w:pos="2660" w:val="left"/>
          <w:tab w:leader="none" w:pos="3660" w:val="left"/>
          <w:tab w:leader="none" w:pos="4160" w:val="left"/>
          <w:tab w:leader="none" w:pos="4840" w:val="left"/>
          <w:tab w:leader="none" w:pos="6300" w:val="left"/>
          <w:tab w:leader="none" w:pos="7240" w:val="left"/>
          <w:tab w:leader="none" w:pos="7800" w:val="left"/>
          <w:tab w:leader="none" w:pos="8460" w:val="left"/>
          <w:tab w:leader="none" w:pos="8880" w:val="left"/>
          <w:tab w:leader="none" w:pos="11140" w:val="left"/>
        </w:tabs>
        <w:rPr>
          <w:sz w:val="20"/>
          <w:szCs w:val="20"/>
          <w:color w:val="auto"/>
        </w:rPr>
      </w:pPr>
      <w:r>
        <w:rPr>
          <w:rFonts w:ascii="Times New Roman" w:cs="Times New Roman" w:eastAsia="Times New Roman" w:hAnsi="Times New Roman"/>
          <w:sz w:val="18"/>
          <w:szCs w:val="18"/>
          <w:color w:val="auto"/>
        </w:rPr>
        <w:t>I</w:t>
        <w:tab/>
        <w:t>CERTIFY</w:t>
        <w:tab/>
        <w:t>that</w:t>
        <w:tab/>
        <w:t>on</w:t>
        <w:tab/>
        <w:t>_________</w:t>
        <w:tab/>
        <w:t>___,</w:t>
        <w:tab/>
        <w:t>20___,</w:t>
        <w:tab/>
        <w:t>______________</w:t>
        <w:tab/>
        <w:t>personally</w:t>
        <w:tab/>
        <w:t>came</w:t>
        <w:tab/>
        <w:t>before</w:t>
        <w:tab/>
        <w:t>me</w:t>
        <w:tab/>
        <w:t>_______________________</w:t>
        <w:tab/>
        <w:t>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 and each such person acknowledged under oath, to my satisfaction, that:</w:t>
      </w:r>
    </w:p>
    <w:p>
      <w:pPr>
        <w:spacing w:after="0" w:line="207" w:lineRule="exact"/>
        <w:rPr>
          <w:sz w:val="20"/>
          <w:szCs w:val="20"/>
          <w:color w:val="auto"/>
        </w:rPr>
      </w:pPr>
    </w:p>
    <w:p>
      <w:pPr>
        <w:ind w:left="1300" w:hanging="644"/>
        <w:spacing w:after="0"/>
        <w:tabs>
          <w:tab w:leader="none" w:pos="13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was the maker of this Discharge of Memorandum of Lease;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was authorized to and did execute this Discharge of Memorandum of Lease as ______________ and ______________, respectively, of Kornit Digital North America, Inc., the entity named in this Discharge of Memorandum of Lease;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executed this Discharge of Memorandum of Lease as the act of the entity.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1"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-127635</wp:posOffset>
            </wp:positionV>
            <wp:extent cx="252984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type w:val="continuous"/>
        </w:sectPr>
      </w:pPr>
    </w:p>
    <w:bookmarkStart w:id="234" w:name="page235"/>
    <w:bookmarkEnd w:id="234"/>
    <w:p>
      <w:pPr>
        <w:jc w:val="right"/>
        <w:spacing w:after="0"/>
        <w:rPr>
          <w:sz w:val="20"/>
          <w:szCs w:val="20"/>
          <w:color w:val="auto"/>
        </w:rPr>
      </w:pPr>
      <w:r>
        <w:rPr>
          <w:rFonts w:ascii="Times New Roman" w:cs="Times New Roman" w:eastAsia="Times New Roman" w:hAnsi="Times New Roman"/>
          <w:sz w:val="22"/>
          <w:szCs w:val="22"/>
          <w:b w:val="1"/>
          <w:bCs w:val="1"/>
          <w:color w:val="auto"/>
        </w:rPr>
        <w:t>Exhibit 8.1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SUBSIDIARIES OF KORNIT DIGITAL LTD.</w:t>
            </w: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4"/>
                <w:szCs w:val="24"/>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 Interest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Kornit Digital Technologies Ltd.</w:t>
            </w: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Israel</w:t>
            </w: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Kornit Digital North America Inc.</w:t>
            </w:r>
          </w:p>
        </w:tc>
        <w:tc>
          <w:tcPr>
            <w:tcW w:w="120" w:type="dxa"/>
            <w:vAlign w:val="bottom"/>
          </w:tcPr>
          <w:p>
            <w:pPr>
              <w:spacing w:after="0"/>
              <w:rPr>
                <w:sz w:val="18"/>
                <w:szCs w:val="18"/>
                <w:color w:val="auto"/>
              </w:rPr>
            </w:pPr>
          </w:p>
        </w:tc>
        <w:tc>
          <w:tcPr>
            <w:tcW w:w="3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Delaware</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Kornit Digital Europe GmbH</w:t>
            </w: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Germany</w:t>
            </w: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Kornit Digital Asia Pacific Limited.</w:t>
            </w:r>
          </w:p>
        </w:tc>
        <w:tc>
          <w:tcPr>
            <w:tcW w:w="120" w:type="dxa"/>
            <w:vAlign w:val="bottom"/>
          </w:tcPr>
          <w:p>
            <w:pPr>
              <w:spacing w:after="0"/>
              <w:rPr>
                <w:sz w:val="18"/>
                <w:szCs w:val="18"/>
                <w:color w:val="auto"/>
              </w:rPr>
            </w:pPr>
          </w:p>
        </w:tc>
        <w:tc>
          <w:tcPr>
            <w:tcW w:w="3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Hong Kong</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Kornit Digital UK Ltd</w:t>
            </w: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England and Wales</w:t>
            </w: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ind w:left="260" w:right="2660"/>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Gabi Seligsohn, certify that:</w:t>
      </w:r>
    </w:p>
    <w:p>
      <w:pPr>
        <w:spacing w:after="0" w:line="117" w:lineRule="exact"/>
        <w:rPr>
          <w:sz w:val="20"/>
          <w:szCs w:val="20"/>
          <w:color w:val="auto"/>
        </w:rPr>
      </w:pPr>
    </w:p>
    <w:p>
      <w:pPr>
        <w:ind w:left="920" w:hanging="458"/>
        <w:spacing w:after="0"/>
        <w:tabs>
          <w:tab w:leader="none" w:pos="920"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Kornit Digital Ltd.;</w:t>
      </w:r>
    </w:p>
    <w:p>
      <w:pPr>
        <w:spacing w:after="0" w:line="117" w:lineRule="exact"/>
        <w:rPr>
          <w:rFonts w:ascii="Times New Roman" w:cs="Times New Roman" w:eastAsia="Times New Roman" w:hAnsi="Times New Roman"/>
          <w:sz w:val="18"/>
          <w:szCs w:val="18"/>
          <w:color w:val="auto"/>
        </w:rPr>
      </w:pPr>
    </w:p>
    <w:p>
      <w:pPr>
        <w:ind w:right="40" w:firstLine="462"/>
        <w:spacing w:after="0" w:line="282" w:lineRule="auto"/>
        <w:tabs>
          <w:tab w:leader="none" w:pos="904"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462"/>
        <w:spacing w:after="0" w:line="282" w:lineRule="auto"/>
        <w:tabs>
          <w:tab w:leader="none" w:pos="904"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462"/>
        <w:spacing w:after="0" w:line="266" w:lineRule="auto"/>
        <w:tabs>
          <w:tab w:leader="none" w:pos="915"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8"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3" w:lineRule="exact"/>
        <w:rPr>
          <w:rFonts w:ascii="Times New Roman" w:cs="Times New Roman" w:eastAsia="Times New Roman" w:hAnsi="Times New Roman"/>
          <w:sz w:val="18"/>
          <w:szCs w:val="18"/>
          <w:color w:val="auto"/>
        </w:rPr>
      </w:pPr>
    </w:p>
    <w:p>
      <w:pPr>
        <w:ind w:right="220" w:firstLine="462"/>
        <w:spacing w:after="0" w:line="282" w:lineRule="auto"/>
        <w:tabs>
          <w:tab w:leader="none" w:pos="900"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20" w:right="400" w:hanging="523"/>
        <w:spacing w:after="0" w:line="282" w:lineRule="auto"/>
        <w:tabs>
          <w:tab w:leader="none" w:pos="7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20" w:right="20" w:hanging="523"/>
        <w:spacing w:after="0" w:line="282" w:lineRule="auto"/>
        <w:tabs>
          <w:tab w:leader="none" w:pos="7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2018</w:t>
            </w:r>
          </w:p>
        </w:tc>
        <w:tc>
          <w:tcPr>
            <w:tcW w:w="716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By: /s/ Gabi Seligsohn</w:t>
            </w:r>
          </w:p>
        </w:tc>
      </w:tr>
      <w:tr>
        <w:trPr>
          <w:trHeight w:val="191"/>
        </w:trPr>
        <w:tc>
          <w:tcPr>
            <w:tcW w:w="4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Gabi Seligsohn</w:t>
            </w:r>
          </w:p>
        </w:tc>
      </w:tr>
      <w:tr>
        <w:trPr>
          <w:trHeight w:val="216"/>
        </w:trPr>
        <w:tc>
          <w:tcPr>
            <w:tcW w:w="4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17" w:right="2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Guy Avidan, certify that:</w:t>
      </w:r>
    </w:p>
    <w:p>
      <w:pPr>
        <w:spacing w:after="0" w:line="333" w:lineRule="exact"/>
        <w:rPr>
          <w:sz w:val="20"/>
          <w:szCs w:val="20"/>
          <w:color w:val="auto"/>
        </w:rPr>
      </w:pPr>
    </w:p>
    <w:p>
      <w:pPr>
        <w:ind w:left="920" w:hanging="458"/>
        <w:spacing w:after="0"/>
        <w:tabs>
          <w:tab w:leader="none" w:pos="92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Kornit Digital Ltd.;</w:t>
      </w:r>
    </w:p>
    <w:p>
      <w:pPr>
        <w:spacing w:after="0" w:line="117" w:lineRule="exact"/>
        <w:rPr>
          <w:rFonts w:ascii="Times New Roman" w:cs="Times New Roman" w:eastAsia="Times New Roman" w:hAnsi="Times New Roman"/>
          <w:sz w:val="18"/>
          <w:szCs w:val="18"/>
          <w:color w:val="auto"/>
        </w:rPr>
      </w:pPr>
    </w:p>
    <w:p>
      <w:pPr>
        <w:ind w:right="40" w:firstLine="462"/>
        <w:spacing w:after="0" w:line="282" w:lineRule="auto"/>
        <w:tabs>
          <w:tab w:leader="none" w:pos="90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462"/>
        <w:spacing w:after="0" w:line="282" w:lineRule="auto"/>
        <w:tabs>
          <w:tab w:leader="none" w:pos="90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462"/>
        <w:spacing w:after="0" w:line="266" w:lineRule="auto"/>
        <w:tabs>
          <w:tab w:leader="none" w:pos="915"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8"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3" w:lineRule="exact"/>
        <w:rPr>
          <w:rFonts w:ascii="Times New Roman" w:cs="Times New Roman" w:eastAsia="Times New Roman" w:hAnsi="Times New Roman"/>
          <w:sz w:val="18"/>
          <w:szCs w:val="18"/>
          <w:color w:val="auto"/>
        </w:rPr>
      </w:pPr>
    </w:p>
    <w:p>
      <w:pPr>
        <w:ind w:right="20" w:firstLine="462"/>
        <w:spacing w:after="0" w:line="282" w:lineRule="auto"/>
        <w:tabs>
          <w:tab w:leader="none" w:pos="90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4" w:lineRule="exact"/>
        <w:rPr>
          <w:sz w:val="20"/>
          <w:szCs w:val="20"/>
          <w:color w:val="auto"/>
        </w:rPr>
      </w:pPr>
    </w:p>
    <w:p>
      <w:pPr>
        <w:ind w:left="660" w:right="460" w:hanging="652"/>
        <w:spacing w:after="0" w:line="282" w:lineRule="auto"/>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2018</w:t>
            </w:r>
          </w:p>
        </w:tc>
        <w:tc>
          <w:tcPr>
            <w:tcW w:w="716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By: /s/ Guy Avidan</w:t>
            </w:r>
          </w:p>
        </w:tc>
      </w:tr>
      <w:tr>
        <w:trPr>
          <w:trHeight w:val="191"/>
        </w:trPr>
        <w:tc>
          <w:tcPr>
            <w:tcW w:w="4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Guy Avidan</w:t>
            </w:r>
          </w:p>
        </w:tc>
      </w:tr>
      <w:tr>
        <w:trPr>
          <w:trHeight w:val="216"/>
        </w:trPr>
        <w:tc>
          <w:tcPr>
            <w:tcW w:w="4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4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420"/>
          </w:cols>
          <w:pgMar w:left="240" w:top="117" w:right="2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13a-14(b)/RULE 15d-14(b)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6" w:lineRule="exact"/>
        <w:rPr>
          <w:sz w:val="20"/>
          <w:szCs w:val="20"/>
          <w:color w:val="auto"/>
        </w:rPr>
      </w:pPr>
    </w:p>
    <w:p>
      <w:pPr>
        <w:jc w:val="both"/>
        <w:ind w:right="180" w:firstLine="648"/>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Kornit Digital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Form 20-F for the fiscal year ended December 31, 2017 as filed with the Securities and Exchange Commission on the date hereof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we, Gabi Seligsohn, as Chief Executive Officer of the Company, and Guy Avidan, as Chief Financial Officer of the Company, each certify in such respective capacity, pursuant to Rule 13a-14(b)/Rule 15d-14(b) under the Securities Exchange Act of 1934, as amended and 18 U.S.C. §1350, as adopted pursuant to §906 of the Sarbanes-Oxley Act of 2002, that to my knowledge:</w:t>
      </w:r>
    </w:p>
    <w:p>
      <w:pPr>
        <w:spacing w:after="0" w:line="181" w:lineRule="exact"/>
        <w:rPr>
          <w:sz w:val="20"/>
          <w:szCs w:val="20"/>
          <w:color w:val="auto"/>
        </w:rPr>
      </w:pPr>
    </w:p>
    <w:p>
      <w:pPr>
        <w:ind w:left="900" w:hanging="446"/>
        <w:spacing w:after="0"/>
        <w:tabs>
          <w:tab w:leader="none" w:pos="9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20, 2018</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By: /s/ Gabi Seligsohn</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By: /s/ Guy Avidan</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420"/>
          </w:cols>
          <w:pgMar w:left="240" w:top="118" w:right="2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15.1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(Form S-8 No. 333-203970, 333-214015 and 333-217039) and Registration Statement (Form F-3 No. 333-215404) of our report dated March 20, 2018, with respect to the consolidated financial statements of Kornit Digital Ltd. and its subsidiaries included in this Annual Report (Form 20-F)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KOST FORER GABBAY &amp; KASIERER</w:t>
      </w:r>
    </w:p>
    <w:p>
      <w:pPr>
        <w:sectPr>
          <w:pgSz w:w="11900" w:h="16838" w:orient="portrait"/>
          <w:cols w:equalWidth="0" w:num="1">
            <w:col w:w="11420"/>
          </w:cols>
          <w:pgMar w:left="240" w:top="117" w:right="239" w:bottom="1440" w:gutter="0" w:footer="0" w:header="0"/>
        </w:sectPr>
      </w:pP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March 20, 2018</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KOST FORER GABBAY &amp; KASIERER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Ernst &amp; Young Global</w:t>
      </w:r>
    </w:p>
    <w:sectPr>
      <w:pgSz w:w="11900" w:h="16838" w:orient="portrait"/>
      <w:cols w:equalWidth="0" w:num="2">
        <w:col w:w="4980" w:space="720"/>
        <w:col w:w="5720"/>
      </w:cols>
      <w:pgMar w:left="240" w:top="11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
      <w:numFmt w:val="bullet"/>
      <w:start w:val="1"/>
    </w:lvl>
  </w:abstractNum>
  <w:abstractNum w:abstractNumId="1">
    <w:nsid w:val="5FB8370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50801EE1"/>
    <w:multiLevelType w:val="hybridMultilevel"/>
    <w:lvl w:ilvl="0">
      <w:lvlJc w:val="left"/>
      <w:lvlText w:val="†"/>
      <w:numFmt w:val="bullet"/>
      <w:start w:val="1"/>
    </w:lvl>
  </w:abstractNum>
  <w:abstractNum w:abstractNumId="3">
    <w:nsid w:val="488AC1A"/>
    <w:multiLevelType w:val="hybridMultilevel"/>
    <w:lvl w:ilvl="0">
      <w:lvlJc w:val="left"/>
      <w:lvlText w:val="☐"/>
      <w:numFmt w:val="bullet"/>
      <w:start w:val="1"/>
    </w:lvl>
  </w:abstractNum>
  <w:abstractNum w:abstractNumId="4">
    <w:nsid w:val="5FB8011C"/>
    <w:multiLevelType w:val="hybridMultilevel"/>
    <w:lvl w:ilvl="0">
      <w:lvlJc w:val="left"/>
      <w:lvlText w:val="●"/>
      <w:numFmt w:val="bullet"/>
      <w:start w:val="1"/>
    </w:lvl>
  </w:abstractNum>
  <w:abstractNum w:abstractNumId="5">
    <w:nsid w:val="6AA78F7F"/>
    <w:multiLevelType w:val="hybridMultilevel"/>
    <w:lvl w:ilvl="0">
      <w:lvlJc w:val="left"/>
      <w:lvlText w:val="●"/>
      <w:numFmt w:val="bullet"/>
      <w:start w:val="1"/>
    </w:lvl>
  </w:abstractNum>
  <w:abstractNum w:abstractNumId="6">
    <w:nsid w:val="7672BD23"/>
    <w:multiLevelType w:val="hybridMultilevel"/>
    <w:lvl w:ilvl="0">
      <w:lvlJc w:val="left"/>
      <w:lvlText w:val="(%1)"/>
      <w:numFmt w:val="decimal"/>
      <w:start w:val="2"/>
    </w:lvl>
    <w:lvl w:ilvl="1">
      <w:lvlJc w:val="left"/>
      <w:lvlText w:val="%2."/>
      <w:numFmt w:val="upperLetter"/>
      <w:start w:val="2"/>
    </w:lvl>
  </w:abstractNum>
  <w:abstractNum w:abstractNumId="7">
    <w:nsid w:val="6FC75AF8"/>
    <w:multiLevelType w:val="hybridMultilevel"/>
    <w:lvl w:ilvl="0">
      <w:lvlJc w:val="left"/>
      <w:lvlText w:val="●"/>
      <w:numFmt w:val="bullet"/>
      <w:start w:val="1"/>
    </w:lvl>
  </w:abstractNum>
  <w:abstractNum w:abstractNumId="8">
    <w:nsid w:val="6A5F7029"/>
    <w:multiLevelType w:val="hybridMultilevel"/>
    <w:lvl w:ilvl="0">
      <w:lvlJc w:val="left"/>
      <w:lvlText w:val="●"/>
      <w:numFmt w:val="bullet"/>
      <w:start w:val="1"/>
    </w:lvl>
  </w:abstractNum>
  <w:abstractNum w:abstractNumId="9">
    <w:nsid w:val="7D5E18F8"/>
    <w:multiLevelType w:val="hybridMultilevel"/>
    <w:lvl w:ilvl="0">
      <w:lvlJc w:val="left"/>
      <w:lvlText w:val="●"/>
      <w:numFmt w:val="bullet"/>
      <w:start w:val="1"/>
    </w:lvl>
  </w:abstractNum>
  <w:abstractNum w:abstractNumId="10">
    <w:nsid w:val="5F3534A4"/>
    <w:multiLevelType w:val="hybridMultilevel"/>
    <w:lvl w:ilvl="0">
      <w:lvlJc w:val="left"/>
      <w:lvlText w:val="●"/>
      <w:numFmt w:val="bullet"/>
      <w:start w:val="1"/>
    </w:lvl>
  </w:abstractNum>
  <w:abstractNum w:abstractNumId="11">
    <w:nsid w:val="73A1821B"/>
    <w:multiLevelType w:val="hybridMultilevel"/>
    <w:lvl w:ilvl="0">
      <w:lvlJc w:val="left"/>
      <w:lvlText w:val="●"/>
      <w:numFmt w:val="bullet"/>
      <w:start w:val="1"/>
    </w:lvl>
  </w:abstractNum>
  <w:abstractNum w:abstractNumId="12">
    <w:nsid w:val="7DE67713"/>
    <w:multiLevelType w:val="hybridMultilevel"/>
    <w:lvl w:ilvl="0">
      <w:lvlJc w:val="left"/>
      <w:lvlText w:val="(%1)"/>
      <w:numFmt w:val="decimal"/>
      <w:start w:val="10"/>
    </w:lvl>
  </w:abstractNum>
  <w:abstractNum w:abstractNumId="13">
    <w:nsid w:val="555C55B5"/>
    <w:multiLevelType w:val="hybridMultilevel"/>
    <w:lvl w:ilvl="0">
      <w:lvlJc w:val="left"/>
      <w:lvlText w:val="●"/>
      <w:numFmt w:val="bullet"/>
      <w:start w:val="1"/>
    </w:lvl>
  </w:abstractNum>
  <w:abstractNum w:abstractNumId="14">
    <w:nsid w:val="3FA62ACA"/>
    <w:multiLevelType w:val="hybridMultilevel"/>
    <w:lvl w:ilvl="0">
      <w:lvlJc w:val="left"/>
      <w:lvlText w:val="●"/>
      <w:numFmt w:val="bullet"/>
      <w:start w:val="1"/>
    </w:lvl>
  </w:abstractNum>
  <w:abstractNum w:abstractNumId="15">
    <w:nsid w:val="14FCE74E"/>
    <w:multiLevelType w:val="hybridMultilevel"/>
    <w:lvl w:ilvl="0">
      <w:lvlJc w:val="left"/>
      <w:lvlText w:val="●"/>
      <w:numFmt w:val="bullet"/>
      <w:start w:val="1"/>
    </w:lvl>
  </w:abstractNum>
  <w:abstractNum w:abstractNumId="16">
    <w:nsid w:val="6A3DD3E8"/>
    <w:multiLevelType w:val="hybridMultilevel"/>
    <w:lvl w:ilvl="0">
      <w:lvlJc w:val="left"/>
      <w:lvlText w:val="●"/>
      <w:numFmt w:val="bullet"/>
      <w:start w:val="1"/>
    </w:lvl>
  </w:abstractNum>
  <w:abstractNum w:abstractNumId="17">
    <w:nsid w:val="71C91298"/>
    <w:multiLevelType w:val="hybridMultilevel"/>
    <w:lvl w:ilvl="0">
      <w:lvlJc w:val="left"/>
      <w:lvlText w:val="%1."/>
      <w:numFmt w:val="upperLetter"/>
      <w:start w:val="1"/>
    </w:lvl>
  </w:abstractNum>
  <w:abstractNum w:abstractNumId="18">
    <w:nsid w:val="9DAF632"/>
    <w:multiLevelType w:val="hybridMultilevel"/>
    <w:lvl w:ilvl="0">
      <w:lvlJc w:val="left"/>
      <w:lvlText w:val="●"/>
      <w:numFmt w:val="bullet"/>
      <w:start w:val="1"/>
    </w:lvl>
  </w:abstractNum>
  <w:abstractNum w:abstractNumId="19">
    <w:nsid w:val="53299938"/>
    <w:multiLevelType w:val="hybridMultilevel"/>
    <w:lvl w:ilvl="0">
      <w:lvlJc w:val="left"/>
      <w:lvlText w:val="●"/>
      <w:numFmt w:val="bullet"/>
      <w:start w:val="1"/>
    </w:lvl>
  </w:abstractNum>
  <w:abstractNum w:abstractNumId="20">
    <w:nsid w:val="1FBFE8E0"/>
    <w:multiLevelType w:val="hybridMultilevel"/>
    <w:lvl w:ilvl="0">
      <w:lvlJc w:val="left"/>
      <w:lvlText w:val="●"/>
      <w:numFmt w:val="bullet"/>
      <w:start w:val="1"/>
    </w:lvl>
  </w:abstractNum>
  <w:abstractNum w:abstractNumId="21">
    <w:nsid w:val="5092CA79"/>
    <w:multiLevelType w:val="hybridMultilevel"/>
    <w:lvl w:ilvl="0">
      <w:lvlJc w:val="left"/>
      <w:lvlText w:val="●"/>
      <w:numFmt w:val="bullet"/>
      <w:start w:val="1"/>
    </w:lvl>
  </w:abstractNum>
  <w:abstractNum w:abstractNumId="22">
    <w:nsid w:val="1D545C4D"/>
    <w:multiLevelType w:val="hybridMultilevel"/>
    <w:lvl w:ilvl="0">
      <w:lvlJc w:val="left"/>
      <w:lvlText w:val="●"/>
      <w:numFmt w:val="bullet"/>
      <w:start w:val="1"/>
    </w:lvl>
  </w:abstractNum>
  <w:abstractNum w:abstractNumId="23">
    <w:nsid w:val="59ADEA3D"/>
    <w:multiLevelType w:val="hybridMultilevel"/>
    <w:lvl w:ilvl="0">
      <w:lvlJc w:val="left"/>
      <w:lvlText w:val="●"/>
      <w:numFmt w:val="bullet"/>
      <w:start w:val="1"/>
    </w:lvl>
  </w:abstractNum>
  <w:abstractNum w:abstractNumId="24">
    <w:nsid w:val="288F1A34"/>
    <w:multiLevelType w:val="hybridMultilevel"/>
    <w:lvl w:ilvl="0">
      <w:lvlJc w:val="left"/>
      <w:lvlText w:val="●"/>
      <w:numFmt w:val="bullet"/>
      <w:start w:val="1"/>
    </w:lvl>
  </w:abstractNum>
  <w:abstractNum w:abstractNumId="25">
    <w:nsid w:val="2A155DBC"/>
    <w:multiLevelType w:val="hybridMultilevel"/>
    <w:lvl w:ilvl="0">
      <w:lvlJc w:val="left"/>
      <w:lvlText w:val="●"/>
      <w:numFmt w:val="bullet"/>
      <w:start w:val="1"/>
    </w:lvl>
  </w:abstractNum>
  <w:abstractNum w:abstractNumId="26">
    <w:nsid w:val="1D9F6E5F"/>
    <w:multiLevelType w:val="hybridMultilevel"/>
    <w:lvl w:ilvl="0">
      <w:lvlJc w:val="left"/>
      <w:lvlText w:val="●"/>
      <w:numFmt w:val="bullet"/>
      <w:start w:val="1"/>
    </w:lvl>
  </w:abstractNum>
  <w:abstractNum w:abstractNumId="27">
    <w:nsid w:val="97E1B4E"/>
    <w:multiLevelType w:val="hybridMultilevel"/>
    <w:lvl w:ilvl="0">
      <w:lvlJc w:val="left"/>
      <w:lvlText w:val="●"/>
      <w:numFmt w:val="bullet"/>
      <w:start w:val="1"/>
    </w:lvl>
  </w:abstractNum>
  <w:abstractNum w:abstractNumId="28">
    <w:nsid w:val="51088277"/>
    <w:multiLevelType w:val="hybridMultilevel"/>
    <w:lvl w:ilvl="0">
      <w:lvlJc w:val="left"/>
      <w:lvlText w:val="●"/>
      <w:numFmt w:val="bullet"/>
      <w:start w:val="1"/>
    </w:lvl>
  </w:abstractNum>
  <w:abstractNum w:abstractNumId="29">
    <w:nsid w:val="1CA0C5FA"/>
    <w:multiLevelType w:val="hybridMultilevel"/>
    <w:lvl w:ilvl="0">
      <w:lvlJc w:val="left"/>
      <w:lvlText w:val="●"/>
      <w:numFmt w:val="bullet"/>
      <w:start w:val="1"/>
    </w:lvl>
  </w:abstractNum>
  <w:abstractNum w:abstractNumId="30">
    <w:nsid w:val="53584BCB"/>
    <w:multiLevelType w:val="hybridMultilevel"/>
    <w:lvl w:ilvl="0">
      <w:lvlJc w:val="left"/>
      <w:lvlText w:val="●"/>
      <w:numFmt w:val="bullet"/>
      <w:start w:val="1"/>
    </w:lvl>
  </w:abstractNum>
  <w:abstractNum w:abstractNumId="31">
    <w:nsid w:val="415E286C"/>
    <w:multiLevelType w:val="hybridMultilevel"/>
    <w:lvl w:ilvl="0">
      <w:lvlJc w:val="left"/>
      <w:lvlText w:val="(%1)"/>
      <w:numFmt w:val="decimal"/>
      <w:start w:val="1"/>
    </w:lvl>
  </w:abstractNum>
  <w:abstractNum w:abstractNumId="32">
    <w:nsid w:val="7C58FD05"/>
    <w:multiLevelType w:val="hybridMultilevel"/>
    <w:lvl w:ilvl="0">
      <w:lvlJc w:val="left"/>
      <w:lvlText w:val="●"/>
      <w:numFmt w:val="bullet"/>
      <w:start w:val="1"/>
    </w:lvl>
  </w:abstractNum>
  <w:abstractNum w:abstractNumId="33">
    <w:nsid w:val="23D86AAC"/>
    <w:multiLevelType w:val="hybridMultilevel"/>
    <w:lvl w:ilvl="0">
      <w:lvlJc w:val="left"/>
      <w:lvlText w:val="●"/>
      <w:numFmt w:val="bullet"/>
      <w:start w:val="1"/>
    </w:lvl>
  </w:abstractNum>
  <w:abstractNum w:abstractNumId="34">
    <w:nsid w:val="45E6D486"/>
    <w:multiLevelType w:val="hybridMultilevel"/>
    <w:lvl w:ilvl="0">
      <w:lvlJc w:val="left"/>
      <w:lvlText w:val="%1."/>
      <w:numFmt w:val="upperLetter"/>
      <w:start w:val="6"/>
    </w:lvl>
  </w:abstractNum>
  <w:abstractNum w:abstractNumId="35">
    <w:nsid w:val="5C10FE21"/>
    <w:multiLevelType w:val="hybridMultilevel"/>
    <w:lvl w:ilvl="0">
      <w:lvlJc w:val="left"/>
      <w:lvlText w:val="(%1)"/>
      <w:numFmt w:val="decimal"/>
      <w:start w:val="1"/>
    </w:lvl>
  </w:abstractNum>
  <w:abstractNum w:abstractNumId="36">
    <w:nsid w:val="E7FFA2B"/>
    <w:multiLevelType w:val="hybridMultilevel"/>
    <w:lvl w:ilvl="0">
      <w:lvlJc w:val="left"/>
      <w:lvlText w:val="%1."/>
      <w:numFmt w:val="upperLetter"/>
      <w:start w:val="1"/>
    </w:lvl>
  </w:abstractNum>
  <w:abstractNum w:abstractNumId="37">
    <w:nsid w:val="3C5991AA"/>
    <w:multiLevelType w:val="hybridMultilevel"/>
    <w:lvl w:ilvl="0">
      <w:lvlJc w:val="left"/>
      <w:lvlText w:val="(%1)"/>
      <w:numFmt w:val="decimal"/>
      <w:start w:val="1"/>
    </w:lvl>
  </w:abstractNum>
  <w:abstractNum w:abstractNumId="38">
    <w:nsid w:val="4BD8591A"/>
    <w:multiLevelType w:val="hybridMultilevel"/>
    <w:lvl w:ilvl="0">
      <w:lvlJc w:val="left"/>
      <w:lvlText w:val="●"/>
      <w:numFmt w:val="bullet"/>
      <w:start w:val="1"/>
    </w:lvl>
  </w:abstractNum>
  <w:abstractNum w:abstractNumId="39">
    <w:nsid w:val="78DF6A55"/>
    <w:multiLevelType w:val="hybridMultilevel"/>
    <w:lvl w:ilvl="0">
      <w:lvlJc w:val="left"/>
      <w:lvlText w:val="(%1)"/>
      <w:numFmt w:val="decimal"/>
      <w:start w:val="1"/>
    </w:lvl>
  </w:abstractNum>
  <w:abstractNum w:abstractNumId="40">
    <w:nsid w:val="39B7AAA2"/>
    <w:multiLevelType w:val="hybridMultilevel"/>
    <w:lvl w:ilvl="0">
      <w:lvlJc w:val="left"/>
      <w:lvlText w:val="(%1)"/>
      <w:numFmt w:val="lowerRoman"/>
      <w:start w:val="1"/>
    </w:lvl>
  </w:abstractNum>
  <w:abstractNum w:abstractNumId="41">
    <w:nsid w:val="2B0D8DBE"/>
    <w:multiLevelType w:val="hybridMultilevel"/>
    <w:lvl w:ilvl="0">
      <w:lvlJc w:val="left"/>
      <w:lvlText w:val="(%1)"/>
      <w:numFmt w:val="lowerRoman"/>
      <w:start w:val="1"/>
    </w:lvl>
  </w:abstractNum>
  <w:abstractNum w:abstractNumId="42">
    <w:nsid w:val="6C80EC70"/>
    <w:multiLevelType w:val="hybridMultilevel"/>
    <w:lvl w:ilvl="0">
      <w:lvlJc w:val="left"/>
      <w:lvlText w:val="(%1)"/>
      <w:numFmt w:val="lowerRoman"/>
      <w:start w:val="1"/>
    </w:lvl>
  </w:abstractNum>
  <w:abstractNum w:abstractNumId="43">
    <w:nsid w:val="379E21B5"/>
    <w:multiLevelType w:val="hybridMultilevel"/>
    <w:lvl w:ilvl="0">
      <w:lvlJc w:val="left"/>
      <w:lvlText w:val="●"/>
      <w:numFmt w:val="bullet"/>
      <w:start w:val="1"/>
    </w:lvl>
  </w:abstractNum>
  <w:abstractNum w:abstractNumId="44">
    <w:nsid w:val="69E373"/>
    <w:multiLevelType w:val="hybridMultilevel"/>
    <w:lvl w:ilvl="0">
      <w:lvlJc w:val="left"/>
      <w:lvlText w:val="●"/>
      <w:numFmt w:val="bullet"/>
      <w:start w:val="1"/>
    </w:lvl>
  </w:abstractNum>
  <w:abstractNum w:abstractNumId="45">
    <w:nsid w:val="2C27173B"/>
    <w:multiLevelType w:val="hybridMultilevel"/>
    <w:lvl w:ilvl="0">
      <w:lvlJc w:val="left"/>
      <w:lvlText w:val="●"/>
      <w:numFmt w:val="bullet"/>
      <w:start w:val="1"/>
    </w:lvl>
  </w:abstractNum>
  <w:abstractNum w:abstractNumId="46">
    <w:nsid w:val="4C9B0904"/>
    <w:multiLevelType w:val="hybridMultilevel"/>
    <w:lvl w:ilvl="0">
      <w:lvlJc w:val="left"/>
      <w:lvlText w:val="(%1)"/>
      <w:numFmt w:val="lowerLetter"/>
      <w:start w:val="3"/>
    </w:lvl>
  </w:abstractNum>
  <w:abstractNum w:abstractNumId="47">
    <w:nsid w:val="6AA7B75C"/>
    <w:multiLevelType w:val="hybridMultilevel"/>
    <w:lvl w:ilvl="0">
      <w:lvlJc w:val="left"/>
      <w:lvlText w:val="●"/>
      <w:numFmt w:val="bullet"/>
      <w:start w:val="1"/>
    </w:lvl>
  </w:abstractNum>
  <w:abstractNum w:abstractNumId="48">
    <w:nsid w:val="1DF029D3"/>
    <w:multiLevelType w:val="hybridMultilevel"/>
    <w:lvl w:ilvl="0">
      <w:lvlJc w:val="left"/>
      <w:lvlText w:val="●"/>
      <w:numFmt w:val="bullet"/>
      <w:start w:val="1"/>
    </w:lvl>
  </w:abstractNum>
  <w:abstractNum w:abstractNumId="49">
    <w:nsid w:val="5675FF36"/>
    <w:multiLevelType w:val="hybridMultilevel"/>
    <w:lvl w:ilvl="0">
      <w:lvlJc w:val="left"/>
      <w:lvlText w:val="●"/>
      <w:numFmt w:val="bullet"/>
      <w:start w:val="1"/>
    </w:lvl>
  </w:abstractNum>
  <w:abstractNum w:abstractNumId="50">
    <w:nsid w:val="3DD15094"/>
    <w:multiLevelType w:val="hybridMultilevel"/>
    <w:lvl w:ilvl="0">
      <w:lvlJc w:val="left"/>
      <w:lvlText w:val="●"/>
      <w:numFmt w:val="bullet"/>
      <w:start w:val="1"/>
    </w:lvl>
  </w:abstractNum>
  <w:abstractNum w:abstractNumId="51">
    <w:nsid w:val="3DB012B3"/>
    <w:multiLevelType w:val="hybridMultilevel"/>
    <w:lvl w:ilvl="0">
      <w:lvlJc w:val="left"/>
      <w:lvlText w:val="●"/>
      <w:numFmt w:val="bullet"/>
      <w:start w:val="1"/>
    </w:lvl>
  </w:abstractNum>
  <w:abstractNum w:abstractNumId="52">
    <w:nsid w:val="2708C9AF"/>
    <w:multiLevelType w:val="hybridMultilevel"/>
    <w:lvl w:ilvl="0">
      <w:lvlJc w:val="left"/>
      <w:lvlText w:val="●"/>
      <w:numFmt w:val="bullet"/>
      <w:start w:val="1"/>
    </w:lvl>
  </w:abstractNum>
  <w:abstractNum w:abstractNumId="53">
    <w:nsid w:val="5B25ACE2"/>
    <w:multiLevelType w:val="hybridMultilevel"/>
    <w:lvl w:ilvl="0">
      <w:lvlJc w:val="left"/>
      <w:lvlText w:val="●"/>
      <w:numFmt w:val="bullet"/>
      <w:start w:val="1"/>
    </w:lvl>
  </w:abstractNum>
  <w:abstractNum w:abstractNumId="54">
    <w:nsid w:val="175DFCF0"/>
    <w:multiLevelType w:val="hybridMultilevel"/>
    <w:lvl w:ilvl="0">
      <w:lvlJc w:val="left"/>
      <w:lvlText w:val="●"/>
      <w:numFmt w:val="bullet"/>
      <w:start w:val="1"/>
    </w:lvl>
  </w:abstractNum>
  <w:abstractNum w:abstractNumId="55">
    <w:nsid w:val="4F97E3E4"/>
    <w:multiLevelType w:val="hybridMultilevel"/>
    <w:lvl w:ilvl="0">
      <w:lvlJc w:val="left"/>
      <w:lvlText w:val="●"/>
      <w:numFmt w:val="bullet"/>
      <w:start w:val="1"/>
    </w:lvl>
  </w:abstractNum>
  <w:abstractNum w:abstractNumId="56">
    <w:nsid w:val="53B0A9E"/>
    <w:multiLevelType w:val="hybridMultilevel"/>
    <w:lvl w:ilvl="0">
      <w:lvlJc w:val="left"/>
      <w:lvlText w:val="●"/>
      <w:numFmt w:val="bullet"/>
      <w:start w:val="1"/>
    </w:lvl>
  </w:abstractNum>
  <w:abstractNum w:abstractNumId="57">
    <w:nsid w:val="34FD6B4F"/>
    <w:multiLevelType w:val="hybridMultilevel"/>
    <w:lvl w:ilvl="0">
      <w:lvlJc w:val="left"/>
      <w:lvlText w:val="●"/>
      <w:numFmt w:val="bullet"/>
      <w:start w:val="1"/>
    </w:lvl>
  </w:abstractNum>
  <w:abstractNum w:abstractNumId="58">
    <w:nsid w:val="5915FF32"/>
    <w:multiLevelType w:val="hybridMultilevel"/>
    <w:lvl w:ilvl="0">
      <w:lvlJc w:val="left"/>
      <w:lvlText w:val="●"/>
      <w:numFmt w:val="bullet"/>
      <w:start w:val="1"/>
    </w:lvl>
  </w:abstractNum>
  <w:abstractNum w:abstractNumId="59">
    <w:nsid w:val="56438D15"/>
    <w:multiLevelType w:val="hybridMultilevel"/>
    <w:lvl w:ilvl="0">
      <w:lvlJc w:val="left"/>
      <w:lvlText w:val="●"/>
      <w:numFmt w:val="bullet"/>
      <w:start w:val="1"/>
    </w:lvl>
  </w:abstractNum>
  <w:abstractNum w:abstractNumId="60">
    <w:nsid w:val="519E3149"/>
    <w:multiLevelType w:val="hybridMultilevel"/>
    <w:lvl w:ilvl="0">
      <w:lvlJc w:val="left"/>
      <w:lvlText w:val="●"/>
      <w:numFmt w:val="bullet"/>
      <w:start w:val="1"/>
    </w:lvl>
  </w:abstractNum>
  <w:abstractNum w:abstractNumId="61">
    <w:nsid w:val="2C6E4AFD"/>
    <w:multiLevelType w:val="hybridMultilevel"/>
    <w:lvl w:ilvl="0">
      <w:lvlJc w:val="left"/>
      <w:lvlText w:val="●"/>
      <w:numFmt w:val="bullet"/>
      <w:start w:val="1"/>
    </w:lvl>
  </w:abstractNum>
  <w:abstractNum w:abstractNumId="62">
    <w:nsid w:val="17A1B582"/>
    <w:multiLevelType w:val="hybridMultilevel"/>
    <w:lvl w:ilvl="0">
      <w:lvlJc w:val="left"/>
      <w:lvlText w:val="●"/>
      <w:numFmt w:val="bullet"/>
      <w:start w:val="1"/>
    </w:lvl>
  </w:abstractNum>
  <w:abstractNum w:abstractNumId="63">
    <w:nsid w:val="4DF72E4E"/>
    <w:multiLevelType w:val="hybridMultilevel"/>
    <w:lvl w:ilvl="0">
      <w:lvlJc w:val="left"/>
      <w:lvlText w:val="%1."/>
      <w:numFmt w:val="upperLetter"/>
      <w:start w:val="1"/>
    </w:lvl>
    <w:lvl w:ilvl="1">
      <w:lvlJc w:val="left"/>
      <w:lvlText w:val="●"/>
      <w:numFmt w:val="bullet"/>
      <w:start w:val="1"/>
    </w:lvl>
  </w:abstractNum>
  <w:abstractNum w:abstractNumId="64">
    <w:nsid w:val="5046B5A9"/>
    <w:multiLevelType w:val="hybridMultilevel"/>
    <w:lvl w:ilvl="0">
      <w:lvlJc w:val="left"/>
      <w:lvlText w:val="*"/>
      <w:numFmt w:val="bullet"/>
      <w:start w:val="1"/>
    </w:lvl>
  </w:abstractNum>
  <w:abstractNum w:abstractNumId="65">
    <w:nsid w:val="5D888A08"/>
    <w:multiLevelType w:val="hybridMultilevel"/>
    <w:lvl w:ilvl="0">
      <w:lvlJc w:val="left"/>
      <w:lvlText w:val="(%1)"/>
      <w:numFmt w:val="decimal"/>
      <w:start w:val="1"/>
    </w:lvl>
  </w:abstractNum>
  <w:abstractNum w:abstractNumId="66">
    <w:nsid w:val="2A082C70"/>
    <w:multiLevelType w:val="hybridMultilevel"/>
    <w:lvl w:ilvl="0">
      <w:lvlJc w:val="left"/>
      <w:lvlText w:val="%1."/>
      <w:numFmt w:val="upperLetter"/>
      <w:start w:val="3"/>
    </w:lvl>
  </w:abstractNum>
  <w:abstractNum w:abstractNumId="67">
    <w:nsid w:val="5EC6AFD4"/>
    <w:multiLevelType w:val="hybridMultilevel"/>
    <w:lvl w:ilvl="0">
      <w:lvlJc w:val="left"/>
      <w:lvlText w:val="%1."/>
      <w:numFmt w:val="upperLetter"/>
      <w:start w:val="1"/>
    </w:lvl>
  </w:abstractNum>
  <w:abstractNum w:abstractNumId="68">
    <w:nsid w:val="19E21BB2"/>
    <w:multiLevelType w:val="hybridMultilevel"/>
    <w:lvl w:ilvl="0">
      <w:lvlJc w:val="left"/>
      <w:lvlText w:val="%1."/>
      <w:numFmt w:val="upperLetter"/>
      <w:start w:val="2"/>
    </w:lvl>
  </w:abstractNum>
  <w:abstractNum w:abstractNumId="69">
    <w:nsid w:val="75E0858A"/>
    <w:multiLevelType w:val="hybridMultilevel"/>
    <w:lvl w:ilvl="0">
      <w:lvlJc w:val="left"/>
      <w:lvlText w:val="%1."/>
      <w:numFmt w:val="upperLetter"/>
      <w:start w:val="1"/>
    </w:lvl>
  </w:abstractNum>
  <w:abstractNum w:abstractNumId="70">
    <w:nsid w:val="57A61A29"/>
    <w:multiLevelType w:val="hybridMultilevel"/>
    <w:lvl w:ilvl="0">
      <w:lvlJc w:val="left"/>
      <w:lvlText w:val="●"/>
      <w:numFmt w:val="bullet"/>
      <w:start w:val="1"/>
    </w:lvl>
  </w:abstractNum>
  <w:abstractNum w:abstractNumId="71">
    <w:nsid w:val="5399C654"/>
    <w:multiLevelType w:val="hybridMultilevel"/>
    <w:lvl w:ilvl="0">
      <w:lvlJc w:val="left"/>
      <w:lvlText w:val="●"/>
      <w:numFmt w:val="bullet"/>
      <w:start w:val="1"/>
    </w:lvl>
  </w:abstractNum>
  <w:abstractNum w:abstractNumId="72">
    <w:nsid w:val="20EE1348"/>
    <w:multiLevelType w:val="hybridMultilevel"/>
    <w:lvl w:ilvl="0">
      <w:lvlJc w:val="left"/>
      <w:lvlText w:val="●"/>
      <w:numFmt w:val="bullet"/>
      <w:start w:val="1"/>
    </w:lvl>
  </w:abstractNum>
  <w:abstractNum w:abstractNumId="73">
    <w:nsid w:val="4427069A"/>
    <w:multiLevelType w:val="hybridMultilevel"/>
    <w:lvl w:ilvl="0">
      <w:lvlJc w:val="left"/>
      <w:lvlText w:val="●"/>
      <w:numFmt w:val="bullet"/>
      <w:start w:val="1"/>
    </w:lvl>
  </w:abstractNum>
  <w:abstractNum w:abstractNumId="74">
    <w:nsid w:val="B37E80A"/>
    <w:multiLevelType w:val="hybridMultilevel"/>
    <w:lvl w:ilvl="0">
      <w:lvlJc w:val="left"/>
      <w:lvlText w:val="%1."/>
      <w:numFmt w:val="upperLetter"/>
      <w:start w:val="6"/>
    </w:lvl>
  </w:abstractNum>
  <w:abstractNum w:abstractNumId="75">
    <w:nsid w:val="2157F6BC"/>
    <w:multiLevelType w:val="hybridMultilevel"/>
    <w:lvl w:ilvl="0">
      <w:lvlJc w:val="left"/>
      <w:lvlText w:val="%1."/>
      <w:numFmt w:val="upperLetter"/>
      <w:start w:val="9"/>
    </w:lvl>
  </w:abstractNum>
  <w:abstractNum w:abstractNumId="76">
    <w:nsid w:val="704E1DD5"/>
    <w:multiLevelType w:val="hybridMultilevel"/>
    <w:lvl w:ilvl="0">
      <w:lvlJc w:val="left"/>
      <w:lvlText w:val="%1."/>
      <w:numFmt w:val="upperLetter"/>
      <w:start w:val="1"/>
    </w:lvl>
  </w:abstractNum>
  <w:abstractNum w:abstractNumId="77">
    <w:nsid w:val="57D2F10E"/>
    <w:multiLevelType w:val="hybridMultilevel"/>
    <w:lvl w:ilvl="0">
      <w:lvlJc w:val="left"/>
      <w:lvlText w:val="●"/>
      <w:numFmt w:val="bullet"/>
      <w:start w:val="1"/>
    </w:lvl>
  </w:abstractNum>
  <w:abstractNum w:abstractNumId="78">
    <w:nsid w:val="BFFAE18"/>
    <w:multiLevelType w:val="hybridMultilevel"/>
    <w:lvl w:ilvl="0">
      <w:lvlJc w:val="left"/>
      <w:lvlText w:val="●"/>
      <w:numFmt w:val="bullet"/>
      <w:start w:val="1"/>
    </w:lvl>
  </w:abstractNum>
  <w:abstractNum w:abstractNumId="79">
    <w:nsid w:val="E3E47A8"/>
    <w:multiLevelType w:val="hybridMultilevel"/>
    <w:lvl w:ilvl="0">
      <w:lvlJc w:val="left"/>
      <w:lvlText w:val="●"/>
      <w:numFmt w:val="bullet"/>
      <w:start w:val="1"/>
    </w:lvl>
  </w:abstractNum>
  <w:abstractNum w:abstractNumId="80">
    <w:nsid w:val="2E48F044"/>
    <w:multiLevelType w:val="hybridMultilevel"/>
    <w:lvl w:ilvl="0">
      <w:lvlJc w:val="left"/>
      <w:lvlText w:val="(%1)"/>
      <w:numFmt w:val="decimal"/>
      <w:start w:val="1"/>
    </w:lvl>
  </w:abstractNum>
  <w:abstractNum w:abstractNumId="81">
    <w:nsid w:val="49D0FEAC"/>
    <w:multiLevelType w:val="hybridMultilevel"/>
    <w:lvl w:ilvl="0">
      <w:lvlJc w:val="left"/>
      <w:lvlText w:val="(%1)"/>
      <w:numFmt w:val="decimal"/>
      <w:start w:val="2"/>
    </w:lvl>
  </w:abstractNum>
  <w:abstractNum w:abstractNumId="82">
    <w:nsid w:val="4BEE5A5B"/>
    <w:multiLevelType w:val="hybridMultilevel"/>
    <w:lvl w:ilvl="0">
      <w:lvlJc w:val="left"/>
      <w:lvlText w:val="†"/>
      <w:numFmt w:val="bullet"/>
      <w:start w:val="1"/>
    </w:lvl>
  </w:abstractNum>
  <w:abstractNum w:abstractNumId="83">
    <w:nsid w:val="5551B9F3"/>
    <w:multiLevelType w:val="hybridMultilevel"/>
    <w:lvl w:ilvl="0">
      <w:lvlJc w:val="left"/>
      <w:lvlText w:val="%1."/>
      <w:numFmt w:val="lowerLetter"/>
      <w:start w:val="1"/>
    </w:lvl>
  </w:abstractNum>
  <w:abstractNum w:abstractNumId="84">
    <w:nsid w:val="24F6AB8E"/>
    <w:multiLevelType w:val="hybridMultilevel"/>
    <w:lvl w:ilvl="0">
      <w:lvlJc w:val="left"/>
      <w:lvlText w:val="%1."/>
      <w:numFmt w:val="lowerLetter"/>
      <w:start w:val="1"/>
    </w:lvl>
  </w:abstractNum>
  <w:abstractNum w:abstractNumId="85">
    <w:nsid w:val="634C574C"/>
    <w:multiLevelType w:val="hybridMultilevel"/>
    <w:lvl w:ilvl="0">
      <w:lvlJc w:val="left"/>
      <w:lvlText w:val="%1."/>
      <w:numFmt w:val="lowerLetter"/>
      <w:start w:val="2"/>
    </w:lvl>
  </w:abstractNum>
  <w:abstractNum w:abstractNumId="86">
    <w:nsid w:val="24E99DD7"/>
    <w:multiLevelType w:val="hybridMultilevel"/>
    <w:lvl w:ilvl="0">
      <w:lvlJc w:val="left"/>
      <w:lvlText w:val="%1."/>
      <w:numFmt w:val="lowerLetter"/>
      <w:start w:val="6"/>
    </w:lvl>
  </w:abstractNum>
  <w:abstractNum w:abstractNumId="87">
    <w:nsid w:val="2A31B62D"/>
    <w:multiLevelType w:val="hybridMultilevel"/>
    <w:lvl w:ilvl="0">
      <w:lvlJc w:val="left"/>
      <w:lvlText w:val="%1."/>
      <w:numFmt w:val="lowerLetter"/>
      <w:start w:val="8"/>
    </w:lvl>
  </w:abstractNum>
  <w:abstractNum w:abstractNumId="88">
    <w:nsid w:val="1849C29B"/>
    <w:multiLevelType w:val="hybridMultilevel"/>
    <w:lvl w:ilvl="0">
      <w:lvlJc w:val="left"/>
      <w:lvlText w:val="%1."/>
      <w:numFmt w:val="lowerRoman"/>
      <w:start w:val="1"/>
    </w:lvl>
  </w:abstractNum>
  <w:abstractNum w:abstractNumId="89">
    <w:nsid w:val="7DFF9D09"/>
    <w:multiLevelType w:val="hybridMultilevel"/>
    <w:lvl w:ilvl="0">
      <w:lvlJc w:val="left"/>
      <w:lvlText w:val="%1."/>
      <w:numFmt w:val="lowerLetter"/>
      <w:start w:val="10"/>
    </w:lvl>
  </w:abstractNum>
  <w:abstractNum w:abstractNumId="90">
    <w:nsid w:val="754342"/>
    <w:multiLevelType w:val="hybridMultilevel"/>
    <w:lvl w:ilvl="0">
      <w:lvlJc w:val="left"/>
      <w:lvlText w:val="%1."/>
      <w:numFmt w:val="lowerLetter"/>
      <w:start w:val="13"/>
    </w:lvl>
  </w:abstractNum>
  <w:abstractNum w:abstractNumId="91">
    <w:nsid w:val="69E7F3E5"/>
    <w:multiLevelType w:val="hybridMultilevel"/>
    <w:lvl w:ilvl="0">
      <w:lvlJc w:val="left"/>
      <w:lvlText w:val="%1."/>
      <w:numFmt w:val="lowerLetter"/>
      <w:start w:val="15"/>
    </w:lvl>
  </w:abstractNum>
  <w:abstractNum w:abstractNumId="92">
    <w:nsid w:val="2A6DE806"/>
    <w:multiLevelType w:val="hybridMultilevel"/>
    <w:lvl w:ilvl="0">
      <w:lvlJc w:val="left"/>
      <w:lvlText w:val="%1."/>
      <w:numFmt w:val="lowerLetter"/>
      <w:start w:val="16"/>
    </w:lvl>
  </w:abstractNum>
  <w:abstractNum w:abstractNumId="93">
    <w:nsid w:val="1816F8C4"/>
    <w:multiLevelType w:val="hybridMultilevel"/>
    <w:lvl w:ilvl="0">
      <w:lvlJc w:val="left"/>
      <w:lvlText w:val="$"/>
      <w:numFmt w:val="bullet"/>
      <w:start w:val="1"/>
    </w:lvl>
  </w:abstractNum>
  <w:abstractNum w:abstractNumId="94">
    <w:nsid w:val="37DF2233"/>
    <w:multiLevelType w:val="hybridMultilevel"/>
    <w:lvl w:ilvl="0">
      <w:lvlJc w:val="left"/>
      <w:lvlText w:val="$"/>
      <w:numFmt w:val="bullet"/>
      <w:start w:val="1"/>
    </w:lvl>
  </w:abstractNum>
  <w:abstractNum w:abstractNumId="95">
    <w:nsid w:val="7AB49DAF"/>
    <w:multiLevelType w:val="hybridMultilevel"/>
    <w:lvl w:ilvl="0">
      <w:lvlJc w:val="left"/>
      <w:lvlText w:val="%1."/>
      <w:numFmt w:val="lowerLetter"/>
      <w:start w:val="18"/>
    </w:lvl>
  </w:abstractNum>
  <w:abstractNum w:abstractNumId="96">
    <w:nsid w:val="759F82CD"/>
    <w:multiLevelType w:val="hybridMultilevel"/>
    <w:lvl w:ilvl="0">
      <w:lvlJc w:val="left"/>
      <w:lvlText w:val="%1."/>
      <w:numFmt w:val="decimal"/>
      <w:start w:val="1"/>
    </w:lvl>
  </w:abstractNum>
  <w:abstractNum w:abstractNumId="97">
    <w:nsid w:val="61E74EA3"/>
    <w:multiLevelType w:val="hybridMultilevel"/>
    <w:lvl w:ilvl="0">
      <w:lvlJc w:val="left"/>
      <w:lvlText w:val="%1"/>
      <w:numFmt w:val="lowerLetter"/>
      <w:start w:val="1"/>
    </w:lvl>
    <w:lvl w:ilvl="1">
      <w:lvlJc w:val="left"/>
      <w:lvlText w:val="%2."/>
      <w:numFmt w:val="decimal"/>
      <w:start w:val="2"/>
    </w:lvl>
  </w:abstractNum>
  <w:abstractNum w:abstractNumId="98">
    <w:nsid w:val="597B4D84"/>
    <w:multiLevelType w:val="hybridMultilevel"/>
    <w:lvl w:ilvl="0">
      <w:lvlJc w:val="left"/>
      <w:lvlText w:val="%1."/>
      <w:numFmt w:val="lowerLetter"/>
      <w:start w:val="19"/>
    </w:lvl>
    <w:lvl w:ilvl="1">
      <w:lvlJc w:val="left"/>
      <w:lvlText w:val="%2"/>
      <w:numFmt w:val="decimal"/>
      <w:start w:val="1"/>
    </w:lvl>
  </w:abstractNum>
  <w:abstractNum w:abstractNumId="99">
    <w:nsid w:val="F819E7F"/>
    <w:multiLevelType w:val="hybridMultilevel"/>
    <w:lvl w:ilvl="0">
      <w:lvlJc w:val="left"/>
      <w:lvlText w:val="%1."/>
      <w:numFmt w:val="lowerLetter"/>
      <w:start w:val="20"/>
    </w:lvl>
  </w:abstractNum>
  <w:abstractNum w:abstractNumId="100">
    <w:nsid w:val="57C7D42D"/>
    <w:multiLevelType w:val="hybridMultilevel"/>
    <w:lvl w:ilvl="0">
      <w:lvlJc w:val="left"/>
      <w:lvlText w:val="%1."/>
      <w:numFmt w:val="lowerLetter"/>
      <w:start w:val="23"/>
    </w:lvl>
  </w:abstractNum>
  <w:abstractNum w:abstractNumId="101">
    <w:nsid w:val="312167AD"/>
    <w:multiLevelType w:val="hybridMultilevel"/>
    <w:lvl w:ilvl="0">
      <w:lvlJc w:val="left"/>
      <w:lvlText w:val="%1."/>
      <w:numFmt w:val="lowerLetter"/>
      <w:start w:val="25"/>
    </w:lvl>
  </w:abstractNum>
  <w:abstractNum w:abstractNumId="102">
    <w:nsid w:val="631B64D4"/>
    <w:multiLevelType w:val="hybridMultilevel"/>
    <w:lvl w:ilvl="0">
      <w:lvlJc w:val="left"/>
      <w:lvlText w:val="%1."/>
      <w:numFmt w:val="lowerLetter"/>
      <w:start w:val="26"/>
    </w:lvl>
  </w:abstractNum>
  <w:abstractNum w:abstractNumId="103">
    <w:nsid w:val="78B5E776"/>
    <w:multiLevelType w:val="hybridMultilevel"/>
    <w:lvl w:ilvl="0">
      <w:lvlJc w:val="left"/>
      <w:lvlText w:val="%1."/>
      <w:numFmt w:val="lowerLetter"/>
      <w:start w:val="27"/>
    </w:lvl>
    <w:lvl w:ilvl="1">
      <w:lvlJc w:val="left"/>
      <w:lvlText w:val="%2."/>
      <w:numFmt w:val="decimal"/>
      <w:start w:val="1"/>
    </w:lvl>
  </w:abstractNum>
  <w:abstractNum w:abstractNumId="104">
    <w:nsid w:val="75486E47"/>
    <w:multiLevelType w:val="hybridMultilevel"/>
    <w:lvl w:ilvl="0">
      <w:lvlJc w:val="left"/>
      <w:lvlText w:val="%1."/>
      <w:numFmt w:val="decimal"/>
      <w:start w:val="3"/>
    </w:lvl>
  </w:abstractNum>
  <w:abstractNum w:abstractNumId="105">
    <w:nsid w:val="6E534CDE"/>
    <w:multiLevelType w:val="hybridMultilevel"/>
    <w:lvl w:ilvl="0">
      <w:lvlJc w:val="left"/>
      <w:lvlText w:val="%1."/>
      <w:numFmt w:val="decimal"/>
      <w:start w:val="7"/>
    </w:lvl>
  </w:abstractNum>
  <w:abstractNum w:abstractNumId="106">
    <w:nsid w:val="1A0DDE32"/>
    <w:multiLevelType w:val="hybridMultilevel"/>
    <w:lvl w:ilvl="0">
      <w:lvlJc w:val="left"/>
      <w:lvlText w:val="$"/>
      <w:numFmt w:val="bullet"/>
      <w:start w:val="1"/>
    </w:lvl>
  </w:abstractNum>
  <w:abstractNum w:abstractNumId="107">
    <w:nsid w:val="65968C1C"/>
    <w:multiLevelType w:val="hybridMultilevel"/>
    <w:lvl w:ilvl="0">
      <w:lvlJc w:val="left"/>
      <w:lvlText w:val="$"/>
      <w:numFmt w:val="bullet"/>
      <w:start w:val="1"/>
    </w:lvl>
  </w:abstractNum>
  <w:abstractNum w:abstractNumId="108">
    <w:nsid w:val="46263DEC"/>
    <w:multiLevelType w:val="hybridMultilevel"/>
    <w:lvl w:ilvl="0">
      <w:lvlJc w:val="left"/>
      <w:lvlText w:val="(*)"/>
      <w:numFmt w:val="bullet"/>
      <w:start w:val="1"/>
    </w:lvl>
  </w:abstractNum>
  <w:abstractNum w:abstractNumId="109">
    <w:nsid w:val="260D8C4A"/>
    <w:multiLevelType w:val="hybridMultilevel"/>
    <w:lvl w:ilvl="0">
      <w:lvlJc w:val="left"/>
      <w:lvlText w:val="%1."/>
      <w:numFmt w:val="lowerLetter"/>
      <w:start w:val="1"/>
    </w:lvl>
  </w:abstractNum>
  <w:abstractNum w:abstractNumId="110">
    <w:nsid w:val="73D4D3C4"/>
    <w:multiLevelType w:val="hybridMultilevel"/>
    <w:lvl w:ilvl="0">
      <w:lvlJc w:val="left"/>
      <w:lvlText w:val="%1."/>
      <w:numFmt w:val="lowerLetter"/>
      <w:start w:val="2"/>
    </w:lvl>
  </w:abstractNum>
  <w:abstractNum w:abstractNumId="111">
    <w:nsid w:val="746F2E30"/>
    <w:multiLevelType w:val="hybridMultilevel"/>
    <w:lvl w:ilvl="0">
      <w:lvlJc w:val="left"/>
      <w:lvlText w:val="%1."/>
      <w:numFmt w:val="lowerLetter"/>
      <w:start w:val="1"/>
    </w:lvl>
  </w:abstractNum>
  <w:abstractNum w:abstractNumId="112">
    <w:nsid w:val="6FDE8AF6"/>
    <w:multiLevelType w:val="hybridMultilevel"/>
    <w:lvl w:ilvl="0">
      <w:lvlJc w:val="left"/>
      <w:lvlText w:val="%1."/>
      <w:numFmt w:val="lowerLetter"/>
      <w:start w:val="2"/>
    </w:lvl>
  </w:abstractNum>
  <w:abstractNum w:abstractNumId="113">
    <w:nsid w:val="3FC32E20"/>
    <w:multiLevelType w:val="hybridMultilevel"/>
    <w:lvl w:ilvl="0">
      <w:lvlJc w:val="left"/>
      <w:lvlText w:val="%1."/>
      <w:numFmt w:val="lowerLetter"/>
      <w:start w:val="4"/>
    </w:lvl>
  </w:abstractNum>
  <w:abstractNum w:abstractNumId="114">
    <w:nsid w:val="49C0E823"/>
    <w:multiLevelType w:val="hybridMultilevel"/>
    <w:lvl w:ilvl="0">
      <w:lvlJc w:val="left"/>
      <w:lvlText w:val="%1."/>
      <w:numFmt w:val="lowerLetter"/>
      <w:start w:val="5"/>
    </w:lvl>
  </w:abstractNum>
  <w:abstractNum w:abstractNumId="115">
    <w:nsid w:val="14D53685"/>
    <w:multiLevelType w:val="hybridMultilevel"/>
    <w:lvl w:ilvl="0">
      <w:lvlJc w:val="left"/>
      <w:lvlText w:val="%1."/>
      <w:numFmt w:val="lowerLetter"/>
      <w:start w:val="1"/>
    </w:lvl>
    <w:lvl w:ilvl="1">
      <w:lvlJc w:val="left"/>
      <w:lvlText w:val="%2."/>
      <w:numFmt w:val="decimal"/>
      <w:start w:val="1"/>
    </w:lvl>
  </w:abstractNum>
  <w:abstractNum w:abstractNumId="116">
    <w:nsid w:val="230F856C"/>
    <w:multiLevelType w:val="hybridMultilevel"/>
    <w:lvl w:ilvl="0">
      <w:lvlJc w:val="left"/>
      <w:lvlText w:val="%1."/>
      <w:numFmt w:val="lowerLetter"/>
      <w:start w:val="2"/>
    </w:lvl>
  </w:abstractNum>
  <w:abstractNum w:abstractNumId="117">
    <w:nsid w:val="6EAA85FB"/>
    <w:multiLevelType w:val="hybridMultilevel"/>
    <w:lvl w:ilvl="0">
      <w:lvlJc w:val="left"/>
      <w:lvlText w:val="%1."/>
      <w:numFmt w:val="lowerLetter"/>
      <w:start w:val="3"/>
    </w:lvl>
  </w:abstractNum>
  <w:abstractNum w:abstractNumId="118">
    <w:nsid w:val="3F06ECB2"/>
    <w:multiLevelType w:val="hybridMultilevel"/>
    <w:lvl w:ilvl="0">
      <w:lvlJc w:val="left"/>
      <w:lvlText w:val="%1."/>
      <w:numFmt w:val="lowerLetter"/>
      <w:start w:val="4"/>
    </w:lvl>
  </w:abstractNum>
  <w:abstractNum w:abstractNumId="119">
    <w:nsid w:val="3B594807"/>
    <w:multiLevelType w:val="hybridMultilevel"/>
    <w:lvl w:ilvl="0">
      <w:lvlJc w:val="left"/>
      <w:lvlText w:val="%1."/>
      <w:numFmt w:val="lowerLetter"/>
      <w:start w:val="5"/>
    </w:lvl>
  </w:abstractNum>
  <w:abstractNum w:abstractNumId="120">
    <w:nsid w:val="6CAA2304"/>
    <w:multiLevelType w:val="hybridMultilevel"/>
    <w:lvl w:ilvl="0">
      <w:lvlJc w:val="left"/>
      <w:lvlText w:val="%1."/>
      <w:numFmt w:val="lowerLetter"/>
      <w:start w:val="6"/>
    </w:lvl>
  </w:abstractNum>
  <w:abstractNum w:abstractNumId="121">
    <w:nsid w:val="3F7C2FF4"/>
    <w:multiLevelType w:val="hybridMultilevel"/>
    <w:lvl w:ilvl="0">
      <w:lvlJc w:val="left"/>
      <w:lvlText w:val="%1."/>
      <w:numFmt w:val="lowerLetter"/>
      <w:start w:val="1"/>
    </w:lvl>
  </w:abstractNum>
  <w:abstractNum w:abstractNumId="122">
    <w:nsid w:val="25413BEC"/>
    <w:multiLevelType w:val="hybridMultilevel"/>
    <w:lvl w:ilvl="0">
      <w:lvlJc w:val="left"/>
      <w:lvlText w:val="%1."/>
      <w:numFmt w:val="lowerLetter"/>
      <w:start w:val="3"/>
    </w:lvl>
  </w:abstractNum>
  <w:abstractNum w:abstractNumId="123">
    <w:nsid w:val="17180B0B"/>
    <w:multiLevelType w:val="hybridMultilevel"/>
    <w:lvl w:ilvl="0">
      <w:lvlJc w:val="left"/>
      <w:lvlText w:val="%1."/>
      <w:numFmt w:val="lowerLetter"/>
      <w:start w:val="7"/>
    </w:lvl>
  </w:abstractNum>
  <w:abstractNum w:abstractNumId="124">
    <w:nsid w:val="579328B9"/>
    <w:multiLevelType w:val="hybridMultilevel"/>
    <w:lvl w:ilvl="0">
      <w:lvlJc w:val="left"/>
      <w:lvlText w:val="%1."/>
      <w:numFmt w:val="lowerLetter"/>
      <w:start w:val="8"/>
    </w:lvl>
  </w:abstractNum>
  <w:abstractNum w:abstractNumId="125">
    <w:nsid w:val="5D205E20"/>
    <w:multiLevelType w:val="hybridMultilevel"/>
    <w:lvl w:ilvl="0">
      <w:lvlJc w:val="left"/>
      <w:lvlText w:val="%1."/>
      <w:numFmt w:val="lowerRoman"/>
      <w:start w:val="1"/>
    </w:lvl>
  </w:abstractNum>
  <w:abstractNum w:abstractNumId="126">
    <w:nsid w:val="11CCA8BA"/>
    <w:multiLevelType w:val="hybridMultilevel"/>
    <w:lvl w:ilvl="0">
      <w:lvlJc w:val="left"/>
      <w:lvlText w:val="%1."/>
      <w:numFmt w:val="lowerLetter"/>
      <w:start w:val="10"/>
    </w:lvl>
  </w:abstractNum>
  <w:abstractNum w:abstractNumId="127">
    <w:nsid w:val="4D32AB86"/>
    <w:multiLevelType w:val="hybridMultilevel"/>
    <w:lvl w:ilvl="0">
      <w:lvlJc w:val="left"/>
      <w:lvlText w:val="%1."/>
      <w:numFmt w:val="lowerLetter"/>
      <w:start w:val="11"/>
    </w:lvl>
  </w:abstractNum>
  <w:abstractNum w:abstractNumId="128">
    <w:nsid w:val="3F07ACC3"/>
    <w:multiLevelType w:val="hybridMultilevel"/>
    <w:lvl w:ilvl="0">
      <w:lvlJc w:val="left"/>
      <w:lvlText w:val="(**)"/>
      <w:numFmt w:val="bullet"/>
      <w:start w:val="1"/>
    </w:lvl>
  </w:abstractNum>
  <w:abstractNum w:abstractNumId="129">
    <w:nsid w:val="6B47F63E"/>
    <w:multiLevelType w:val="hybridMultilevel"/>
    <w:lvl w:ilvl="0">
      <w:lvlJc w:val="left"/>
      <w:lvlText w:val="%1."/>
      <w:numFmt w:val="decimal"/>
      <w:start w:val="1"/>
    </w:lvl>
  </w:abstractNum>
  <w:abstractNum w:abstractNumId="130">
    <w:nsid w:val="5CB44A05"/>
    <w:multiLevelType w:val="hybridMultilevel"/>
    <w:lvl w:ilvl="0">
      <w:lvlJc w:val="left"/>
      <w:lvlText w:val="●"/>
      <w:numFmt w:val="bullet"/>
      <w:start w:val="1"/>
    </w:lvl>
    <w:lvl w:ilvl="1">
      <w:lvlJc w:val="left"/>
      <w:lvlText w:val="○"/>
      <w:numFmt w:val="bullet"/>
      <w:start w:val="1"/>
    </w:lvl>
  </w:abstractNum>
  <w:abstractNum w:abstractNumId="131">
    <w:nsid w:val="16CF80F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2">
    <w:nsid w:val="1C695DEC"/>
    <w:multiLevelType w:val="hybridMultilevel"/>
    <w:lvl w:ilvl="0">
      <w:lvlJc w:val="left"/>
      <w:lvlText w:val="●"/>
      <w:numFmt w:val="bullet"/>
      <w:start w:val="1"/>
    </w:lvl>
    <w:lvl w:ilvl="1">
      <w:lvlJc w:val="left"/>
      <w:lvlText w:val="○"/>
      <w:numFmt w:val="bullet"/>
      <w:start w:val="1"/>
    </w:lvl>
  </w:abstractNum>
  <w:abstractNum w:abstractNumId="133">
    <w:nsid w:val="3FCFAED9"/>
    <w:multiLevelType w:val="hybridMultilevel"/>
    <w:lvl w:ilvl="0">
      <w:lvlJc w:val="left"/>
      <w:lvlText w:val="●"/>
      <w:numFmt w:val="bullet"/>
      <w:start w:val="1"/>
    </w:lvl>
    <w:lvl w:ilvl="1">
      <w:lvlJc w:val="left"/>
      <w:lvlText w:val="○"/>
      <w:numFmt w:val="bullet"/>
      <w:start w:val="1"/>
    </w:lvl>
  </w:abstractNum>
  <w:abstractNum w:abstractNumId="134">
    <w:nsid w:val="F856867"/>
    <w:multiLevelType w:val="hybridMultilevel"/>
    <w:lvl w:ilvl="0">
      <w:lvlJc w:val="left"/>
      <w:lvlText w:val="●"/>
      <w:numFmt w:val="bullet"/>
      <w:start w:val="1"/>
    </w:lvl>
    <w:lvl w:ilvl="1">
      <w:lvlJc w:val="left"/>
      <w:lvlText w:val="○"/>
      <w:numFmt w:val="bullet"/>
      <w:start w:val="1"/>
    </w:lvl>
  </w:abstractNum>
  <w:abstractNum w:abstractNumId="135">
    <w:nsid w:val="11B1CC33"/>
    <w:multiLevelType w:val="hybridMultilevel"/>
    <w:lvl w:ilvl="0">
      <w:lvlJc w:val="left"/>
      <w:lvlText w:val="(%1)"/>
      <w:numFmt w:val="lowerLetter"/>
      <w:start w:val="1"/>
    </w:lvl>
  </w:abstractNum>
  <w:abstractNum w:abstractNumId="136">
    <w:nsid w:val="2E22FBB7"/>
    <w:multiLevelType w:val="hybridMultilevel"/>
    <w:lvl w:ilvl="0">
      <w:lvlJc w:val="left"/>
      <w:lvlText w:val="(%1)"/>
      <w:numFmt w:val="lowerRoman"/>
      <w:start w:val="2"/>
    </w:lvl>
  </w:abstractNum>
  <w:abstractNum w:abstractNumId="137">
    <w:nsid w:val="29934699"/>
    <w:multiLevelType w:val="hybridMultilevel"/>
    <w:lvl w:ilvl="0">
      <w:lvlJc w:val="left"/>
      <w:lvlText w:val="(%1)"/>
      <w:numFmt w:val="lowerRoman"/>
      <w:start w:val="4"/>
    </w:lvl>
  </w:abstractNum>
  <w:abstractNum w:abstractNumId="138">
    <w:nsid w:val="77485850"/>
    <w:multiLevelType w:val="hybridMultilevel"/>
    <w:lvl w:ilvl="0">
      <w:lvlJc w:val="left"/>
      <w:lvlText w:val="(%1)"/>
      <w:numFmt w:val="lowerRoman"/>
      <w:start w:val="1"/>
    </w:lvl>
  </w:abstractNum>
  <w:abstractNum w:abstractNumId="139">
    <w:nsid w:val="744939A3"/>
    <w:multiLevelType w:val="hybridMultilevel"/>
    <w:lvl w:ilvl="0">
      <w:lvlJc w:val="left"/>
      <w:lvlText w:val="%1"/>
      <w:numFmt w:val="decimal"/>
      <w:start w:val="1"/>
    </w:lvl>
    <w:lvl w:ilvl="1">
      <w:lvlJc w:val="left"/>
      <w:lvlText w:val="(%2)"/>
      <w:numFmt w:val="lowerLetter"/>
      <w:start w:val="1"/>
    </w:lvl>
  </w:abstractNum>
  <w:abstractNum w:abstractNumId="140">
    <w:nsid w:val="4FA0D2E3"/>
    <w:multiLevelType w:val="hybridMultilevel"/>
    <w:lvl w:ilvl="0">
      <w:lvlJc w:val="left"/>
      <w:lvlText w:val="(%1)"/>
      <w:numFmt w:val="decimal"/>
      <w:start w:val="3"/>
    </w:lvl>
    <w:lvl w:ilvl="1">
      <w:lvlJc w:val="left"/>
      <w:lvlText w:val="%2"/>
      <w:numFmt w:val="lowerLetter"/>
      <w:start w:val="1"/>
    </w:lvl>
  </w:abstractNum>
  <w:abstractNum w:abstractNumId="141">
    <w:nsid w:val="6B1D2C14"/>
    <w:multiLevelType w:val="hybridMultilevel"/>
    <w:lvl w:ilvl="0">
      <w:lvlJc w:val="left"/>
      <w:lvlText w:val="(%1)"/>
      <w:numFmt w:val="decimal"/>
      <w:start w:val="3"/>
    </w:lvl>
    <w:lvl w:ilvl="1">
      <w:lvlJc w:val="left"/>
      <w:lvlText w:val="(%2)"/>
      <w:numFmt w:val="lowerLetter"/>
      <w:start w:val="2"/>
    </w:lvl>
  </w:abstractNum>
  <w:abstractNum w:abstractNumId="142">
    <w:nsid w:val="68B867D3"/>
    <w:multiLevelType w:val="hybridMultilevel"/>
    <w:lvl w:ilvl="0">
      <w:lvlJc w:val="left"/>
      <w:lvlText w:val="(%1)"/>
      <w:numFmt w:val="lowerLetter"/>
      <w:start w:val="3"/>
    </w:lvl>
  </w:abstractNum>
  <w:abstractNum w:abstractNumId="143">
    <w:nsid w:val="3F7F5DD9"/>
    <w:multiLevelType w:val="hybridMultilevel"/>
    <w:lvl w:ilvl="0">
      <w:lvlJc w:val="left"/>
      <w:lvlText w:val="(%1)"/>
      <w:numFmt w:val="lowerLetter"/>
      <w:start w:val="2"/>
    </w:lvl>
  </w:abstractNum>
  <w:abstractNum w:abstractNumId="144">
    <w:nsid w:val="2AE05A34"/>
    <w:multiLevelType w:val="hybridMultilevel"/>
    <w:lvl w:ilvl="0">
      <w:lvlJc w:val="left"/>
      <w:lvlText w:val="(%1)"/>
      <w:numFmt w:val="lowerLetter"/>
      <w:start w:val="2"/>
    </w:lvl>
  </w:abstractNum>
  <w:abstractNum w:abstractNumId="145">
    <w:nsid w:val="32794FF7"/>
    <w:multiLevelType w:val="hybridMultilevel"/>
    <w:lvl w:ilvl="0">
      <w:lvlJc w:val="left"/>
      <w:lvlText w:val="(%1)"/>
      <w:numFmt w:val="lowerRoman"/>
      <w:start w:val="10"/>
    </w:lvl>
  </w:abstractNum>
  <w:abstractNum w:abstractNumId="146">
    <w:nsid w:val="5454945E"/>
    <w:multiLevelType w:val="hybridMultilevel"/>
    <w:lvl w:ilvl="0">
      <w:lvlJc w:val="left"/>
      <w:lvlText w:val="(%1)"/>
      <w:numFmt w:val="lowerLetter"/>
      <w:start w:val="22"/>
    </w:lvl>
    <w:lvl w:ilvl="1">
      <w:lvlJc w:val="left"/>
      <w:lvlText w:val="(%2)"/>
      <w:numFmt w:val="lowerLetter"/>
      <w:start w:val="2"/>
    </w:lvl>
  </w:abstractNum>
  <w:abstractNum w:abstractNumId="147">
    <w:nsid w:val="4DEFDFA0"/>
    <w:multiLevelType w:val="hybridMultilevel"/>
    <w:lvl w:ilvl="0">
      <w:lvlJc w:val="left"/>
      <w:lvlText w:val="(%1)"/>
      <w:numFmt w:val="lowerLetter"/>
      <w:start w:val="3"/>
    </w:lvl>
    <w:lvl w:ilvl="1">
      <w:lvlJc w:val="left"/>
      <w:lvlText w:val="(%2)"/>
      <w:numFmt w:val="upperLetter"/>
      <w:start w:val="1"/>
    </w:lvl>
  </w:abstractNum>
  <w:abstractNum w:abstractNumId="148">
    <w:nsid w:val="2123D5F2"/>
    <w:multiLevelType w:val="hybridMultilevel"/>
    <w:lvl w:ilvl="0">
      <w:lvlJc w:val="left"/>
      <w:lvlText w:val="(%1)"/>
      <w:numFmt w:val="lowerLetter"/>
      <w:start w:val="2"/>
    </w:lvl>
  </w:abstractNum>
  <w:abstractNum w:abstractNumId="149">
    <w:nsid w:val="135B8110"/>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150">
    <w:nsid w:val="94927A8"/>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abstractNum>
  <w:abstractNum w:abstractNumId="151">
    <w:nsid w:val="DCDF8F6"/>
    <w:multiLevelType w:val="hybridMultilevel"/>
    <w:lvl w:ilvl="0">
      <w:lvlJc w:val="left"/>
      <w:lvlText w:val="(%1)"/>
      <w:numFmt w:val="lowerLetter"/>
      <w:start w:val="25"/>
    </w:lvl>
    <w:lvl w:ilvl="1">
      <w:lvlJc w:val="left"/>
      <w:lvlText w:val="%2"/>
      <w:numFmt w:val="upperLetter"/>
      <w:start w:val="1"/>
    </w:lvl>
    <w:lvl w:ilvl="2">
      <w:lvlJc w:val="left"/>
      <w:lvlText w:val="%3"/>
      <w:numFmt w:val="lowerLetter"/>
      <w:start w:val="1"/>
    </w:lvl>
  </w:abstractNum>
  <w:abstractNum w:abstractNumId="152">
    <w:nsid w:val="52D7B105"/>
    <w:multiLevelType w:val="hybridMultilevel"/>
    <w:lvl w:ilvl="0">
      <w:lvlJc w:val="left"/>
      <w:lvlText w:val="(%1)"/>
      <w:numFmt w:val="lowerLetter"/>
      <w:start w:val="3"/>
    </w:lvl>
    <w:lvl w:ilvl="1">
      <w:lvlJc w:val="left"/>
      <w:lvlText w:val="(%2)"/>
      <w:numFmt w:val="lowerLetter"/>
      <w:start w:val="1"/>
    </w:lvl>
  </w:abstractNum>
  <w:abstractNum w:abstractNumId="153">
    <w:nsid w:val="2E8A6394"/>
    <w:multiLevelType w:val="hybridMultilevel"/>
    <w:lvl w:ilvl="0">
      <w:lvlJc w:val="left"/>
      <w:lvlText w:val="(%1)"/>
      <w:numFmt w:val="lowerLetter"/>
      <w:start w:val="1"/>
    </w:lvl>
    <w:lvl w:ilvl="1">
      <w:lvlJc w:val="left"/>
      <w:lvlText w:val="(%2)"/>
      <w:numFmt w:val="lowerRoman"/>
      <w:start w:val="1"/>
    </w:lvl>
  </w:abstractNum>
  <w:abstractNum w:abstractNumId="154">
    <w:nsid w:val="24E60401"/>
    <w:multiLevelType w:val="hybridMultilevel"/>
    <w:lvl w:ilvl="0">
      <w:lvlJc w:val="left"/>
      <w:lvlText w:val="(%1)"/>
      <w:numFmt w:val="lowerRoman"/>
      <w:start w:val="3"/>
    </w:lvl>
  </w:abstractNum>
  <w:abstractNum w:abstractNumId="155">
    <w:nsid w:val="2A6AD9BE"/>
    <w:multiLevelType w:val="hybridMultilevel"/>
    <w:lvl w:ilvl="0">
      <w:lvlJc w:val="left"/>
      <w:lvlText w:val="%1"/>
      <w:numFmt w:val="lowerLetter"/>
      <w:start w:val="1"/>
    </w:lvl>
    <w:lvl w:ilvl="1">
      <w:lvlJc w:val="left"/>
      <w:lvlText w:val="(%2)"/>
      <w:numFmt w:val="lowerRoman"/>
      <w:start w:val="4"/>
    </w:lvl>
  </w:abstractNum>
  <w:abstractNum w:abstractNumId="156">
    <w:nsid w:val="BAAC1B4"/>
    <w:multiLevelType w:val="hybridMultilevel"/>
    <w:lvl w:ilvl="0">
      <w:lvlJc w:val="left"/>
      <w:lvlText w:val="(%1)"/>
      <w:numFmt w:val="lowerLetter"/>
      <w:start w:val="2"/>
    </w:lvl>
    <w:lvl w:ilvl="1">
      <w:lvlJc w:val="left"/>
      <w:lvlText w:val="(%2)"/>
      <w:numFmt w:val="lowerRoman"/>
      <w:start w:val="1"/>
    </w:lvl>
  </w:abstractNum>
  <w:abstractNum w:abstractNumId="157">
    <w:nsid w:val="36B2ACBC"/>
    <w:multiLevelType w:val="hybridMultilevel"/>
    <w:lvl w:ilvl="0">
      <w:lvlJc w:val="left"/>
      <w:lvlText w:val="(%1)"/>
      <w:numFmt w:val="lowerLetter"/>
      <w:start w:val="1"/>
    </w:lvl>
  </w:abstractNum>
  <w:abstractNum w:abstractNumId="158">
    <w:nsid w:val="779D8544"/>
    <w:multiLevelType w:val="hybridMultilevel"/>
    <w:lvl w:ilvl="0">
      <w:lvlJc w:val="left"/>
      <w:lvlText w:val="(%1)"/>
      <w:numFmt w:val="lowerLetter"/>
      <w:start w:val="3"/>
    </w:lvl>
  </w:abstractNum>
  <w:abstractNum w:abstractNumId="159">
    <w:nsid w:val="4AB26E78"/>
    <w:multiLevelType w:val="hybridMultilevel"/>
    <w:lvl w:ilvl="0">
      <w:lvlJc w:val="left"/>
      <w:lvlText w:val="(%1)"/>
      <w:numFmt w:val="lowerLetter"/>
      <w:start w:val="5"/>
    </w:lvl>
  </w:abstractNum>
  <w:abstractNum w:abstractNumId="160">
    <w:nsid w:val="21FAA2FA"/>
    <w:multiLevelType w:val="hybridMultilevel"/>
    <w:lvl w:ilvl="0">
      <w:lvlJc w:val="left"/>
      <w:lvlText w:val="(%1)"/>
      <w:numFmt w:val="lowerLetter"/>
      <w:start w:val="10"/>
    </w:lvl>
  </w:abstractNum>
  <w:abstractNum w:abstractNumId="161">
    <w:nsid w:val="5451CF49"/>
    <w:multiLevelType w:val="hybridMultilevel"/>
    <w:lvl w:ilvl="0">
      <w:lvlJc w:val="left"/>
      <w:lvlText w:val="(%1)"/>
      <w:numFmt w:val="upperLetter"/>
      <w:start w:val="1"/>
    </w:lvl>
  </w:abstractNum>
  <w:abstractNum w:abstractNumId="162">
    <w:nsid w:val="6181EF69"/>
    <w:multiLevelType w:val="hybridMultilevel"/>
    <w:lvl w:ilvl="0">
      <w:lvlJc w:val="left"/>
      <w:lvlText w:val="(%1)"/>
      <w:numFmt w:val="upperLetter"/>
      <w:start w:val="3"/>
    </w:lvl>
  </w:abstractNum>
  <w:abstractNum w:abstractNumId="163">
    <w:nsid w:val="3E6400E6"/>
    <w:multiLevelType w:val="hybridMultilevel"/>
    <w:lvl w:ilvl="0">
      <w:lvlJc w:val="left"/>
      <w:lvlText w:val="(%1)"/>
      <w:numFmt w:val="decimal"/>
      <w:start w:val="12"/>
    </w:lvl>
  </w:abstractNum>
  <w:abstractNum w:abstractNumId="164">
    <w:nsid w:val="14217E23"/>
    <w:multiLevelType w:val="hybridMultilevel"/>
    <w:lvl w:ilvl="0">
      <w:lvlJc w:val="left"/>
      <w:lvlText w:val="(%1)"/>
      <w:numFmt w:val="upperLetter"/>
      <w:start w:val="2"/>
    </w:lvl>
    <w:lvl w:ilvl="1">
      <w:lvlJc w:val="left"/>
      <w:lvlText w:val="(%2)"/>
      <w:numFmt w:val="decimal"/>
      <w:start w:val="1"/>
    </w:lvl>
  </w:abstractNum>
  <w:abstractNum w:abstractNumId="165">
    <w:nsid w:val="710757D0"/>
    <w:multiLevelType w:val="hybridMultilevel"/>
    <w:lvl w:ilvl="0">
      <w:lvlJc w:val="left"/>
      <w:lvlText w:val="(%1)"/>
      <w:numFmt w:val="upperLetter"/>
      <w:start w:val="5"/>
    </w:lvl>
  </w:abstractNum>
  <w:abstractNum w:abstractNumId="166">
    <w:nsid w:val="5015CD1A"/>
    <w:multiLevelType w:val="hybridMultilevel"/>
    <w:lvl w:ilvl="0">
      <w:lvlJc w:val="left"/>
      <w:lvlText w:val="(%1)"/>
      <w:numFmt w:val="upperLetter"/>
      <w:start w:val="6"/>
    </w:lvl>
  </w:abstractNum>
  <w:abstractNum w:abstractNumId="167">
    <w:nsid w:val="424479DA"/>
    <w:multiLevelType w:val="hybridMultilevel"/>
    <w:lvl w:ilvl="0">
      <w:lvlJc w:val="left"/>
      <w:lvlText w:val="(%1)"/>
      <w:numFmt w:val="upperLetter"/>
      <w:start w:val="9"/>
    </w:lvl>
  </w:abstractNum>
  <w:abstractNum w:abstractNumId="168">
    <w:nsid w:val="1A9A9E69"/>
    <w:multiLevelType w:val="hybridMultilevel"/>
    <w:lvl w:ilvl="0">
      <w:lvlJc w:val="left"/>
      <w:lvlText w:val="(%1)"/>
      <w:numFmt w:val="lowerLetter"/>
      <w:start w:val="2"/>
    </w:lvl>
  </w:abstractNum>
  <w:abstractNum w:abstractNumId="169">
    <w:nsid w:val="475E256A"/>
    <w:multiLevelType w:val="hybridMultilevel"/>
    <w:lvl w:ilvl="0">
      <w:lvlJc w:val="left"/>
      <w:lvlText w:val="(%1)"/>
      <w:numFmt w:val="lowerLetter"/>
      <w:start w:val="2"/>
    </w:lvl>
  </w:abstractNum>
  <w:abstractNum w:abstractNumId="170">
    <w:nsid w:val="368DB37E"/>
    <w:multiLevelType w:val="hybridMultilevel"/>
    <w:lvl w:ilvl="0">
      <w:lvlJc w:val="left"/>
      <w:lvlText w:val="(%1)"/>
      <w:numFmt w:val="lowerLetter"/>
      <w:start w:val="2"/>
    </w:lvl>
  </w:abstractNum>
  <w:abstractNum w:abstractNumId="171">
    <w:nsid w:val="6A3B714C"/>
    <w:multiLevelType w:val="hybridMultilevel"/>
    <w:lvl w:ilvl="0">
      <w:lvlJc w:val="left"/>
      <w:lvlText w:val="(%1)"/>
      <w:numFmt w:val="lowerLetter"/>
      <w:start w:val="2"/>
    </w:lvl>
  </w:abstractNum>
  <w:abstractNum w:abstractNumId="172">
    <w:nsid w:val="327B517E"/>
    <w:multiLevelType w:val="hybridMultilevel"/>
    <w:lvl w:ilvl="0">
      <w:lvlJc w:val="left"/>
      <w:lvlText w:val="(%1)"/>
      <w:numFmt w:val="lowerLetter"/>
      <w:start w:val="1"/>
    </w:lvl>
  </w:abstractNum>
  <w:abstractNum w:abstractNumId="173">
    <w:nsid w:val="1F461B51"/>
    <w:multiLevelType w:val="hybridMultilevel"/>
    <w:lvl w:ilvl="0">
      <w:lvlJc w:val="left"/>
      <w:lvlText w:val="(%1)"/>
      <w:numFmt w:val="lowerLetter"/>
      <w:start w:val="6"/>
    </w:lvl>
  </w:abstractNum>
  <w:abstractNum w:abstractNumId="174">
    <w:nsid w:val="29BACF25"/>
    <w:multiLevelType w:val="hybridMultilevel"/>
    <w:lvl w:ilvl="0">
      <w:lvlJc w:val="left"/>
      <w:lvlText w:val="●"/>
      <w:numFmt w:val="bullet"/>
      <w:start w:val="1"/>
    </w:lvl>
  </w:abstractNum>
  <w:abstractNum w:abstractNumId="175">
    <w:nsid w:val="5D5BABB3"/>
    <w:multiLevelType w:val="hybridMultilevel"/>
    <w:lvl w:ilvl="0">
      <w:lvlJc w:val="left"/>
      <w:lvlText w:val="%1."/>
      <w:numFmt w:val="decimal"/>
      <w:start w:val="1"/>
    </w:lvl>
    <w:lvl w:ilvl="1">
      <w:lvlJc w:val="left"/>
      <w:lvlText w:val="(%2)"/>
      <w:numFmt w:val="lowerLetter"/>
      <w:start w:val="2"/>
    </w:lvl>
  </w:abstractNum>
  <w:abstractNum w:abstractNumId="176">
    <w:nsid w:val="51BF6B48"/>
    <w:multiLevelType w:val="hybridMultilevel"/>
    <w:lvl w:ilvl="0">
      <w:lvlJc w:val="left"/>
      <w:lvlText w:val="%1."/>
      <w:numFmt w:val="decimal"/>
      <w:start w:val="3"/>
    </w:lvl>
  </w:abstractNum>
  <w:abstractNum w:abstractNumId="177">
    <w:nsid w:val="7E0F6384"/>
    <w:multiLevelType w:val="hybridMultilevel"/>
    <w:lvl w:ilvl="0">
      <w:lvlJc w:val="left"/>
      <w:lvlText w:val="(%1)"/>
      <w:numFmt w:val="lowerLetter"/>
      <w:start w:val="2"/>
    </w:lvl>
  </w:abstractNum>
  <w:abstractNum w:abstractNumId="178">
    <w:nsid w:val="2B4B8B53"/>
    <w:multiLevelType w:val="hybridMultilevel"/>
    <w:lvl w:ilvl="0">
      <w:lvlJc w:val="left"/>
      <w:lvlText w:val="%1."/>
      <w:numFmt w:val="decimal"/>
      <w:start w:val="9"/>
    </w:lvl>
  </w:abstractNum>
  <w:abstractNum w:abstractNumId="179">
    <w:nsid w:val="72E3413A"/>
    <w:multiLevelType w:val="hybridMultilevel"/>
    <w:lvl w:ilvl="0">
      <w:lvlJc w:val="left"/>
      <w:lvlText w:val="%1."/>
      <w:numFmt w:val="decimal"/>
      <w:start w:val="1"/>
    </w:lvl>
  </w:abstractNum>
  <w:abstractNum w:abstractNumId="180">
    <w:nsid w:val="116AE494"/>
    <w:multiLevelType w:val="hybridMultilevel"/>
    <w:lvl w:ilvl="0">
      <w:lvlJc w:val="left"/>
      <w:lvlText w:val="(%1)"/>
      <w:numFmt w:val="lowerLetter"/>
      <w:start w:val="1"/>
    </w:lvl>
  </w:abstractNum>
  <w:abstractNum w:abstractNumId="181">
    <w:nsid w:val="3494B2FB"/>
    <w:multiLevelType w:val="hybridMultilevel"/>
    <w:lvl w:ilvl="0">
      <w:lvlJc w:val="left"/>
      <w:lvlText w:val="(%1)"/>
      <w:numFmt w:val="lowerLetter"/>
      <w:start w:val="1"/>
    </w:lvl>
  </w:abstractNum>
  <w:abstractNum w:abstractNumId="182">
    <w:nsid w:val="B13A31"/>
    <w:multiLevelType w:val="hybridMultilevel"/>
    <w:lvl w:ilvl="0">
      <w:lvlJc w:val="left"/>
      <w:lvlText w:val="%1."/>
      <w:numFmt w:val="decimal"/>
      <w:start w:val="5"/>
    </w:lvl>
  </w:abstractNum>
  <w:abstractNum w:abstractNumId="183">
    <w:nsid w:val="64429599"/>
    <w:multiLevelType w:val="hybridMultilevel"/>
    <w:lvl w:ilvl="0">
      <w:lvlJc w:val="left"/>
      <w:lvlText w:val="(%1)"/>
      <w:numFmt w:val="lowerLetter"/>
      <w:start w:val="1"/>
    </w:lvl>
  </w:abstractNum>
  <w:abstractNum w:abstractNumId="184">
    <w:nsid w:val="631F1690"/>
    <w:multiLevelType w:val="hybridMultilevel"/>
    <w:lvl w:ilvl="0">
      <w:lvlJc w:val="left"/>
      <w:lvlText w:val="(%1)"/>
      <w:numFmt w:val="lowerLetter"/>
      <w:start w:val="1"/>
    </w:lvl>
  </w:abstractNum>
  <w:abstractNum w:abstractNumId="185">
    <w:nsid w:val="25973E3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86">
    <w:nsid w:val="EAD6F57"/>
    <w:multiLevelType w:val="hybridMultilevel"/>
    <w:lvl w:ilvl="0">
      <w:lvlJc w:val="left"/>
      <w:lvlText w:val="(%1)"/>
      <w:numFmt w:val="lowerLetter"/>
      <w:start w:val="1"/>
    </w:lvl>
    <w:lvl w:ilvl="1">
      <w:lvlJc w:val="left"/>
      <w:lvlText w:val="(%2)"/>
      <w:numFmt w:val="lowerLetter"/>
    </w:lvl>
    <w:lvl w:ilvl="2">
      <w:lvlJc w:val="left"/>
      <w:lvlText w:val="%3."/>
      <w:numFmt w:val="decimal"/>
      <w:start w:val="5"/>
    </w:lvl>
  </w:abstractNum>
  <w:abstractNum w:abstractNumId="187">
    <w:nsid w:val="6EC9D844"/>
    <w:multiLevelType w:val="hybridMultilevel"/>
    <w:lvl w:ilvl="0">
      <w:lvlJc w:val="left"/>
      <w:lvlText w:val="%1"/>
      <w:numFmt w:val="lowerLetter"/>
      <w:start w:val="1"/>
    </w:lvl>
    <w:lvl w:ilvl="1">
      <w:lvlJc w:val="left"/>
      <w:lvlText w:val="%2."/>
      <w:numFmt w:val="decimal"/>
      <w:start w:val="1"/>
    </w:lvl>
  </w:abstractNum>
  <w:abstractNum w:abstractNumId="188">
    <w:nsid w:val="5C49EAEE"/>
    <w:multiLevelType w:val="hybridMultilevel"/>
    <w:lvl w:ilvl="0">
      <w:lvlJc w:val="left"/>
      <w:lvlText w:val="(%1)"/>
      <w:numFmt w:val="lowerLetter"/>
      <w:start w:val="5"/>
    </w:lvl>
    <w:lvl w:ilvl="1">
      <w:lvlJc w:val="left"/>
      <w:lvlText w:val="%2."/>
      <w:numFmt w:val="decimal"/>
      <w:start w:val="5"/>
    </w:lvl>
  </w:abstractNum>
  <w:abstractNum w:abstractNumId="189">
    <w:nsid w:val="64AF49B"/>
    <w:multiLevelType w:val="hybridMultilevel"/>
    <w:lvl w:ilvl="0">
      <w:lvlJc w:val="left"/>
      <w:lvlText w:val="(%1)"/>
      <w:numFmt w:val="lowerLetter"/>
      <w:start w:val="1"/>
    </w:lvl>
  </w:abstractNum>
  <w:abstractNum w:abstractNumId="190">
    <w:nsid w:val="397C46B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5" Type="http://schemas.openxmlformats.org/officeDocument/2006/relationships/image" Target="media/image126.png"/><Relationship Id="rId137" Type="http://schemas.openxmlformats.org/officeDocument/2006/relationships/image" Target="media/image127.png"/><Relationship Id="rId140" Type="http://schemas.openxmlformats.org/officeDocument/2006/relationships/image" Target="media/image128.png"/><Relationship Id="rId143" Type="http://schemas.openxmlformats.org/officeDocument/2006/relationships/image" Target="media/image129.png"/><Relationship Id="rId145"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jpe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09" Type="http://schemas.openxmlformats.org/officeDocument/2006/relationships/image" Target="media/image288.png"/><Relationship Id="rId310" Type="http://schemas.openxmlformats.org/officeDocument/2006/relationships/image" Target="media/image289.png"/><Relationship Id="rId311" Type="http://schemas.openxmlformats.org/officeDocument/2006/relationships/image" Target="media/image290.png"/><Relationship Id="rId312" Type="http://schemas.openxmlformats.org/officeDocument/2006/relationships/image" Target="media/image291.png"/><Relationship Id="rId313" Type="http://schemas.openxmlformats.org/officeDocument/2006/relationships/image" Target="media/image292.png"/><Relationship Id="rId314" Type="http://schemas.openxmlformats.org/officeDocument/2006/relationships/image" Target="media/image293.png"/><Relationship Id="rId315" Type="http://schemas.openxmlformats.org/officeDocument/2006/relationships/image" Target="media/image294.png"/><Relationship Id="rId316" Type="http://schemas.openxmlformats.org/officeDocument/2006/relationships/image" Target="media/image295.png"/><Relationship Id="rId317" Type="http://schemas.openxmlformats.org/officeDocument/2006/relationships/image" Target="media/image296.png"/><Relationship Id="rId318" Type="http://schemas.openxmlformats.org/officeDocument/2006/relationships/image" Target="media/image297.png"/><Relationship Id="rId319" Type="http://schemas.openxmlformats.org/officeDocument/2006/relationships/image" Target="media/image298.png"/><Relationship Id="rId320" Type="http://schemas.openxmlformats.org/officeDocument/2006/relationships/image" Target="media/image299.png"/><Relationship Id="rId321" Type="http://schemas.openxmlformats.org/officeDocument/2006/relationships/image" Target="media/image300.png"/><Relationship Id="rId322" Type="http://schemas.openxmlformats.org/officeDocument/2006/relationships/image" Target="media/image301.jpeg"/><Relationship Id="rId323" Type="http://schemas.openxmlformats.org/officeDocument/2006/relationships/image" Target="media/image302.png"/><Relationship Id="rId324" Type="http://schemas.openxmlformats.org/officeDocument/2006/relationships/image" Target="media/image303.png"/><Relationship Id="rId325" Type="http://schemas.openxmlformats.org/officeDocument/2006/relationships/image" Target="media/image304.png"/><Relationship Id="rId326" Type="http://schemas.openxmlformats.org/officeDocument/2006/relationships/image" Target="media/image305.png"/><Relationship Id="rId327" Type="http://schemas.openxmlformats.org/officeDocument/2006/relationships/image" Target="media/image306.png"/><Relationship Id="rId328" Type="http://schemas.openxmlformats.org/officeDocument/2006/relationships/image" Target="media/image307.png"/><Relationship Id="rId329" Type="http://schemas.openxmlformats.org/officeDocument/2006/relationships/image" Target="media/image308.png"/><Relationship Id="rId330" Type="http://schemas.openxmlformats.org/officeDocument/2006/relationships/image" Target="media/image309.png"/><Relationship Id="rId331" Type="http://schemas.openxmlformats.org/officeDocument/2006/relationships/image" Target="media/image310.png"/><Relationship Id="rId332" Type="http://schemas.openxmlformats.org/officeDocument/2006/relationships/image" Target="media/image311.png"/><Relationship Id="rId333" Type="http://schemas.openxmlformats.org/officeDocument/2006/relationships/image" Target="media/image312.png"/><Relationship Id="rId334" Type="http://schemas.openxmlformats.org/officeDocument/2006/relationships/image" Target="media/image313.png"/><Relationship Id="rId335" Type="http://schemas.openxmlformats.org/officeDocument/2006/relationships/image" Target="media/image314.png"/><Relationship Id="rId336" Type="http://schemas.openxmlformats.org/officeDocument/2006/relationships/image" Target="media/image315.png"/><Relationship Id="rId337" Type="http://schemas.openxmlformats.org/officeDocument/2006/relationships/image" Target="media/image316.png"/><Relationship Id="rId338" Type="http://schemas.openxmlformats.org/officeDocument/2006/relationships/image" Target="media/image317.png"/><Relationship Id="rId339" Type="http://schemas.openxmlformats.org/officeDocument/2006/relationships/image" Target="media/image318.png"/><Relationship Id="rId340" Type="http://schemas.openxmlformats.org/officeDocument/2006/relationships/image" Target="media/image319.png"/><Relationship Id="rId341" Type="http://schemas.openxmlformats.org/officeDocument/2006/relationships/image" Target="media/image320.png"/><Relationship Id="rId342" Type="http://schemas.openxmlformats.org/officeDocument/2006/relationships/image" Target="media/image321.png"/><Relationship Id="rId343" Type="http://schemas.openxmlformats.org/officeDocument/2006/relationships/image" Target="media/image322.png"/><Relationship Id="rId344" Type="http://schemas.openxmlformats.org/officeDocument/2006/relationships/image" Target="media/image323.png"/><Relationship Id="rId345" Type="http://schemas.openxmlformats.org/officeDocument/2006/relationships/image" Target="media/image324.png"/><Relationship Id="rId346" Type="http://schemas.openxmlformats.org/officeDocument/2006/relationships/image" Target="media/image325.png"/><Relationship Id="rId347" Type="http://schemas.openxmlformats.org/officeDocument/2006/relationships/image" Target="media/image326.png"/><Relationship Id="rId348" Type="http://schemas.openxmlformats.org/officeDocument/2006/relationships/image" Target="media/image327.png"/><Relationship Id="rId349" Type="http://schemas.openxmlformats.org/officeDocument/2006/relationships/image" Target="media/image328.png"/><Relationship Id="rId350" Type="http://schemas.openxmlformats.org/officeDocument/2006/relationships/image" Target="media/image329.png"/><Relationship Id="rId351" Type="http://schemas.openxmlformats.org/officeDocument/2006/relationships/image" Target="media/image330.png"/><Relationship Id="rId352" Type="http://schemas.openxmlformats.org/officeDocument/2006/relationships/image" Target="media/image331.png"/><Relationship Id="rId353" Type="http://schemas.openxmlformats.org/officeDocument/2006/relationships/image" Target="media/image332.png"/><Relationship Id="rId354" Type="http://schemas.openxmlformats.org/officeDocument/2006/relationships/image" Target="media/image333.png"/><Relationship Id="rId355" Type="http://schemas.openxmlformats.org/officeDocument/2006/relationships/image" Target="media/image334.png"/><Relationship Id="rId356" Type="http://schemas.openxmlformats.org/officeDocument/2006/relationships/image" Target="media/image335.png"/><Relationship Id="rId357" Type="http://schemas.openxmlformats.org/officeDocument/2006/relationships/image" Target="media/image336.png"/><Relationship Id="rId358" Type="http://schemas.openxmlformats.org/officeDocument/2006/relationships/image" Target="media/image337.png"/><Relationship Id="rId359" Type="http://schemas.openxmlformats.org/officeDocument/2006/relationships/image" Target="media/image338.png"/><Relationship Id="rId360" Type="http://schemas.openxmlformats.org/officeDocument/2006/relationships/image" Target="media/image339.png"/><Relationship Id="rId361" Type="http://schemas.openxmlformats.org/officeDocument/2006/relationships/image" Target="media/image340.png"/><Relationship Id="rId362" Type="http://schemas.openxmlformats.org/officeDocument/2006/relationships/image" Target="media/image341.png"/><Relationship Id="rId363" Type="http://schemas.openxmlformats.org/officeDocument/2006/relationships/image" Target="media/image342.png"/><Relationship Id="rId364" Type="http://schemas.openxmlformats.org/officeDocument/2006/relationships/image" Target="media/image343.png"/><Relationship Id="rId365" Type="http://schemas.openxmlformats.org/officeDocument/2006/relationships/image" Target="media/image344.png"/><Relationship Id="rId366" Type="http://schemas.openxmlformats.org/officeDocument/2006/relationships/image" Target="media/image345.png"/><Relationship Id="rId367" Type="http://schemas.openxmlformats.org/officeDocument/2006/relationships/image" Target="media/image346.png"/><Relationship Id="rId368" Type="http://schemas.openxmlformats.org/officeDocument/2006/relationships/image" Target="media/image347.png"/><Relationship Id="rId369" Type="http://schemas.openxmlformats.org/officeDocument/2006/relationships/image" Target="media/image348.png"/><Relationship Id="rId370" Type="http://schemas.openxmlformats.org/officeDocument/2006/relationships/image" Target="media/image349.png"/><Relationship Id="rId371" Type="http://schemas.openxmlformats.org/officeDocument/2006/relationships/image" Target="media/image350.png"/><Relationship Id="rId372" Type="http://schemas.openxmlformats.org/officeDocument/2006/relationships/image" Target="media/image351.png"/><Relationship Id="rId373" Type="http://schemas.openxmlformats.org/officeDocument/2006/relationships/image" Target="media/image352.png"/><Relationship Id="rId374" Type="http://schemas.openxmlformats.org/officeDocument/2006/relationships/image" Target="media/image353.png"/><Relationship Id="rId375" Type="http://schemas.openxmlformats.org/officeDocument/2006/relationships/image" Target="media/image354.png"/><Relationship Id="rId376" Type="http://schemas.openxmlformats.org/officeDocument/2006/relationships/image" Target="media/image355.png"/><Relationship Id="rId377" Type="http://schemas.openxmlformats.org/officeDocument/2006/relationships/image" Target="media/image356.png"/><Relationship Id="rId378" Type="http://schemas.openxmlformats.org/officeDocument/2006/relationships/image" Target="media/image357.png"/><Relationship Id="rId379" Type="http://schemas.openxmlformats.org/officeDocument/2006/relationships/image" Target="media/image358.png"/><Relationship Id="rId380" Type="http://schemas.openxmlformats.org/officeDocument/2006/relationships/image" Target="media/image359.png"/><Relationship Id="rId381" Type="http://schemas.openxmlformats.org/officeDocument/2006/relationships/image" Target="media/image360.png"/><Relationship Id="rId382" Type="http://schemas.openxmlformats.org/officeDocument/2006/relationships/image" Target="media/image361.png"/><Relationship Id="rId383" Type="http://schemas.openxmlformats.org/officeDocument/2006/relationships/image" Target="media/image362.png"/><Relationship Id="rId133" Type="http://schemas.openxmlformats.org/officeDocument/2006/relationships/hyperlink" Target="http://www.sec.gov/Archives/edgar/data/1625791/000161577415000505/s100871_ex10-16.htm" TargetMode="External"/><Relationship Id="rId134" Type="http://schemas.openxmlformats.org/officeDocument/2006/relationships/hyperlink" Target="http://www.sec.gov/Archives/edgar/data/1625791/000161577415000434/s100824_ex4-1.htm" TargetMode="External"/><Relationship Id="rId136" Type="http://schemas.openxmlformats.org/officeDocument/2006/relationships/hyperlink" Target="http://www.sec.gov/Archives/edgar/data/1625791/000161577415000434/s100824_ex10-3.htm" TargetMode="External"/><Relationship Id="rId138" Type="http://schemas.openxmlformats.org/officeDocument/2006/relationships/hyperlink" Target="http://www.sec.gov/Archives/edgar/data/1625791/000161577415000363/s100753_ex10-1.htm" TargetMode="External"/><Relationship Id="rId139" Type="http://schemas.openxmlformats.org/officeDocument/2006/relationships/hyperlink" Target="http://www.sec.gov/Archives/edgar/data/1625791/000161577415000363/s100753_ex10-2.htm" TargetMode="External"/><Relationship Id="rId141" Type="http://schemas.openxmlformats.org/officeDocument/2006/relationships/hyperlink" Target="http://www.sec.gov/Archives/edgar/data/1625791/000161577415000505/s100871_ex10-21.htm" TargetMode="External"/><Relationship Id="rId142" Type="http://schemas.openxmlformats.org/officeDocument/2006/relationships/hyperlink" Target="http://www.sec.gov/Archives/edgar/data/1625791/000121390015005896/f6k081015ex99i_kornitdigital.htm" TargetMode="External"/><Relationship Id="rId144" Type="http://schemas.openxmlformats.org/officeDocument/2006/relationships/hyperlink" Target="http://www.sec.gov/Archives/edgar/data/1625791/000121390016012553/f20f2015a1ex4ix_kornit.htm" TargetMode="External"/><Relationship Id="rId146" Type="http://schemas.openxmlformats.org/officeDocument/2006/relationships/hyperlink" Target="http://www.sec.gov/Archives/edgar/data/1625791/000161577415000363/s100753_ex10-4.htm" TargetMode="External"/><Relationship Id="rId147" Type="http://schemas.openxmlformats.org/officeDocument/2006/relationships/hyperlink" Target="http://www.sec.gov/Archives/edgar/data/1625791/000121390017003011/f20f2016ex4xi_kornit.htm" TargetMode="External"/><Relationship Id="rId148" Type="http://schemas.openxmlformats.org/officeDocument/2006/relationships/hyperlink" Target="http://www.sec.gov/Archives/edgar/data/1625791/000121390017003011/f20f2016ex4xii_kornit.htm" TargetMode="External"/><Relationship Id="rId149" Type="http://schemas.openxmlformats.org/officeDocument/2006/relationships/hyperlink" Target="http://www.sec.gov/Archives/edgar/data/1625791/000121390017003011/f20f2016ex4xiii_kornit.htm" TargetMode="External"/><Relationship Id="rId150" Type="http://schemas.openxmlformats.org/officeDocument/2006/relationships/hyperlink" Target="http://www.sec.gov/Archives/edgar/data/1625791/000121390017003011/f20f2016ex4xiv_kornit.htm" TargetMode="External"/><Relationship Id="rId151" Type="http://schemas.openxmlformats.org/officeDocument/2006/relationships/hyperlink" Target="http://www.sec.gov/Archives/edgar/data/1625791/000121390017003011/f20f2016ex4xv_korn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2019-12-08T12:58:20Z</dcterms:created>
  <dcterms:modified xsi:type="dcterms:W3CDTF">2019-12-08T12:58:20Z</dcterms:modified>
</cp:coreProperties>
</file>