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Kornit Digital Ltd.</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M6372Q113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w:t>
      </w:r>
    </w:p>
    <w:p>
      <w:pPr>
        <w:spacing w:after="0" w:line="46" w:lineRule="exact"/>
        <w:rPr>
          <w:sz w:val="24"/>
          <w:szCs w:val="24"/>
          <w:color w:val="auto"/>
        </w:rPr>
      </w:pPr>
    </w:p>
    <w:p>
      <w:pPr>
        <w:ind w:right="300"/>
        <w:spacing w:after="0" w:line="261" w:lineRule="auto"/>
        <w:rPr>
          <w:sz w:val="20"/>
          <w:szCs w:val="20"/>
          <w:color w:val="auto"/>
        </w:rPr>
      </w:pPr>
      <w:r>
        <w:rPr>
          <w:rFonts w:ascii="Arial" w:cs="Arial" w:eastAsia="Arial" w:hAnsi="Arial"/>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38"/>
        </w:trPr>
        <w:tc>
          <w:tcPr>
            <w:tcW w:w="4640" w:type="dxa"/>
            <w:vAlign w:val="bottom"/>
            <w:gridSpan w:val="4"/>
          </w:tcPr>
          <w:p>
            <w:pPr>
              <w:spacing w:after="0"/>
              <w:rPr>
                <w:sz w:val="20"/>
                <w:szCs w:val="20"/>
                <w:color w:val="auto"/>
              </w:rPr>
            </w:pPr>
            <w:r>
              <w:rPr>
                <w:rFonts w:ascii="Arial" w:cs="Arial" w:eastAsia="Arial" w:hAnsi="Arial"/>
                <w:sz w:val="18"/>
                <w:szCs w:val="18"/>
                <w:color w:val="auto"/>
              </w:rPr>
              <w:t>CUSIP NO. M6372Q113</w:t>
            </w:r>
          </w:p>
        </w:tc>
        <w:tc>
          <w:tcPr>
            <w:tcW w:w="6800" w:type="dxa"/>
            <w:vAlign w:val="bottom"/>
            <w:gridSpan w:val="2"/>
          </w:tcPr>
          <w:p>
            <w:pPr>
              <w:ind w:left="5960"/>
              <w:spacing w:after="0"/>
              <w:rPr>
                <w:sz w:val="20"/>
                <w:szCs w:val="20"/>
                <w:color w:val="auto"/>
              </w:rPr>
            </w:pPr>
            <w:r>
              <w:rPr>
                <w:rFonts w:ascii="Arial" w:cs="Arial" w:eastAsia="Arial" w:hAnsi="Arial"/>
                <w:sz w:val="18"/>
                <w:szCs w:val="18"/>
                <w:color w:val="auto"/>
                <w:w w:val="89"/>
              </w:rPr>
              <w:t>Page 2 of 6</w:t>
            </w:r>
          </w:p>
        </w:tc>
        <w:tc>
          <w:tcPr>
            <w:tcW w:w="0" w:type="dxa"/>
            <w:vAlign w:val="bottom"/>
          </w:tcPr>
          <w:p>
            <w:pPr>
              <w:spacing w:after="0"/>
              <w:rPr>
                <w:sz w:val="1"/>
                <w:szCs w:val="1"/>
                <w:color w:val="auto"/>
              </w:rPr>
            </w:pPr>
          </w:p>
        </w:tc>
      </w:tr>
      <w:tr>
        <w:trPr>
          <w:trHeight w:val="54"/>
        </w:trPr>
        <w:tc>
          <w:tcPr>
            <w:tcW w:w="420" w:type="dxa"/>
            <w:vAlign w:val="bottom"/>
            <w:tcBorders>
              <w:bottom w:val="single" w:sz="8" w:color="auto"/>
            </w:tcBorders>
          </w:tcPr>
          <w:p>
            <w:pPr>
              <w:spacing w:after="0"/>
              <w:rPr>
                <w:sz w:val="4"/>
                <w:szCs w:val="4"/>
                <w:color w:val="auto"/>
              </w:rPr>
            </w:pPr>
          </w:p>
        </w:tc>
        <w:tc>
          <w:tcPr>
            <w:tcW w:w="4220" w:type="dxa"/>
            <w:vAlign w:val="bottom"/>
            <w:tcBorders>
              <w:bottom w:val="single" w:sz="8" w:color="auto"/>
            </w:tcBorders>
            <w:gridSpan w:val="3"/>
          </w:tcPr>
          <w:p>
            <w:pPr>
              <w:spacing w:after="0"/>
              <w:rPr>
                <w:sz w:val="4"/>
                <w:szCs w:val="4"/>
                <w:color w:val="auto"/>
              </w:rPr>
            </w:pPr>
          </w:p>
        </w:tc>
        <w:tc>
          <w:tcPr>
            <w:tcW w:w="6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420" w:type="dxa"/>
            <w:vAlign w:val="bottom"/>
            <w:tcBorders>
              <w:bottom w:val="single" w:sz="8" w:color="auto"/>
            </w:tcBorders>
          </w:tcPr>
          <w:p>
            <w:pPr>
              <w:spacing w:after="0"/>
              <w:rPr>
                <w:sz w:val="13"/>
                <w:szCs w:val="13"/>
                <w:color w:val="auto"/>
              </w:rPr>
            </w:pPr>
          </w:p>
        </w:tc>
        <w:tc>
          <w:tcPr>
            <w:tcW w:w="4220" w:type="dxa"/>
            <w:vAlign w:val="bottom"/>
            <w:tcBorders>
              <w:bottom w:val="single" w:sz="8" w:color="auto"/>
            </w:tcBorders>
            <w:gridSpan w:val="3"/>
          </w:tcPr>
          <w:p>
            <w:pPr>
              <w:spacing w:after="0"/>
              <w:rPr>
                <w:sz w:val="13"/>
                <w:szCs w:val="13"/>
                <w:color w:val="auto"/>
              </w:rPr>
            </w:pPr>
          </w:p>
        </w:tc>
        <w:tc>
          <w:tcPr>
            <w:tcW w:w="6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1</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3"/>
          </w:tcPr>
          <w:p>
            <w:pPr>
              <w:ind w:left="100"/>
              <w:spacing w:after="0"/>
              <w:rPr>
                <w:sz w:val="20"/>
                <w:szCs w:val="20"/>
                <w:color w:val="auto"/>
              </w:rPr>
            </w:pPr>
            <w:r>
              <w:rPr>
                <w:rFonts w:ascii="Arial" w:cs="Arial" w:eastAsia="Arial" w:hAnsi="Arial"/>
                <w:sz w:val="22"/>
                <w:szCs w:val="22"/>
                <w:color w:val="auto"/>
              </w:rPr>
              <w:t>Granahan Investment Management, Inc.</w:t>
            </w:r>
          </w:p>
        </w:tc>
        <w:tc>
          <w:tcPr>
            <w:tcW w:w="6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20" w:type="dxa"/>
            <w:vAlign w:val="bottom"/>
            <w:tcBorders>
              <w:right w:val="single" w:sz="8" w:color="auto"/>
            </w:tcBorders>
          </w:tcPr>
          <w:p>
            <w:pPr>
              <w:ind w:left="260"/>
              <w:spacing w:after="0" w:line="164" w:lineRule="exact"/>
              <w:rPr>
                <w:sz w:val="20"/>
                <w:szCs w:val="20"/>
                <w:color w:val="auto"/>
              </w:rPr>
            </w:pPr>
            <w:r>
              <w:rPr>
                <w:rFonts w:ascii="Arial" w:cs="Arial" w:eastAsia="Arial" w:hAnsi="Arial"/>
                <w:sz w:val="18"/>
                <w:szCs w:val="18"/>
                <w:color w:val="auto"/>
              </w:rPr>
              <w:t>2</w:t>
            </w:r>
          </w:p>
        </w:tc>
        <w:tc>
          <w:tcPr>
            <w:tcW w:w="4220" w:type="dxa"/>
            <w:vAlign w:val="bottom"/>
            <w:gridSpan w:val="3"/>
          </w:tcPr>
          <w:p>
            <w:pPr>
              <w:ind w:left="10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6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20" w:type="dxa"/>
            <w:vAlign w:val="bottom"/>
            <w:tcBorders>
              <w:right w:val="single" w:sz="8" w:color="auto"/>
            </w:tcBorders>
          </w:tcPr>
          <w:p>
            <w:pPr>
              <w:spacing w:after="0"/>
              <w:rPr>
                <w:sz w:val="24"/>
                <w:szCs w:val="24"/>
                <w:color w:val="auto"/>
              </w:rPr>
            </w:pPr>
          </w:p>
        </w:tc>
        <w:tc>
          <w:tcPr>
            <w:tcW w:w="72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50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89"/>
              </w:rPr>
              <w:t>SEC use only</w:t>
            </w:r>
          </w:p>
        </w:tc>
        <w:tc>
          <w:tcPr>
            <w:tcW w:w="31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20" w:type="dxa"/>
            <w:vAlign w:val="bottom"/>
            <w:tcBorders>
              <w:bottom w:val="single" w:sz="8" w:color="auto"/>
              <w:right w:val="single" w:sz="8" w:color="auto"/>
            </w:tcBorders>
          </w:tcPr>
          <w:p>
            <w:pPr>
              <w:spacing w:after="0"/>
              <w:rPr>
                <w:sz w:val="21"/>
                <w:szCs w:val="21"/>
                <w:color w:val="auto"/>
              </w:rPr>
            </w:pPr>
          </w:p>
        </w:tc>
        <w:tc>
          <w:tcPr>
            <w:tcW w:w="4220" w:type="dxa"/>
            <w:vAlign w:val="bottom"/>
            <w:tcBorders>
              <w:bottom w:val="single" w:sz="8" w:color="auto"/>
            </w:tcBorders>
            <w:gridSpan w:val="3"/>
          </w:tcPr>
          <w:p>
            <w:pPr>
              <w:spacing w:after="0"/>
              <w:rPr>
                <w:sz w:val="21"/>
                <w:szCs w:val="21"/>
                <w:color w:val="auto"/>
              </w:rPr>
            </w:pPr>
          </w:p>
        </w:tc>
        <w:tc>
          <w:tcPr>
            <w:tcW w:w="67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4</w:t>
            </w:r>
          </w:p>
        </w:tc>
        <w:tc>
          <w:tcPr>
            <w:tcW w:w="422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420" w:type="dxa"/>
            <w:vAlign w:val="bottom"/>
            <w:tcBorders>
              <w:bottom w:val="single" w:sz="8" w:color="auto"/>
              <w:right w:val="single" w:sz="8" w:color="auto"/>
            </w:tcBorders>
          </w:tcPr>
          <w:p>
            <w:pPr>
              <w:spacing w:after="0"/>
              <w:rPr>
                <w:sz w:val="24"/>
                <w:szCs w:val="24"/>
                <w:color w:val="auto"/>
              </w:rPr>
            </w:pPr>
          </w:p>
        </w:tc>
        <w:tc>
          <w:tcPr>
            <w:tcW w:w="4220" w:type="dxa"/>
            <w:vAlign w:val="bottom"/>
            <w:tcBorders>
              <w:bottom w:val="single" w:sz="8" w:color="auto"/>
            </w:tcBorders>
            <w:gridSpan w:val="3"/>
          </w:tcPr>
          <w:p>
            <w:pPr>
              <w:ind w:left="320"/>
              <w:spacing w:after="0"/>
              <w:rPr>
                <w:sz w:val="20"/>
                <w:szCs w:val="20"/>
                <w:color w:val="auto"/>
              </w:rPr>
            </w:pPr>
            <w:r>
              <w:rPr>
                <w:rFonts w:ascii="Arial" w:cs="Arial" w:eastAsia="Arial" w:hAnsi="Arial"/>
                <w:sz w:val="22"/>
                <w:szCs w:val="22"/>
                <w:color w:val="auto"/>
              </w:rPr>
              <w:t>Massachusetts</w:t>
            </w:r>
          </w:p>
        </w:tc>
        <w:tc>
          <w:tcPr>
            <w:tcW w:w="6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120" w:type="dxa"/>
            <w:vAlign w:val="bottom"/>
          </w:tcPr>
          <w:p>
            <w:pPr>
              <w:spacing w:after="0"/>
              <w:rPr>
                <w:sz w:val="20"/>
                <w:szCs w:val="20"/>
                <w:color w:val="auto"/>
              </w:rPr>
            </w:pPr>
            <w:r>
              <w:rPr>
                <w:rFonts w:ascii="Arial" w:cs="Arial" w:eastAsia="Arial" w:hAnsi="Arial"/>
                <w:sz w:val="18"/>
                <w:szCs w:val="18"/>
                <w:color w:val="auto"/>
              </w:rPr>
              <w:t>Sole voting power</w:t>
            </w:r>
          </w:p>
        </w:tc>
        <w:tc>
          <w:tcPr>
            <w:tcW w:w="6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4"/>
        </w:trPr>
        <w:tc>
          <w:tcPr>
            <w:tcW w:w="1140" w:type="dxa"/>
            <w:vAlign w:val="bottom"/>
            <w:gridSpan w:val="2"/>
            <w:vMerge w:val="restart"/>
          </w:tcPr>
          <w:p>
            <w:pPr>
              <w:ind w:left="260"/>
              <w:spacing w:after="0"/>
              <w:rPr>
                <w:sz w:val="20"/>
                <w:szCs w:val="20"/>
                <w:color w:val="auto"/>
              </w:rPr>
            </w:pPr>
            <w:r>
              <w:rPr>
                <w:rFonts w:ascii="Arial" w:cs="Arial" w:eastAsia="Arial" w:hAnsi="Arial"/>
                <w:sz w:val="18"/>
                <w:szCs w:val="18"/>
                <w:color w:val="auto"/>
              </w:rPr>
              <w:t>Number of</w:t>
            </w: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rPr>
              <w:t>1,034,910</w:t>
            </w:r>
          </w:p>
        </w:tc>
        <w:tc>
          <w:tcPr>
            <w:tcW w:w="6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140" w:type="dxa"/>
            <w:vAlign w:val="bottom"/>
            <w:gridSpan w:val="2"/>
            <w:vMerge w:val="continue"/>
          </w:tcPr>
          <w:p>
            <w:pPr>
              <w:spacing w:after="0"/>
              <w:rPr>
                <w:sz w:val="4"/>
                <w:szCs w:val="4"/>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color w:val="auto"/>
              </w:rPr>
              <w:t>6</w:t>
            </w:r>
          </w:p>
        </w:tc>
        <w:tc>
          <w:tcPr>
            <w:tcW w:w="312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6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20" w:type="dxa"/>
            <w:vAlign w:val="bottom"/>
          </w:tcPr>
          <w:p>
            <w:pPr>
              <w:spacing w:after="0"/>
              <w:rPr>
                <w:sz w:val="15"/>
                <w:szCs w:val="15"/>
                <w:color w:val="auto"/>
              </w:rPr>
            </w:pPr>
          </w:p>
        </w:tc>
        <w:tc>
          <w:tcPr>
            <w:tcW w:w="720" w:type="dxa"/>
            <w:vAlign w:val="bottom"/>
            <w:vMerge w:val="restart"/>
          </w:tcPr>
          <w:p>
            <w:pPr>
              <w:jc w:val="center"/>
              <w:ind w:right="167"/>
              <w:spacing w:after="0"/>
              <w:rPr>
                <w:sz w:val="20"/>
                <w:szCs w:val="20"/>
                <w:color w:val="auto"/>
              </w:rPr>
            </w:pPr>
            <w:r>
              <w:rPr>
                <w:rFonts w:ascii="Arial" w:cs="Arial" w:eastAsia="Arial" w:hAnsi="Arial"/>
                <w:sz w:val="18"/>
                <w:szCs w:val="18"/>
                <w:color w:val="auto"/>
                <w:w w:val="85"/>
              </w:rPr>
              <w:t>shares</w:t>
            </w:r>
          </w:p>
        </w:tc>
        <w:tc>
          <w:tcPr>
            <w:tcW w:w="380" w:type="dxa"/>
            <w:vAlign w:val="bottom"/>
            <w:vMerge w:val="continue"/>
          </w:tcPr>
          <w:p>
            <w:pPr>
              <w:spacing w:after="0"/>
              <w:rPr>
                <w:sz w:val="15"/>
                <w:szCs w:val="15"/>
                <w:color w:val="auto"/>
              </w:rPr>
            </w:pPr>
          </w:p>
        </w:tc>
        <w:tc>
          <w:tcPr>
            <w:tcW w:w="3120" w:type="dxa"/>
            <w:vAlign w:val="bottom"/>
            <w:vMerge w:val="continue"/>
          </w:tcPr>
          <w:p>
            <w:pPr>
              <w:spacing w:after="0"/>
              <w:rPr>
                <w:sz w:val="15"/>
                <w:szCs w:val="15"/>
                <w:color w:val="auto"/>
              </w:rPr>
            </w:pP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120" w:type="dxa"/>
            <w:vAlign w:val="bottom"/>
          </w:tcPr>
          <w:p>
            <w:pPr>
              <w:spacing w:after="0"/>
              <w:rPr>
                <w:sz w:val="3"/>
                <w:szCs w:val="3"/>
                <w:color w:val="auto"/>
              </w:rPr>
            </w:pPr>
          </w:p>
        </w:tc>
        <w:tc>
          <w:tcPr>
            <w:tcW w:w="6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3120" w:type="dxa"/>
            <w:vAlign w:val="bottom"/>
            <w:vMerge w:val="restart"/>
          </w:tcPr>
          <w:p>
            <w:pPr>
              <w:ind w:left="220"/>
              <w:spacing w:after="0"/>
              <w:rPr>
                <w:sz w:val="20"/>
                <w:szCs w:val="20"/>
                <w:color w:val="auto"/>
              </w:rPr>
            </w:pPr>
            <w:r>
              <w:rPr>
                <w:rFonts w:ascii="Arial" w:cs="Arial" w:eastAsia="Arial" w:hAnsi="Arial"/>
                <w:sz w:val="22"/>
                <w:szCs w:val="22"/>
                <w:color w:val="auto"/>
              </w:rPr>
              <w:t>0</w:t>
            </w:r>
          </w:p>
        </w:tc>
        <w:tc>
          <w:tcPr>
            <w:tcW w:w="6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owned by</w:t>
            </w:r>
          </w:p>
        </w:tc>
        <w:tc>
          <w:tcPr>
            <w:tcW w:w="3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vMerge w:val="continue"/>
          </w:tcPr>
          <w:p>
            <w:pPr>
              <w:spacing w:after="0"/>
              <w:rPr>
                <w:sz w:val="20"/>
                <w:szCs w:val="20"/>
                <w:color w:val="auto"/>
              </w:rPr>
            </w:pPr>
          </w:p>
        </w:tc>
        <w:tc>
          <w:tcPr>
            <w:tcW w:w="67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720" w:type="dxa"/>
            <w:vAlign w:val="bottom"/>
          </w:tcPr>
          <w:p>
            <w:pPr>
              <w:jc w:val="center"/>
              <w:ind w:right="167"/>
              <w:spacing w:after="0" w:line="182" w:lineRule="exact"/>
              <w:rPr>
                <w:sz w:val="20"/>
                <w:szCs w:val="20"/>
                <w:color w:val="auto"/>
              </w:rPr>
            </w:pPr>
            <w:r>
              <w:rPr>
                <w:rFonts w:ascii="Arial" w:cs="Arial" w:eastAsia="Arial" w:hAnsi="Arial"/>
                <w:sz w:val="18"/>
                <w:szCs w:val="18"/>
                <w:color w:val="auto"/>
                <w:w w:val="86"/>
              </w:rPr>
              <w:t>each</w:t>
            </w:r>
          </w:p>
        </w:tc>
        <w:tc>
          <w:tcPr>
            <w:tcW w:w="380" w:type="dxa"/>
            <w:vAlign w:val="bottom"/>
          </w:tcPr>
          <w:p>
            <w:pPr>
              <w:jc w:val="right"/>
              <w:ind w:right="70"/>
              <w:spacing w:after="0" w:line="182" w:lineRule="exact"/>
              <w:rPr>
                <w:sz w:val="20"/>
                <w:szCs w:val="20"/>
                <w:color w:val="auto"/>
              </w:rPr>
            </w:pPr>
            <w:r>
              <w:rPr>
                <w:rFonts w:ascii="Arial" w:cs="Arial" w:eastAsia="Arial" w:hAnsi="Arial"/>
                <w:sz w:val="18"/>
                <w:szCs w:val="18"/>
                <w:color w:val="auto"/>
              </w:rPr>
              <w:t>7</w:t>
            </w:r>
          </w:p>
        </w:tc>
        <w:tc>
          <w:tcPr>
            <w:tcW w:w="3120" w:type="dxa"/>
            <w:vAlign w:val="bottom"/>
          </w:tcPr>
          <w:p>
            <w:pPr>
              <w:spacing w:after="0" w:line="182" w:lineRule="exact"/>
              <w:rPr>
                <w:sz w:val="20"/>
                <w:szCs w:val="20"/>
                <w:color w:val="auto"/>
              </w:rPr>
            </w:pPr>
            <w:r>
              <w:rPr>
                <w:rFonts w:ascii="Arial" w:cs="Arial" w:eastAsia="Arial" w:hAnsi="Arial"/>
                <w:sz w:val="18"/>
                <w:szCs w:val="18"/>
                <w:color w:val="auto"/>
              </w:rPr>
              <w:t>Sole dispositive power</w:t>
            </w:r>
          </w:p>
        </w:tc>
        <w:tc>
          <w:tcPr>
            <w:tcW w:w="6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20" w:type="dxa"/>
            <w:vAlign w:val="bottom"/>
          </w:tcPr>
          <w:p>
            <w:pPr>
              <w:spacing w:after="0"/>
              <w:rPr>
                <w:sz w:val="21"/>
                <w:szCs w:val="21"/>
                <w:color w:val="auto"/>
              </w:rPr>
            </w:pPr>
          </w:p>
        </w:tc>
        <w:tc>
          <w:tcPr>
            <w:tcW w:w="720" w:type="dxa"/>
            <w:vAlign w:val="bottom"/>
          </w:tcPr>
          <w:p>
            <w:pPr>
              <w:jc w:val="center"/>
              <w:ind w:right="147"/>
              <w:spacing w:after="0"/>
              <w:rPr>
                <w:sz w:val="20"/>
                <w:szCs w:val="20"/>
                <w:color w:val="auto"/>
              </w:rPr>
            </w:pPr>
            <w:r>
              <w:rPr>
                <w:rFonts w:ascii="Arial" w:cs="Arial" w:eastAsia="Arial" w:hAnsi="Arial"/>
                <w:sz w:val="18"/>
                <w:szCs w:val="18"/>
                <w:color w:val="auto"/>
                <w:w w:val="87"/>
              </w:rPr>
              <w:t>person</w:t>
            </w:r>
          </w:p>
        </w:tc>
        <w:tc>
          <w:tcPr>
            <w:tcW w:w="380" w:type="dxa"/>
            <w:vAlign w:val="bottom"/>
          </w:tcPr>
          <w:p>
            <w:pPr>
              <w:spacing w:after="0"/>
              <w:rPr>
                <w:sz w:val="21"/>
                <w:szCs w:val="21"/>
                <w:color w:val="auto"/>
              </w:rPr>
            </w:pPr>
          </w:p>
        </w:tc>
        <w:tc>
          <w:tcPr>
            <w:tcW w:w="3120" w:type="dxa"/>
            <w:vAlign w:val="bottom"/>
          </w:tcPr>
          <w:p>
            <w:pPr>
              <w:ind w:left="220"/>
              <w:spacing w:after="0" w:line="244" w:lineRule="exact"/>
              <w:rPr>
                <w:sz w:val="20"/>
                <w:szCs w:val="20"/>
                <w:color w:val="auto"/>
              </w:rPr>
            </w:pPr>
            <w:r>
              <w:rPr>
                <w:rFonts w:ascii="Arial" w:cs="Arial" w:eastAsia="Arial" w:hAnsi="Arial"/>
                <w:sz w:val="22"/>
                <w:szCs w:val="22"/>
                <w:color w:val="auto"/>
              </w:rPr>
              <w:t>2,331,724</w:t>
            </w:r>
          </w:p>
        </w:tc>
        <w:tc>
          <w:tcPr>
            <w:tcW w:w="6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420" w:type="dxa"/>
            <w:vAlign w:val="bottom"/>
            <w:vMerge w:val="restart"/>
          </w:tcPr>
          <w:p>
            <w:pPr>
              <w:spacing w:after="0"/>
              <w:rPr>
                <w:sz w:val="5"/>
                <w:szCs w:val="5"/>
                <w:color w:val="auto"/>
              </w:rPr>
            </w:pPr>
          </w:p>
        </w:tc>
        <w:tc>
          <w:tcPr>
            <w:tcW w:w="720" w:type="dxa"/>
            <w:vAlign w:val="bottom"/>
            <w:vMerge w:val="restart"/>
          </w:tcPr>
          <w:p>
            <w:pPr>
              <w:jc w:val="center"/>
              <w:ind w:right="167"/>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5"/>
                <w:szCs w:val="5"/>
                <w:color w:val="auto"/>
              </w:rPr>
            </w:pPr>
          </w:p>
        </w:tc>
        <w:tc>
          <w:tcPr>
            <w:tcW w:w="3120" w:type="dxa"/>
            <w:vAlign w:val="bottom"/>
            <w:tcBorders>
              <w:bottom w:val="single" w:sz="8" w:color="auto"/>
            </w:tcBorders>
          </w:tcPr>
          <w:p>
            <w:pPr>
              <w:spacing w:after="0"/>
              <w:rPr>
                <w:sz w:val="5"/>
                <w:szCs w:val="5"/>
                <w:color w:val="auto"/>
              </w:rPr>
            </w:pPr>
          </w:p>
        </w:tc>
        <w:tc>
          <w:tcPr>
            <w:tcW w:w="67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312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6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3120" w:type="dxa"/>
            <w:vAlign w:val="bottom"/>
            <w:vMerge w:val="continue"/>
          </w:tcPr>
          <w:p>
            <w:pPr>
              <w:spacing w:after="0"/>
              <w:rPr>
                <w:sz w:val="7"/>
                <w:szCs w:val="7"/>
                <w:color w:val="auto"/>
              </w:rPr>
            </w:pPr>
          </w:p>
        </w:tc>
        <w:tc>
          <w:tcPr>
            <w:tcW w:w="6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-3224530</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187"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2,331,724</w:t>
      </w:r>
    </w:p>
    <w:p>
      <w:pPr>
        <w:spacing w:after="0" w:line="22" w:lineRule="exact"/>
        <w:rPr>
          <w:sz w:val="20"/>
          <w:szCs w:val="20"/>
          <w:color w:val="auto"/>
        </w:rPr>
      </w:pPr>
    </w:p>
    <w:p>
      <w:pPr>
        <w:ind w:left="160"/>
        <w:spacing w:after="0" w:line="207" w:lineRule="exact"/>
        <w:tabs>
          <w:tab w:leader="none" w:pos="500" w:val="left"/>
          <w:tab w:leader="none" w:pos="54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82"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Percent of class represented by amount in Row 9</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6.9% </w:t>
      </w:r>
      <w:r>
        <w:rPr>
          <w:rFonts w:ascii="Arial" w:cs="Arial" w:eastAsia="Arial" w:hAnsi="Arial"/>
          <w:sz w:val="18"/>
          <w:szCs w:val="18"/>
          <w:color w:val="auto"/>
        </w:rPr>
        <w:t>(1)</w:t>
      </w:r>
    </w:p>
    <w:p>
      <w:pPr>
        <w:spacing w:after="0" w:line="24" w:lineRule="exact"/>
        <w:rPr>
          <w:sz w:val="20"/>
          <w:szCs w:val="20"/>
          <w:color w:val="auto"/>
        </w:rPr>
      </w:pPr>
    </w:p>
    <w:p>
      <w:pPr>
        <w:ind w:left="160"/>
        <w:spacing w:after="0"/>
        <w:tabs>
          <w:tab w:leader="none" w:pos="5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Type of reporting person</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IA</w:t>
      </w:r>
    </w:p>
    <w:p>
      <w:pPr>
        <w:spacing w:after="0" w:line="267" w:lineRule="exact"/>
        <w:rPr>
          <w:sz w:val="20"/>
          <w:szCs w:val="20"/>
          <w:color w:val="auto"/>
        </w:rPr>
      </w:pPr>
    </w:p>
    <w:p>
      <w:pPr>
        <w:ind w:left="460" w:right="1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Reflects 33,735,038 ordinary shares outstanding as of June 30, 2017, as reported by Kornit Digital Ltd. in its Report of Foreign Private Issuer on Form 6-K filed with the Securities and Exchange Commission on September 6, 2017.</w:t>
      </w:r>
    </w:p>
    <w:p>
      <w:pPr>
        <w:sectPr>
          <w:pgSz w:w="11900" w:h="16838" w:orient="portrait"/>
          <w:cols w:equalWidth="0" w:num="1">
            <w:col w:w="11440"/>
          </w:cols>
          <w:pgMar w:left="240" w:top="274"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u w:val="single" w:color="auto"/>
          <w:color w:val="auto"/>
        </w:rPr>
        <w:t>Name of Issuer:</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Kornit Digital Ltd.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Item 1(b).</w:t>
            </w:r>
          </w:p>
        </w:tc>
        <w:tc>
          <w:tcPr>
            <w:tcW w:w="4360" w:type="dxa"/>
            <w:vAlign w:val="bottom"/>
            <w:gridSpan w:val="5"/>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344"/>
        </w:trPr>
        <w:tc>
          <w:tcPr>
            <w:tcW w:w="1040" w:type="dxa"/>
            <w:vAlign w:val="bottom"/>
          </w:tcPr>
          <w:p>
            <w:pPr>
              <w:spacing w:after="0"/>
              <w:rPr>
                <w:sz w:val="24"/>
                <w:szCs w:val="24"/>
                <w:color w:val="auto"/>
              </w:rPr>
            </w:pPr>
          </w:p>
        </w:tc>
        <w:tc>
          <w:tcPr>
            <w:tcW w:w="34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12 Ha’Amal Street, Park Afek</w:t>
            </w:r>
          </w:p>
        </w:tc>
        <w:tc>
          <w:tcPr>
            <w:tcW w:w="90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Rosh Ha’Ayin 4824096 Israel</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Item 2(a).</w:t>
            </w: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Name of Person Filing:</w:t>
            </w:r>
          </w:p>
        </w:tc>
        <w:tc>
          <w:tcPr>
            <w:tcW w:w="2680" w:type="dxa"/>
            <w:vAlign w:val="bottom"/>
            <w:gridSpan w:val="3"/>
          </w:tcPr>
          <w:p>
            <w:pPr>
              <w:spacing w:after="0"/>
              <w:rPr>
                <w:sz w:val="24"/>
                <w:szCs w:val="24"/>
                <w:color w:val="auto"/>
              </w:rPr>
            </w:pPr>
          </w:p>
        </w:tc>
      </w:tr>
      <w:tr>
        <w:trPr>
          <w:trHeight w:val="358"/>
        </w:trPr>
        <w:tc>
          <w:tcPr>
            <w:tcW w:w="104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Granahan Investment Management, Inc.</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Item 2(b).</w:t>
            </w:r>
          </w:p>
        </w:tc>
        <w:tc>
          <w:tcPr>
            <w:tcW w:w="43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Address of Principal Business Office or, if None, Residence:</w:t>
            </w:r>
          </w:p>
        </w:tc>
      </w:tr>
      <w:tr>
        <w:trPr>
          <w:trHeight w:val="344"/>
        </w:trPr>
        <w:tc>
          <w:tcPr>
            <w:tcW w:w="104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404 Wyman Street, Suite 460</w:t>
            </w:r>
          </w:p>
        </w:tc>
      </w:tr>
      <w:tr>
        <w:trPr>
          <w:trHeight w:val="230"/>
        </w:trPr>
        <w:tc>
          <w:tcPr>
            <w:tcW w:w="1040" w:type="dxa"/>
            <w:vAlign w:val="bottom"/>
          </w:tcPr>
          <w:p>
            <w:pPr>
              <w:spacing w:after="0"/>
              <w:rPr>
                <w:sz w:val="20"/>
                <w:szCs w:val="20"/>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Waltham, MA 02451</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Item 2(c).</w:t>
            </w:r>
          </w:p>
        </w:tc>
        <w:tc>
          <w:tcPr>
            <w:tcW w:w="4360" w:type="dxa"/>
            <w:vAlign w:val="bottom"/>
            <w:gridSpan w:val="5"/>
          </w:tcPr>
          <w:p>
            <w:pPr>
              <w:spacing w:after="0"/>
              <w:rPr>
                <w:sz w:val="20"/>
                <w:szCs w:val="20"/>
                <w:color w:val="auto"/>
              </w:rPr>
            </w:pPr>
            <w:r>
              <w:rPr>
                <w:rFonts w:ascii="Arial" w:cs="Arial" w:eastAsia="Arial" w:hAnsi="Arial"/>
                <w:sz w:val="18"/>
                <w:szCs w:val="18"/>
                <w:color w:val="auto"/>
              </w:rPr>
              <w:t>Citizenship:</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Massachusetts</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Item 2(d).</w:t>
            </w: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Title of Class of Securities:</w:t>
            </w:r>
          </w:p>
        </w:tc>
        <w:tc>
          <w:tcPr>
            <w:tcW w:w="2400" w:type="dxa"/>
            <w:vAlign w:val="bottom"/>
            <w:gridSpan w:val="2"/>
          </w:tcPr>
          <w:p>
            <w:pPr>
              <w:spacing w:after="0"/>
              <w:rPr>
                <w:sz w:val="24"/>
                <w:szCs w:val="24"/>
                <w:color w:val="auto"/>
              </w:rPr>
            </w:pPr>
          </w:p>
        </w:tc>
      </w:tr>
      <w:tr>
        <w:trPr>
          <w:trHeight w:val="358"/>
        </w:trPr>
        <w:tc>
          <w:tcPr>
            <w:tcW w:w="104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Ordinary shares of NIS 0.01 par value per share</w:t>
            </w:r>
          </w:p>
        </w:tc>
      </w:tr>
      <w:tr>
        <w:trPr>
          <w:trHeight w:val="540"/>
        </w:trPr>
        <w:tc>
          <w:tcPr>
            <w:tcW w:w="1040" w:type="dxa"/>
            <w:vAlign w:val="bottom"/>
          </w:tcPr>
          <w:p>
            <w:pPr>
              <w:spacing w:after="0"/>
              <w:rPr>
                <w:sz w:val="20"/>
                <w:szCs w:val="20"/>
                <w:color w:val="auto"/>
              </w:rPr>
            </w:pPr>
            <w:r>
              <w:rPr>
                <w:rFonts w:ascii="Arial" w:cs="Arial" w:eastAsia="Arial" w:hAnsi="Arial"/>
                <w:sz w:val="18"/>
                <w:szCs w:val="18"/>
                <w:color w:val="auto"/>
              </w:rPr>
              <w:t>Item 2(e).</w:t>
            </w:r>
          </w:p>
        </w:tc>
        <w:tc>
          <w:tcPr>
            <w:tcW w:w="4360" w:type="dxa"/>
            <w:vAlign w:val="bottom"/>
            <w:gridSpan w:val="5"/>
          </w:tcPr>
          <w:p>
            <w:pPr>
              <w:spacing w:after="0"/>
              <w:rPr>
                <w:sz w:val="20"/>
                <w:szCs w:val="20"/>
                <w:color w:val="auto"/>
              </w:rPr>
            </w:pPr>
            <w:r>
              <w:rPr>
                <w:rFonts w:ascii="Arial" w:cs="Arial" w:eastAsia="Arial" w:hAnsi="Arial"/>
                <w:sz w:val="18"/>
                <w:szCs w:val="18"/>
                <w:color w:val="auto"/>
              </w:rPr>
              <w:t>CUSIP No.:</w:t>
            </w: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58"/>
        </w:trPr>
        <w:tc>
          <w:tcPr>
            <w:tcW w:w="1040" w:type="dxa"/>
            <w:vAlign w:val="bottom"/>
          </w:tcPr>
          <w:p>
            <w:pPr>
              <w:spacing w:after="0"/>
              <w:rPr>
                <w:sz w:val="24"/>
                <w:szCs w:val="24"/>
                <w:color w:val="auto"/>
              </w:rPr>
            </w:pPr>
          </w:p>
        </w:tc>
        <w:tc>
          <w:tcPr>
            <w:tcW w:w="4360" w:type="dxa"/>
            <w:vAlign w:val="bottom"/>
            <w:gridSpan w:val="5"/>
          </w:tcPr>
          <w:p>
            <w:pPr>
              <w:spacing w:after="0"/>
              <w:rPr>
                <w:sz w:val="20"/>
                <w:szCs w:val="20"/>
                <w:color w:val="auto"/>
              </w:rPr>
            </w:pPr>
            <w:r>
              <w:rPr>
                <w:rFonts w:ascii="Arial" w:cs="Arial" w:eastAsia="Arial" w:hAnsi="Arial"/>
                <w:sz w:val="18"/>
                <w:szCs w:val="18"/>
                <w:color w:val="auto"/>
              </w:rPr>
              <w:t>M6372Q113</w:t>
            </w:r>
          </w:p>
        </w:tc>
      </w:tr>
    </w:tbl>
    <w:p>
      <w:pPr>
        <w:spacing w:after="0" w:line="35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If This Statement is Filed Pursuant to §§ 240.13d-1(b) or 240.13d-2(b) or (c), Check Whether the Person Filing is a:</w:t>
      </w:r>
    </w:p>
    <w:p>
      <w:pPr>
        <w:spacing w:after="0" w:line="220" w:lineRule="exact"/>
        <w:rPr>
          <w:sz w:val="20"/>
          <w:szCs w:val="20"/>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ind w:left="1080" w:hanging="613"/>
        <w:spacing w:after="0" w:line="207" w:lineRule="exact"/>
        <w:tabs>
          <w:tab w:leader="none" w:pos="10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460" w:right="700" w:hanging="993"/>
        <w:spacing w:after="0" w:line="239" w:lineRule="exact"/>
        <w:tabs>
          <w:tab w:leader="none" w:pos="1095"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117" w:lineRule="exact"/>
        <w:rPr>
          <w:rFonts w:ascii="Arial" w:cs="Arial" w:eastAsia="Arial" w:hAnsi="Arial"/>
          <w:sz w:val="18"/>
          <w:szCs w:val="18"/>
          <w:color w:val="auto"/>
        </w:rPr>
      </w:pPr>
    </w:p>
    <w:p>
      <w:pPr>
        <w:ind w:left="1080" w:hanging="613"/>
        <w:spacing w:after="0" w:line="207" w:lineRule="exact"/>
        <w:tabs>
          <w:tab w:leader="none" w:pos="1080" w:val="left"/>
        </w:tabs>
        <w:numPr>
          <w:ilvl w:val="0"/>
          <w:numId w:val="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w:t>
      </w:r>
    </w:p>
    <w:p>
      <w:pPr>
        <w:spacing w:after="0" w:line="200" w:lineRule="exact"/>
        <w:rPr>
          <w:sz w:val="20"/>
          <w:szCs w:val="20"/>
          <w:color w:val="auto"/>
        </w:rPr>
      </w:pP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Ownership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2,331,724</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6.9%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1,034,910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2,331,724</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5 Percent or Less of a Class</w:t>
      </w:r>
    </w:p>
    <w:p>
      <w:pPr>
        <w:spacing w:after="0" w:line="117" w:lineRule="exact"/>
        <w:rPr>
          <w:sz w:val="20"/>
          <w:szCs w:val="20"/>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Ownership of More than 5 Percent on Behalf of Another Person</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040" w:right="80" w:hanging="1025"/>
        <w:spacing w:after="0" w:line="277" w:lineRule="auto"/>
        <w:tabs>
          <w:tab w:leader="none" w:pos="10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 or Control Person</w:t>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u w:val="single" w:color="auto"/>
          <w:color w:val="auto"/>
        </w:rPr>
        <w:t>Identification and Classification of Members of the Group</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u w:val="single" w:color="auto"/>
          <w:color w:val="auto"/>
        </w:rPr>
        <w:t>Notice of Dissolution of Group</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u w:val="single" w:color="auto"/>
          <w:color w:val="auto"/>
        </w:rPr>
        <w:t>Certifications</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131"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CUSIP No. M6372Q113</w:t>
      </w:r>
      <w:r>
        <w:rPr>
          <w:sz w:val="20"/>
          <w:szCs w:val="20"/>
          <w:color w:val="auto"/>
        </w:rPr>
        <w:tab/>
      </w:r>
      <w:r>
        <w:rPr>
          <w:rFonts w:ascii="Arial" w:cs="Arial" w:eastAsia="Arial" w:hAnsi="Arial"/>
          <w:sz w:val="16"/>
          <w:szCs w:val="16"/>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GRANAHAN INVESTMENT MANAGEMENT, INC.</w:t>
      </w:r>
    </w:p>
    <w:p>
      <w:pPr>
        <w:spacing w:after="0" w:line="229" w:lineRule="exact"/>
        <w:rPr>
          <w:sz w:val="20"/>
          <w:szCs w:val="20"/>
          <w:color w:val="auto"/>
        </w:rPr>
      </w:pPr>
    </w:p>
    <w:p>
      <w:pPr>
        <w:spacing w:after="0"/>
        <w:tabs>
          <w:tab w:leader="none" w:pos="612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6"/>
          <w:szCs w:val="16"/>
          <w:color w:val="auto"/>
        </w:rPr>
        <w:t>By:  /s/ Jane 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Jane M. White,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7"/>
    </w:lvl>
  </w:abstractNum>
  <w:abstractNum w:abstractNumId="5">
    <w:nsid w:val="507ED7A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2019-12-21T00:28:06Z</dcterms:created>
  <dcterms:modified xsi:type="dcterms:W3CDTF">2019-12-21T00:28:06Z</dcterms:modified>
</cp:coreProperties>
</file>