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May 2016</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Commission File Number 001-36903</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600" w:right="1719" w:hanging="4588"/>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On May 3, 2016, Kornit Digital Ltd. issued a press release entitled “Kornit Digital Reports 2016 First Quarter Results.” A copy of this press release is furnished as Exhibit 99.1 hereto.</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gridSpan w:val="2"/>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220" w:type="dxa"/>
            <w:vAlign w:val="bottom"/>
            <w:tcBorders>
              <w:top w:val="single" w:sz="8" w:color="CCEEFF"/>
            </w:tcBorders>
            <w:shd w:val="clear" w:color="auto" w:fill="CCEEFF"/>
          </w:tcPr>
          <w:p>
            <w:pPr>
              <w:spacing w:after="0"/>
              <w:rPr>
                <w:sz w:val="18"/>
                <w:szCs w:val="18"/>
                <w:color w:val="auto"/>
              </w:rPr>
            </w:pPr>
          </w:p>
        </w:tc>
        <w:tc>
          <w:tcPr>
            <w:tcW w:w="10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 release dated May 3, 2016 entitled “Kornit Digital Reports 2016 First Quarter Results”</w:t>
            </w:r>
          </w:p>
        </w:tc>
      </w:tr>
      <w:tr>
        <w:trPr>
          <w:trHeight w:val="655"/>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4" w:name="page5"/>
    <w:bookmarkEnd w:id="4"/>
    <w:p>
      <w:pPr>
        <w:ind w:left="10440"/>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Reports 2016 First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quarter 2016 revenues of $21.8 million, an increase of 24.0% over the prior-year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quarter GAAP net loss of $0.2 million, or net loss of $0.01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quarter non-GAAP net income of $0.6 million, or $0.02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Non-GAAP gross margin of 48.7%; an increase of 300 basis points over the prior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 presented Storm Hexa at FESPA; resulting in multiple orders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ROSH-HA`AYIN, Israel, May 03, 2016 (GLOBE NEWSWIRE) -- Kornit Digital Ltd. (NASDAQ:KRNT), a leading provider of digital printing solutions for the global printed textile industry, today reported results for the first quarter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the first quarter of 2016 were $21.8 million, a 24.0% increase over the prior year period of $17.6 million. Higher sales were attributable to wide spread growth across the Company’s products.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Non-GAAP net income in the first quarter of 2016 was $0.6 million, or $0.02 per diluted share, compared to prior-year net income of $0.9 million. On a GAAP basis, the Company reported net loss of $0.2 million, or $0.01 per diluted share, compared to a net loss of $0.2 million, in the first quarter of 2015.</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Gabi Seligsohn, Kornit Digital’s Chief Executive Officer, commented, “In the first quarter of 2016 we continued to show strong revenue growth of 24.0% year over year, which, despite being our seasonally weakest quarter, showed continued momentum across our product categories. We believe we are firmly positioned for future growth, and expect a particularly strong second half driven by new system offerings and supported by large accounts with multi-system delivery plans.”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Seligsohn continued, “In the first quarter, we were very pleased with the customer response to our new Storm Hexa platform which was introduced at Fespa. Customers were especially enthusiastic about the significant improvements offered in the areas of cost per print, print quality and throughput. As the year progresses, we will be adding a number of new products focused on these three attributes. Overall, I am excited and encouraged about the growth we have seen, which we anticipate will continue throughout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2016 Results of Operations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first quarter of 2016, Kornit reported revenues of $21.8 million, an increase of 24.0% compared with the prior-year level of $17.6 million. Higher sales were the result of higher volume of systems sold and ink.</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gross profit in the first quarter was $10.6 million, or 48.7% of sales, compared with $8.0 million, or 45.7% of sales in the prior-year. On a GAAP basis, first quarter gross profit was $10.5 million, compared with $7.9 million, in the prior-year. Higher gross margins primarily reflected a favorable sales mix of high throughput systems, and an increased contribution from ink and consumables during the current period.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Non-GAAP operating expenses in the first quarter increased to $9.9 million, or 45.6% of sales, compared to $6.7 million, or 37.9% of sales in the prior year. On a GAAP basis, total operating expenses in the first quarter were $10.6 million, compared to $7.7 million in the prior period. The increase in total operating expenses was consistent with the investment strategy previously discussed, as Kornit continues to execute its global infrastructure build out.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quarter non-GAAP research and development expenses were $3.6 million, or 16.6% of sales, compared to $2.7 million, or 15.5% of sales in the prior-year. First quarter GAAP research and development expenses were $3.7 million, compared to the prior-year period of $2.9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operating income in the first quarter decreased to $0.7 million, compared to $1.4 million in the prior year. As a percent of sales, Non-GAAP operating margin for the first quarter was 3.1% of sales, compared with 7.9% of sales in the prior year. On a GAAP basis, first quarter operating loss was $0.2 million, compared to the prior year period profit of $0.3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Non-GAAP net earnings for the first quarter of 2016 were $0.6 million, or $0.02 per diluted share, compared to $0.9 million in the prior year period. On a GAAP basis, the Company reported net loss of $0.2 million, or net loss of $0.01 per diluted share, compared to a net loss of $0.2 million,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Balance Sheet and Cash Flow</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March 31, 2016, the Company had cash and cash equivalents, deposits and marketable securities of $70.7 million, and no long-term debt. Cash flow used in operation activity for the first quarter of 2016 were $ 3.0 million, primarily due to the increase of inventories.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2016 Guidance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discuss the details of its guidance live during its earnings conference call, which will be available for replay via webcast at ir.kornit.com.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Gabi Seligsohn, the Company’s Chief Executive Officer, and Guy Avidan, the Company’s Chief Financial Officer, will host a conference call today at 5:00 p.m. ET, or 12:00 a.m. Israel time, to discuss the results, followed by a question and answer session for the investment community. A live webcast of the call can be accessed at ir.kornit.com. To access the call, participants may dial toll-free at 1-888-428-9473 or +1-719-325-2495 (international). The toll-free Israeli number is 1 80 924 5906. The confirmation code is 5840551.</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1-877-870-5176 or +1-858-384-5517 (international) and enter confirmation code 5840551. The telephonic replay will be available beginning at 8:00 p.m. ET on Tuesday, May 3, 2016, and will last through 11:59 p.m. ET May 17, 2016. The call will also be available for replay via the webcast link on Kornit’s Investor Relations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such as our Storm Hexa,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Annual Report on Form 20-F filed with the U.S. Securities and Exchange Commission on March 17, 2016.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Non-GAAP financial measures consist of GAAP financial measures adjusted to exclude acquisition related expenses, share-based compensation expenses and amortization of acquired intangible assets.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Kornit develops, designs and markets innovative digital printing solutions for the global printed textile industry. Kornit’s solution includes its proprietary digital printing systems, ink and other consumables, associated software and value added services. Kornit’s vision is to revolutionize the textile industry by facilitating the transition from analog processes that have not evolved for decades to digital methods of production that address contemporary supply, demand and environmental dynamics. Kornit is a global company headquartered in Rosh-Ha`Ayin, Israel, with U.S. offices in Mequon, Wisconsin and additional sales, support and marketing offices in Germany and Hong Kong.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ectPr>
          <w:pgSz w:w="11900" w:h="16838" w:orient="portrait"/>
          <w:cols w:equalWidth="0" w:num="1">
            <w:col w:w="11420"/>
          </w:cols>
          <w:pgMar w:left="240" w:top="8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General and administrative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income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Income (loss) before 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60" w:type="dxa"/>
            <w:vAlign w:val="bottom"/>
          </w:tcPr>
          <w:p>
            <w:pPr>
              <w:spacing w:after="0"/>
              <w:rPr>
                <w:sz w:val="21"/>
                <w:szCs w:val="21"/>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431"/>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21,835</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17,610</w:t>
            </w:r>
          </w:p>
        </w:tc>
        <w:tc>
          <w:tcPr>
            <w:tcW w:w="60" w:type="dxa"/>
            <w:vAlign w:val="bottom"/>
          </w:tcPr>
          <w:p>
            <w:pPr>
              <w:spacing w:after="0"/>
              <w:rPr>
                <w:sz w:val="24"/>
                <w:szCs w:val="24"/>
                <w:color w:val="auto"/>
              </w:rPr>
            </w:pPr>
          </w:p>
        </w:tc>
      </w:tr>
      <w:tr>
        <w:trPr>
          <w:trHeight w:val="237"/>
        </w:trPr>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11,365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9,672</w:t>
            </w:r>
          </w:p>
        </w:tc>
        <w:tc>
          <w:tcPr>
            <w:tcW w:w="60" w:type="dxa"/>
            <w:vAlign w:val="bottom"/>
          </w:tcPr>
          <w:p>
            <w:pPr>
              <w:spacing w:after="0"/>
              <w:rPr>
                <w:sz w:val="20"/>
                <w:szCs w:val="20"/>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7,938</w:t>
            </w:r>
          </w:p>
        </w:tc>
        <w:tc>
          <w:tcPr>
            <w:tcW w:w="60" w:type="dxa"/>
            <w:vAlign w:val="bottom"/>
          </w:tcPr>
          <w:p>
            <w:pPr>
              <w:spacing w:after="0"/>
              <w:rPr>
                <w:sz w:val="19"/>
                <w:szCs w:val="19"/>
                <w:color w:val="auto"/>
              </w:rPr>
            </w:pPr>
          </w:p>
        </w:tc>
      </w:tr>
      <w:tr>
        <w:trPr>
          <w:trHeight w:val="634"/>
        </w:trPr>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3,755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2,851</w:t>
            </w:r>
          </w:p>
        </w:tc>
        <w:tc>
          <w:tcPr>
            <w:tcW w:w="60" w:type="dxa"/>
            <w:vAlign w:val="bottom"/>
          </w:tcPr>
          <w:p>
            <w:pPr>
              <w:spacing w:after="0"/>
              <w:rPr>
                <w:sz w:val="24"/>
                <w:szCs w:val="24"/>
                <w:color w:val="auto"/>
              </w:rPr>
            </w:pPr>
          </w:p>
        </w:tc>
      </w:tr>
      <w:tr>
        <w:trPr>
          <w:trHeight w:val="230"/>
        </w:trPr>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2,655</w:t>
            </w:r>
          </w:p>
        </w:tc>
        <w:tc>
          <w:tcPr>
            <w:tcW w:w="60" w:type="dxa"/>
            <w:vAlign w:val="bottom"/>
          </w:tcPr>
          <w:p>
            <w:pPr>
              <w:spacing w:after="0"/>
              <w:rPr>
                <w:sz w:val="19"/>
                <w:szCs w:val="19"/>
                <w:color w:val="auto"/>
              </w:rPr>
            </w:pPr>
          </w:p>
        </w:tc>
      </w:tr>
      <w:tr>
        <w:trPr>
          <w:trHeight w:val="237"/>
        </w:trPr>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2,155</w:t>
            </w:r>
          </w:p>
        </w:tc>
        <w:tc>
          <w:tcPr>
            <w:tcW w:w="60" w:type="dxa"/>
            <w:vAlign w:val="bottom"/>
          </w:tcPr>
          <w:p>
            <w:pPr>
              <w:spacing w:after="0"/>
              <w:rPr>
                <w:sz w:val="20"/>
                <w:szCs w:val="20"/>
                <w:color w:val="auto"/>
              </w:rPr>
            </w:pPr>
          </w:p>
        </w:tc>
      </w:tr>
      <w:tr>
        <w:trPr>
          <w:trHeight w:val="202"/>
        </w:trPr>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10,629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7,661</w:t>
            </w:r>
          </w:p>
        </w:tc>
        <w:tc>
          <w:tcPr>
            <w:tcW w:w="6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r>
      <w:tr>
        <w:trPr>
          <w:trHeight w:val="251"/>
        </w:trPr>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r>
      <w:tr>
        <w:trPr>
          <w:trHeight w:val="431"/>
        </w:trPr>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2">
            <w:col w:w="8100" w:space="720"/>
            <w:col w:w="2600"/>
          </w:cols>
          <w:pgMar w:left="240" w:top="895"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basic and diluted net loss per share</w:t>
            </w: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30,361,653</w:t>
            </w: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8,973,224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40" w:type="dxa"/>
            <w:vAlign w:val="bottom"/>
            <w:tcBorders>
              <w:top w:val="single" w:sz="8" w:color="CCEEFF"/>
              <w:bottom w:val="single" w:sz="8" w:color="CCEEFF"/>
            </w:tcBorders>
            <w:vMerge w:val="restart"/>
          </w:tcPr>
          <w:p>
            <w:pPr>
              <w:jc w:val="right"/>
              <w:ind w:right="1810"/>
              <w:spacing w:after="0"/>
              <w:rPr>
                <w:sz w:val="20"/>
                <w:szCs w:val="20"/>
                <w:color w:val="auto"/>
              </w:rPr>
            </w:pPr>
            <w:r>
              <w:rPr>
                <w:rFonts w:ascii="Arial" w:cs="Arial" w:eastAsia="Arial" w:hAnsi="Arial"/>
                <w:sz w:val="18"/>
                <w:szCs w:val="18"/>
                <w:color w:val="auto"/>
              </w:rPr>
              <w:t>3</w:t>
            </w: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76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RECONCILATION OF GAAP TO NON-GAAP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6"/>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GAAP net loss as reported</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Expenses recorded for share-based compensation</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Intangible assets amortization</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adjustments</w:t>
            </w:r>
          </w:p>
        </w:tc>
        <w:tc>
          <w:tcPr>
            <w:tcW w:w="1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GAAP diluted net income per share</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diluted net income per share</w:t>
            </w: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32,023,704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11,170,422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0" w:type="dxa"/>
            <w:vAlign w:val="bottom"/>
            <w:tcBorders>
              <w:top w:val="single" w:sz="8" w:color="CCEEFF"/>
              <w:bottom w:val="single" w:sz="8" w:color="CCEEFF"/>
            </w:tcBorders>
            <w:vMerge w:val="restart"/>
          </w:tcPr>
          <w:p>
            <w:pPr>
              <w:ind w:left="5660"/>
              <w:spacing w:after="0"/>
              <w:rPr>
                <w:sz w:val="20"/>
                <w:szCs w:val="20"/>
                <w:color w:val="auto"/>
              </w:rPr>
            </w:pPr>
            <w:r>
              <w:rPr>
                <w:rFonts w:ascii="Arial" w:cs="Arial" w:eastAsia="Arial" w:hAnsi="Arial"/>
                <w:sz w:val="18"/>
                <w:szCs w:val="18"/>
                <w:color w:val="auto"/>
              </w:rPr>
              <w:t>4</w:t>
            </w:r>
          </w:p>
        </w:tc>
        <w:tc>
          <w:tcPr>
            <w:tcW w:w="1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740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Short term bank deposits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Trade receivables,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receivables and prepaid expenses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Inventory</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18,558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Available for sale marketable securities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27,959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assets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121,574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CURRENT LIABILITIES: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Employees and payroll accruals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Accrued severance pay</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liabilities</w:t>
            </w:r>
          </w:p>
        </w:tc>
        <w:tc>
          <w:tcPr>
            <w:tcW w:w="4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SHAREHOLDERS' EQUITY</w:t>
            </w: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101,370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121,574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20" w:type="dxa"/>
            <w:vAlign w:val="bottom"/>
            <w:vMerge w:val="restart"/>
          </w:tcPr>
          <w:p>
            <w:pPr>
              <w:jc w:val="right"/>
              <w:ind w:right="297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Decrease in amortization of premium on marketable securities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Increase (decrease) in accrued severance pay, net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trade receivables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Increase in other receivables and prepaid expenses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inventory</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Changes in deferred taxes, net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long term assets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Increase (decrease) in trade payables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Decrease in deferred revenues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Foreign currency translation gain (loss) on inter company balances with foreign subsidiaries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Proceeds from bank deposits, net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or sale of marketable securities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(3,509)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Payment of deferred issuance cost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1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1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and cash equivalents at the end of the period</w:t>
            </w: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14,428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on credit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Issuance expenses on credit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2019-12-09T02:13:21Z</dcterms:created>
  <dcterms:modified xsi:type="dcterms:W3CDTF">2019-12-09T02:13:21Z</dcterms:modified>
</cp:coreProperties>
</file>