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13G/A</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(Rule 13d-102)</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INFORMATION TO BE INCLUDED IN STATEMENTS FILED PURSUANT TO RULES 13d-1(b), (c) AND (d)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 AMENDMENTS THERETO FILED PURSUANT TO RULE 13d-2(b)</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17145</wp:posOffset>
            </wp:positionV>
            <wp:extent cx="2418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8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8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87" w:lineRule="exact"/>
        <w:rPr>
          <w:sz w:val="24"/>
          <w:szCs w:val="24"/>
          <w:color w:val="auto"/>
        </w:rPr>
      </w:pPr>
    </w:p>
    <w:p>
      <w:pPr>
        <w:ind w:left="900" w:hanging="244"/>
        <w:spacing w:after="0"/>
        <w:tabs>
          <w:tab w:leader="none" w:pos="900" w:val="left"/>
        </w:tabs>
        <w:numPr>
          <w:ilvl w:val="1"/>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80" w:lineRule="exact"/>
        <w:rPr>
          <w:rFonts w:ascii="MS PGothic" w:cs="MS PGothic" w:eastAsia="MS PGothic" w:hAnsi="MS PGothic"/>
          <w:sz w:val="22"/>
          <w:szCs w:val="22"/>
          <w:color w:val="auto"/>
        </w:rPr>
      </w:pPr>
    </w:p>
    <w:p>
      <w:pPr>
        <w:ind w:left="500" w:hanging="486"/>
        <w:spacing w:after="0" w:line="277" w:lineRule="auto"/>
        <w:rPr>
          <w:rFonts w:ascii="MS PGothic" w:cs="MS PGothic" w:eastAsia="MS PGothic" w:hAnsi="MS PGothic"/>
          <w:sz w:val="22"/>
          <w:szCs w:val="22"/>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22"/>
          <w:szCs w:val="22"/>
          <w:color w:val="auto"/>
        </w:rPr>
      </w:pPr>
    </w:p>
    <w:p>
      <w:pPr>
        <w:jc w:val="both"/>
        <w:ind w:left="500"/>
        <w:spacing w:after="0" w:line="264" w:lineRule="auto"/>
        <w:rPr>
          <w:rFonts w:ascii="MS PGothic" w:cs="MS PGothic" w:eastAsia="MS PGothic" w:hAnsi="MS PGothic"/>
          <w:sz w:val="22"/>
          <w:szCs w:val="22"/>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6457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7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7" w:lineRule="auto"/>
        <w:tabs>
          <w:tab w:leader="none" w:pos="1431" w:val="left"/>
        </w:tabs>
        <w:numPr>
          <w:ilvl w:val="0"/>
          <w:numId w:val="4"/>
        </w:numPr>
        <w:rPr>
          <w:rFonts w:ascii="Arial" w:cs="Arial" w:eastAsia="Arial" w:hAnsi="Arial"/>
          <w:sz w:val="65"/>
          <w:szCs w:val="65"/>
          <w:b w:val="1"/>
          <w:bCs w:val="1"/>
          <w:color w:val="auto"/>
          <w:vertAlign w:val="subscript"/>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Clal Insurance Enterprises Holdings Ltd.</w:t>
      </w:r>
    </w:p>
    <w:p>
      <w:pPr>
        <w:spacing w:after="0" w:line="7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tbl>
      <w:tblPr>
        <w:tblLayout w:type="fixed"/>
        <w:tblInd w:w="0" w:type="dxa"/>
        <w:tblCellMar>
          <w:top w:w="0" w:type="dxa"/>
          <w:left w:w="0" w:type="dxa"/>
          <w:bottom w:w="0" w:type="dxa"/>
          <w:right w:w="0" w:type="dxa"/>
        </w:tblCellMar>
      </w:tblPr>
      <w:tr>
        <w:trPr>
          <w:trHeight w:val="59"/>
        </w:trPr>
        <w:tc>
          <w:tcPr>
            <w:tcW w:w="2060" w:type="dxa"/>
            <w:vAlign w:val="bottom"/>
            <w:vMerge w:val="restart"/>
          </w:tcPr>
          <w:p>
            <w:pPr>
              <w:jc w:val="right"/>
              <w:ind w:right="1174"/>
              <w:spacing w:after="0" w:line="329" w:lineRule="exact"/>
              <w:rPr>
                <w:sz w:val="20"/>
                <w:szCs w:val="20"/>
                <w:color w:val="auto"/>
              </w:rPr>
            </w:pPr>
            <w:r>
              <w:rPr>
                <w:rFonts w:ascii="Arial" w:cs="Arial" w:eastAsia="Arial" w:hAnsi="Arial"/>
                <w:sz w:val="32"/>
                <w:szCs w:val="32"/>
                <w:b w:val="1"/>
                <w:bCs w:val="1"/>
                <w:color w:val="auto"/>
              </w:rPr>
              <w:t>3</w:t>
            </w:r>
          </w:p>
        </w:tc>
        <w:tc>
          <w:tcPr>
            <w:tcW w:w="680" w:type="dxa"/>
            <w:vAlign w:val="bottom"/>
          </w:tcPr>
          <w:p>
            <w:pPr>
              <w:spacing w:after="0"/>
              <w:rPr>
                <w:sz w:val="5"/>
                <w:szCs w:val="5"/>
                <w:color w:val="auto"/>
              </w:rPr>
            </w:pPr>
          </w:p>
        </w:tc>
        <w:tc>
          <w:tcPr>
            <w:tcW w:w="8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vMerge w:val="continue"/>
          </w:tcPr>
          <w:p>
            <w:pPr>
              <w:spacing w:after="0"/>
              <w:rPr>
                <w:sz w:val="23"/>
                <w:szCs w:val="23"/>
                <w:color w:val="auto"/>
              </w:rPr>
            </w:pPr>
          </w:p>
        </w:tc>
        <w:tc>
          <w:tcPr>
            <w:tcW w:w="68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4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420" w:type="dxa"/>
            <w:vAlign w:val="bottom"/>
            <w:gridSpan w:val="6"/>
          </w:tcPr>
          <w:p>
            <w:pPr>
              <w:ind w:left="1420"/>
              <w:spacing w:after="0" w:line="182" w:lineRule="exact"/>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37"/>
        </w:trPr>
        <w:tc>
          <w:tcPr>
            <w:tcW w:w="2060" w:type="dxa"/>
            <w:vAlign w:val="bottom"/>
          </w:tcPr>
          <w:p>
            <w:pPr>
              <w:jc w:val="right"/>
              <w:ind w:right="1174"/>
              <w:spacing w:after="0" w:line="336" w:lineRule="exact"/>
              <w:rPr>
                <w:sz w:val="20"/>
                <w:szCs w:val="20"/>
                <w:color w:val="auto"/>
              </w:rPr>
            </w:pPr>
            <w:r>
              <w:rPr>
                <w:rFonts w:ascii="Arial" w:cs="Arial" w:eastAsia="Arial" w:hAnsi="Arial"/>
                <w:sz w:val="32"/>
                <w:szCs w:val="32"/>
                <w:b w:val="1"/>
                <w:bCs w:val="1"/>
                <w:color w:val="auto"/>
              </w:rPr>
              <w:t>4</w:t>
            </w:r>
          </w:p>
        </w:tc>
        <w:tc>
          <w:tcPr>
            <w:tcW w:w="6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60" w:type="dxa"/>
            <w:vAlign w:val="bottom"/>
          </w:tcPr>
          <w:p>
            <w:pPr>
              <w:jc w:val="right"/>
              <w:ind w:right="114"/>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20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21"/>
                <w:szCs w:val="21"/>
                <w:color w:val="auto"/>
              </w:rPr>
            </w:pPr>
          </w:p>
        </w:tc>
        <w:tc>
          <w:tcPr>
            <w:tcW w:w="8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680" w:type="dxa"/>
            <w:vAlign w:val="bottom"/>
            <w:gridSpan w:val="4"/>
          </w:tcPr>
          <w:p>
            <w:pPr>
              <w:ind w:left="40"/>
              <w:spacing w:after="0"/>
              <w:rPr>
                <w:sz w:val="20"/>
                <w:szCs w:val="20"/>
                <w:color w:val="auto"/>
              </w:rPr>
            </w:pPr>
            <w:r>
              <w:rPr>
                <w:rFonts w:ascii="Arial" w:cs="Arial" w:eastAsia="Arial" w:hAnsi="Arial"/>
                <w:sz w:val="18"/>
                <w:szCs w:val="18"/>
                <w:color w:val="auto"/>
              </w:rPr>
              <w:t>2,294,938 Ordinary Shares *</w:t>
            </w: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9"/>
                <w:szCs w:val="9"/>
                <w:color w:val="auto"/>
              </w:rPr>
            </w:pPr>
          </w:p>
        </w:tc>
        <w:tc>
          <w:tcPr>
            <w:tcW w:w="8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6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20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gridSpan w:val="4"/>
            <w:vMerge w:val="restart"/>
          </w:tcPr>
          <w:p>
            <w:pPr>
              <w:ind w:left="40"/>
              <w:spacing w:after="0"/>
              <w:rPr>
                <w:sz w:val="20"/>
                <w:szCs w:val="20"/>
                <w:color w:val="auto"/>
              </w:rPr>
            </w:pPr>
            <w:r>
              <w:rPr>
                <w:rFonts w:ascii="Arial" w:cs="Arial" w:eastAsia="Arial" w:hAnsi="Arial"/>
                <w:sz w:val="18"/>
                <w:szCs w:val="18"/>
                <w:color w:val="auto"/>
              </w:rPr>
              <w:t>2,294,938 Ordinary Shares *</w:t>
            </w: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620"/>
        <w:spacing w:after="0" w:line="215" w:lineRule="auto"/>
        <w:rPr>
          <w:sz w:val="20"/>
          <w:szCs w:val="20"/>
          <w:color w:val="auto"/>
        </w:rPr>
      </w:pPr>
      <w:r>
        <w:rPr>
          <w:rFonts w:ascii="Arial" w:cs="Arial" w:eastAsia="Arial" w:hAnsi="Arial"/>
          <w:sz w:val="32"/>
          <w:szCs w:val="32"/>
          <w:b w:val="1"/>
          <w:bCs w:val="1"/>
          <w:color w:val="auto"/>
        </w:rPr>
        <w:t>9</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2,294,938 Ordinary Shares *</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211" w:lineRule="auto"/>
        <w:rPr>
          <w:sz w:val="20"/>
          <w:szCs w:val="20"/>
          <w:color w:val="auto"/>
        </w:rPr>
      </w:pPr>
      <w:r>
        <w:rPr>
          <w:rFonts w:ascii="Arial" w:cs="Arial" w:eastAsia="Arial" w:hAnsi="Arial"/>
          <w:sz w:val="32"/>
          <w:szCs w:val="32"/>
          <w:b w:val="1"/>
          <w:bCs w:val="1"/>
          <w:color w:val="auto"/>
        </w:rPr>
        <w:t>10</w:t>
      </w:r>
    </w:p>
    <w:p>
      <w:pPr>
        <w:spacing w:after="0" w:line="1" w:lineRule="exact"/>
        <w:rPr>
          <w:sz w:val="20"/>
          <w:szCs w:val="20"/>
          <w:color w:val="auto"/>
        </w:rPr>
      </w:pPr>
    </w:p>
    <w:p>
      <w:pPr>
        <w:ind w:left="1420"/>
        <w:spacing w:after="0" w:line="181" w:lineRule="exact"/>
        <w:rPr>
          <w:sz w:val="20"/>
          <w:szCs w:val="20"/>
          <w:color w:val="auto"/>
        </w:rPr>
      </w:pPr>
      <w:r>
        <w:rPr>
          <w:rFonts w:ascii="MS PGothic" w:cs="MS PGothic" w:eastAsia="MS PGothic" w:hAnsi="MS PGothic"/>
          <w:sz w:val="18"/>
          <w:szCs w:val="18"/>
          <w:color w:val="auto"/>
        </w:rPr>
        <w:t>☐</w:t>
      </w:r>
    </w:p>
    <w:p>
      <w:pPr>
        <w:spacing w:after="0" w:line="11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215" w:lineRule="auto"/>
        <w:rPr>
          <w:sz w:val="20"/>
          <w:szCs w:val="20"/>
          <w:color w:val="auto"/>
        </w:rPr>
      </w:pPr>
      <w:r>
        <w:rPr>
          <w:rFonts w:ascii="Arial" w:cs="Arial" w:eastAsia="Arial" w:hAnsi="Arial"/>
          <w:sz w:val="32"/>
          <w:szCs w:val="32"/>
          <w:b w:val="1"/>
          <w:bCs w:val="1"/>
          <w:color w:val="auto"/>
        </w:rPr>
        <w:t>11</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5.6%**</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215" w:lineRule="auto"/>
        <w:rPr>
          <w:sz w:val="20"/>
          <w:szCs w:val="20"/>
          <w:color w:val="auto"/>
        </w:rPr>
      </w:pPr>
      <w:r>
        <w:rPr>
          <w:rFonts w:ascii="Arial" w:cs="Arial" w:eastAsia="Arial" w:hAnsi="Arial"/>
          <w:sz w:val="32"/>
          <w:szCs w:val="32"/>
          <w:b w:val="1"/>
          <w:bCs w:val="1"/>
          <w:color w:val="auto"/>
        </w:rPr>
        <w:t>12</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2" w:lineRule="exact"/>
        <w:rPr>
          <w:sz w:val="20"/>
          <w:szCs w:val="20"/>
          <w:color w:val="auto"/>
        </w:rPr>
      </w:pPr>
    </w:p>
    <w:p>
      <w:pPr>
        <w:ind w:firstLine="8"/>
        <w:spacing w:after="0" w:line="272" w:lineRule="auto"/>
        <w:tabs>
          <w:tab w:leader="none" w:pos="274"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40,722,459 Ordinary Shares outstanding as of January 17, 2020 (as reported by the Issuer in Exhibit 99.1 to its Report on Form 6-K filed with the Securities and Exchange Commission on January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87" w:lineRule="exact"/>
        <w:rPr>
          <w:sz w:val="20"/>
          <w:szCs w:val="20"/>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 KORNIT DIGITAL LTD. (the “Issuer”).</w:t>
      </w:r>
    </w:p>
    <w:p>
      <w:pPr>
        <w:spacing w:after="0" w:line="279"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8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12 Ha’Amal Street, Rosh-Ha’Ayin 4809246, Israel</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93" w:lineRule="exact"/>
        <w:rPr>
          <w:sz w:val="20"/>
          <w:szCs w:val="20"/>
          <w:color w:val="auto"/>
        </w:rPr>
      </w:pPr>
    </w:p>
    <w:p>
      <w:pPr>
        <w:ind w:left="780" w:hanging="772"/>
        <w:spacing w:after="0"/>
        <w:tabs>
          <w:tab w:leader="none" w:pos="78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87" w:lineRule="exact"/>
        <w:rPr>
          <w:sz w:val="20"/>
          <w:szCs w:val="20"/>
          <w:color w:val="auto"/>
        </w:rPr>
      </w:pPr>
    </w:p>
    <w:p>
      <w:pPr>
        <w:ind w:right="120"/>
        <w:spacing w:after="0" w:line="276" w:lineRule="auto"/>
        <w:rPr>
          <w:sz w:val="20"/>
          <w:szCs w:val="20"/>
          <w:color w:val="auto"/>
        </w:rPr>
      </w:pPr>
      <w:r>
        <w:rPr>
          <w:rFonts w:ascii="Arial" w:cs="Arial" w:eastAsia="Arial" w:hAnsi="Arial"/>
          <w:sz w:val="22"/>
          <w:szCs w:val="22"/>
          <w:color w:val="auto"/>
        </w:rPr>
        <w:t>Clal Insurance Enterprises Holdings Ltd. (“Clal” or the “Reporting Person”). Clal, an Israeli public corporation, may be deemed to beneficially own the Ordinary Shares reported in this Statement. See Item 4.</w:t>
      </w:r>
    </w:p>
    <w:p>
      <w:pPr>
        <w:spacing w:after="0" w:line="22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Offices or, if none, Residence:</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Clal Insurance Enterprises Holdings Ltd. – 36 Raul Walenberg St., Tel Aviv 66180, Israel</w:t>
      </w:r>
    </w:p>
    <w:p>
      <w:pPr>
        <w:spacing w:after="0" w:line="281"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of Organization:</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Israel.</w:t>
      </w:r>
    </w:p>
    <w:p>
      <w:pPr>
        <w:spacing w:after="0" w:line="281"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Ordinary Shares, NIS 0.01 par value (the “Ordinary Shares”).</w:t>
      </w:r>
    </w:p>
    <w:p>
      <w:pPr>
        <w:spacing w:after="0" w:line="281"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M6372Q113</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Rules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All of the 2,294,938 Ordinary Shares reported in this Statement as beneficially owned by Clal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this Statement shall not be construed as an admission by the Reporting Person that it is the beneficial owner of any of the Ordinary Shares covered by this Statement.</w:t>
      </w:r>
    </w:p>
    <w:p>
      <w:pPr>
        <w:spacing w:after="0" w:line="24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Except as set forth above, see items 5-11 of the cover page hereto for beneficial ownership, percentage of class and dispositive power of the Reporting Person, which are incorporated herein.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ind w:left="660"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660" w:right="42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ectPr>
          <w:pgSz w:w="11900" w:h="16839" w:orient="portrait"/>
          <w:cols w:equalWidth="0" w:num="1">
            <w:col w:w="11420"/>
          </w:cols>
          <w:pgMar w:left="240" w:top="396" w:right="239" w:bottom="0" w:gutter="0" w:footer="0" w:header="0"/>
        </w:sectPr>
      </w:pPr>
    </w:p>
    <w:bookmarkStart w:id="3" w:name="page4"/>
    <w:bookmarkEnd w:id="3"/>
    <w:p>
      <w:pPr>
        <w:ind w:left="6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Certifications</w:t>
      </w:r>
    </w:p>
    <w:p>
      <w:pPr>
        <w:spacing w:after="0" w:line="293" w:lineRule="exact"/>
        <w:rPr>
          <w:sz w:val="20"/>
          <w:szCs w:val="20"/>
          <w:color w:val="auto"/>
        </w:rPr>
      </w:pPr>
    </w:p>
    <w:p>
      <w:pPr>
        <w:ind w:left="660"/>
        <w:spacing w:after="0" w:line="32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324"/>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10, 2020</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CLAL INSURANCE ENTERPRISES HOLDINGS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5720"/>
        <w:spacing w:after="0"/>
        <w:tabs>
          <w:tab w:leader="none" w:pos="7620" w:val="left"/>
        </w:tabs>
        <w:rPr>
          <w:sz w:val="20"/>
          <w:szCs w:val="20"/>
          <w:color w:val="auto"/>
        </w:rPr>
      </w:pPr>
      <w:r>
        <w:rPr>
          <w:rFonts w:ascii="Arial" w:cs="Arial" w:eastAsia="Arial" w:hAnsi="Arial"/>
          <w:sz w:val="18"/>
          <w:szCs w:val="18"/>
          <w:color w:val="auto"/>
        </w:rPr>
        <w:t>BY: /s/ Eran Czerninski</w:t>
      </w:r>
      <w:r>
        <w:rPr>
          <w:sz w:val="20"/>
          <w:szCs w:val="20"/>
          <w:color w:val="auto"/>
        </w:rPr>
        <w:tab/>
      </w:r>
      <w:r>
        <w:rPr>
          <w:rFonts w:ascii="Arial" w:cs="Arial" w:eastAsia="Arial" w:hAnsi="Arial"/>
          <w:sz w:val="16"/>
          <w:szCs w:val="16"/>
          <w:color w:val="auto"/>
        </w:rPr>
        <w:t>/s/ Yossi Dory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1697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Eran Czerninski and Yossi Dory, authorized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signatories of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CLAL INSURANCE ENTERPRISES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Letter"/>
      <w:start w:val="4"/>
    </w:lvl>
  </w:abstractNum>
  <w:abstractNum w:abstractNumId="11">
    <w:nsid w:val="66EF438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2020-02-10T12:57:33Z</dcterms:created>
  <dcterms:modified xsi:type="dcterms:W3CDTF">2020-02-10T12:57:33Z</dcterms:modified>
</cp:coreProperties>
</file>