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1"/>
          <w:szCs w:val="21"/>
          <w:color w:val="auto"/>
        </w:rPr>
        <w:t>As filed with the Securities and Exchange Commission on March 27, 2025</w:t>
      </w:r>
    </w:p>
    <w:p>
      <w:pPr>
        <w:spacing w:after="0" w:line="28" w:lineRule="exact"/>
        <w:rPr>
          <w:sz w:val="24"/>
          <w:szCs w:val="24"/>
          <w:color w:val="auto"/>
        </w:rPr>
      </w:pPr>
    </w:p>
    <w:p>
      <w:pPr>
        <w:ind w:left="9300"/>
        <w:spacing w:after="0"/>
        <w:rPr>
          <w:sz w:val="20"/>
          <w:szCs w:val="20"/>
          <w:color w:val="auto"/>
        </w:rPr>
      </w:pPr>
      <w:r>
        <w:rPr>
          <w:rFonts w:ascii="Times New Roman" w:cs="Times New Roman" w:eastAsia="Times New Roman" w:hAnsi="Times New Roman"/>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36830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4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752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9"/>
              </w:rPr>
              <w:t>Israel</w:t>
            </w:r>
          </w:p>
        </w:tc>
        <w:tc>
          <w:tcPr>
            <w:tcW w:w="3720" w:type="dxa"/>
            <w:vAlign w:val="bottom"/>
          </w:tcPr>
          <w:p>
            <w:pPr>
              <w:jc w:val="center"/>
              <w:ind w:right="1691"/>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195"/>
        </w:trPr>
        <w:tc>
          <w:tcPr>
            <w:tcW w:w="552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(State or Other Jurisdiction of</w:t>
            </w:r>
          </w:p>
        </w:tc>
        <w:tc>
          <w:tcPr>
            <w:tcW w:w="220" w:type="dxa"/>
            <w:vAlign w:val="bottom"/>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3720" w:type="dxa"/>
            <w:vAlign w:val="bottom"/>
            <w:tcBorders>
              <w:top w:val="single" w:sz="8" w:color="auto"/>
            </w:tcBorders>
          </w:tcPr>
          <w:p>
            <w:pPr>
              <w:jc w:val="center"/>
              <w:ind w:right="1691"/>
              <w:spacing w:after="0" w:line="195"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2"/>
        </w:trPr>
        <w:tc>
          <w:tcPr>
            <w:tcW w:w="752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720" w:type="dxa"/>
            <w:vAlign w:val="bottom"/>
          </w:tcPr>
          <w:p>
            <w:pPr>
              <w:jc w:val="center"/>
              <w:ind w:right="1671"/>
              <w:spacing w:after="0"/>
              <w:rPr>
                <w:sz w:val="20"/>
                <w:szCs w:val="20"/>
                <w:color w:val="auto"/>
              </w:rPr>
            </w:pPr>
            <w:r>
              <w:rPr>
                <w:rFonts w:ascii="Times New Roman" w:cs="Times New Roman" w:eastAsia="Times New Roman" w:hAnsi="Times New Roman"/>
                <w:sz w:val="18"/>
                <w:szCs w:val="18"/>
                <w:color w:val="auto"/>
                <w:w w:val="98"/>
              </w:rPr>
              <w:t>Identification Number)</w:t>
            </w:r>
          </w:p>
        </w:tc>
      </w:tr>
      <w:tr>
        <w:trPr>
          <w:trHeight w:val="404"/>
        </w:trPr>
        <w:tc>
          <w:tcPr>
            <w:tcW w:w="7520" w:type="dxa"/>
            <w:vAlign w:val="bottom"/>
            <w:gridSpan w:val="3"/>
          </w:tcPr>
          <w:p>
            <w:pPr>
              <w:jc w:val="center"/>
              <w:ind w:right="1980"/>
              <w:spacing w:after="0"/>
              <w:rPr>
                <w:sz w:val="20"/>
                <w:szCs w:val="20"/>
                <w:color w:val="auto"/>
              </w:rPr>
            </w:pPr>
            <w:r>
              <w:rPr>
                <w:rFonts w:ascii="Times New Roman" w:cs="Times New Roman" w:eastAsia="Times New Roman" w:hAnsi="Times New Roman"/>
                <w:sz w:val="18"/>
                <w:szCs w:val="18"/>
                <w:b w:val="1"/>
                <w:bCs w:val="1"/>
                <w:color w:val="auto"/>
                <w:w w:val="98"/>
              </w:rPr>
              <w:t>12 Ha’ Amal Street, Afek Park,</w:t>
            </w:r>
          </w:p>
        </w:tc>
        <w:tc>
          <w:tcPr>
            <w:tcW w:w="3720" w:type="dxa"/>
            <w:vAlign w:val="bottom"/>
          </w:tcPr>
          <w:p>
            <w:pPr>
              <w:spacing w:after="0"/>
              <w:rPr>
                <w:sz w:val="24"/>
                <w:szCs w:val="24"/>
                <w:color w:val="auto"/>
              </w:rPr>
            </w:pPr>
          </w:p>
        </w:tc>
      </w:tr>
      <w:tr>
        <w:trPr>
          <w:trHeight w:val="243"/>
        </w:trPr>
        <w:tc>
          <w:tcPr>
            <w:tcW w:w="752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7"/>
              </w:rPr>
              <w:t>Rosh-Ha’Ayin, Israel</w:t>
            </w:r>
          </w:p>
        </w:tc>
        <w:tc>
          <w:tcPr>
            <w:tcW w:w="3720" w:type="dxa"/>
            <w:vAlign w:val="bottom"/>
          </w:tcPr>
          <w:p>
            <w:pPr>
              <w:jc w:val="center"/>
              <w:ind w:right="1691"/>
              <w:spacing w:after="0"/>
              <w:rPr>
                <w:sz w:val="20"/>
                <w:szCs w:val="20"/>
                <w:color w:val="auto"/>
              </w:rPr>
            </w:pPr>
            <w:r>
              <w:rPr>
                <w:rFonts w:ascii="Times New Roman" w:cs="Times New Roman" w:eastAsia="Times New Roman" w:hAnsi="Times New Roman"/>
                <w:sz w:val="18"/>
                <w:szCs w:val="18"/>
                <w:b w:val="1"/>
                <w:bCs w:val="1"/>
                <w:color w:val="auto"/>
                <w:w w:val="98"/>
              </w:rPr>
              <w:t>4809246</w:t>
            </w:r>
          </w:p>
        </w:tc>
      </w:tr>
      <w:tr>
        <w:trPr>
          <w:trHeight w:val="232"/>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(Address of principal executive offices)</w:t>
            </w:r>
          </w:p>
        </w:tc>
        <w:tc>
          <w:tcPr>
            <w:tcW w:w="220" w:type="dxa"/>
            <w:vAlign w:val="bottom"/>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c>
          <w:tcPr>
            <w:tcW w:w="3720" w:type="dxa"/>
            <w:vAlign w:val="bottom"/>
            <w:tcBorders>
              <w:top w:val="single" w:sz="8" w:color="auto"/>
            </w:tcBorders>
          </w:tcPr>
          <w:p>
            <w:pPr>
              <w:jc w:val="center"/>
              <w:ind w:right="1691"/>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90"/>
        </w:trPr>
        <w:tc>
          <w:tcPr>
            <w:tcW w:w="7520" w:type="dxa"/>
            <w:vAlign w:val="bottom"/>
            <w:gridSpan w:val="3"/>
          </w:tcPr>
          <w:p>
            <w:pPr>
              <w:jc w:val="center"/>
              <w:ind w:left="3651"/>
              <w:spacing w:after="0"/>
              <w:rPr>
                <w:sz w:val="20"/>
                <w:szCs w:val="20"/>
                <w:color w:val="auto"/>
              </w:rPr>
            </w:pPr>
            <w:r>
              <w:rPr>
                <w:rFonts w:ascii="Times New Roman" w:cs="Times New Roman" w:eastAsia="Times New Roman" w:hAnsi="Times New Roman"/>
                <w:sz w:val="18"/>
                <w:szCs w:val="18"/>
                <w:b w:val="1"/>
                <w:bCs w:val="1"/>
                <w:color w:val="auto"/>
                <w:w w:val="98"/>
              </w:rPr>
              <w:t>Kornit Digital Ltd. 2025 Share Incentive Plan</w:t>
            </w:r>
          </w:p>
        </w:tc>
        <w:tc>
          <w:tcPr>
            <w:tcW w:w="3720" w:type="dxa"/>
            <w:vAlign w:val="bottom"/>
          </w:tcPr>
          <w:p>
            <w:pPr>
              <w:spacing w:after="0"/>
              <w:rPr>
                <w:sz w:val="24"/>
                <w:szCs w:val="24"/>
                <w:color w:val="auto"/>
              </w:rPr>
            </w:pPr>
          </w:p>
        </w:tc>
      </w:tr>
      <w:tr>
        <w:trPr>
          <w:trHeight w:val="232"/>
        </w:trPr>
        <w:tc>
          <w:tcPr>
            <w:tcW w:w="7520" w:type="dxa"/>
            <w:vAlign w:val="bottom"/>
            <w:gridSpan w:val="3"/>
          </w:tcPr>
          <w:p>
            <w:pPr>
              <w:jc w:val="center"/>
              <w:ind w:left="3631"/>
              <w:spacing w:after="0"/>
              <w:rPr>
                <w:sz w:val="20"/>
                <w:szCs w:val="20"/>
                <w:color w:val="auto"/>
              </w:rPr>
            </w:pPr>
            <w:r>
              <w:rPr>
                <w:rFonts w:ascii="Times New Roman" w:cs="Times New Roman" w:eastAsia="Times New Roman" w:hAnsi="Times New Roman"/>
                <w:sz w:val="18"/>
                <w:szCs w:val="18"/>
                <w:color w:val="auto"/>
                <w:w w:val="98"/>
              </w:rPr>
              <w:t>(Full Title of the Plan)</w:t>
            </w:r>
          </w:p>
        </w:tc>
        <w:tc>
          <w:tcPr>
            <w:tcW w:w="3720" w:type="dxa"/>
            <w:vAlign w:val="bottom"/>
          </w:tcPr>
          <w:p>
            <w:pPr>
              <w:spacing w:after="0"/>
              <w:rPr>
                <w:sz w:val="20"/>
                <w:szCs w:val="20"/>
                <w:color w:val="auto"/>
              </w:rPr>
            </w:pPr>
          </w:p>
        </w:tc>
      </w:tr>
      <w:tr>
        <w:trPr>
          <w:trHeight w:val="404"/>
        </w:trPr>
        <w:tc>
          <w:tcPr>
            <w:tcW w:w="7520" w:type="dxa"/>
            <w:vAlign w:val="bottom"/>
            <w:gridSpan w:val="3"/>
          </w:tcPr>
          <w:p>
            <w:pPr>
              <w:jc w:val="center"/>
              <w:ind w:left="3631"/>
              <w:spacing w:after="0"/>
              <w:rPr>
                <w:sz w:val="20"/>
                <w:szCs w:val="20"/>
                <w:color w:val="auto"/>
              </w:rPr>
            </w:pPr>
            <w:r>
              <w:rPr>
                <w:rFonts w:ascii="Times New Roman" w:cs="Times New Roman" w:eastAsia="Times New Roman" w:hAnsi="Times New Roman"/>
                <w:sz w:val="18"/>
                <w:szCs w:val="18"/>
                <w:b w:val="1"/>
                <w:bCs w:val="1"/>
                <w:color w:val="auto"/>
                <w:w w:val="98"/>
              </w:rPr>
              <w:t>Kornit Digital North America Inc.</w:t>
            </w:r>
          </w:p>
        </w:tc>
        <w:tc>
          <w:tcPr>
            <w:tcW w:w="3720" w:type="dxa"/>
            <w:vAlign w:val="bottom"/>
          </w:tcPr>
          <w:p>
            <w:pPr>
              <w:spacing w:after="0"/>
              <w:rPr>
                <w:sz w:val="24"/>
                <w:szCs w:val="24"/>
                <w:color w:val="auto"/>
              </w:rPr>
            </w:pPr>
          </w:p>
        </w:tc>
      </w:tr>
      <w:tr>
        <w:trPr>
          <w:trHeight w:val="213"/>
        </w:trPr>
        <w:tc>
          <w:tcPr>
            <w:tcW w:w="7520" w:type="dxa"/>
            <w:vAlign w:val="bottom"/>
            <w:gridSpan w:val="3"/>
          </w:tcPr>
          <w:p>
            <w:pPr>
              <w:jc w:val="center"/>
              <w:ind w:left="3631"/>
              <w:spacing w:after="0"/>
              <w:rPr>
                <w:sz w:val="20"/>
                <w:szCs w:val="20"/>
                <w:color w:val="auto"/>
              </w:rPr>
            </w:pPr>
            <w:r>
              <w:rPr>
                <w:rFonts w:ascii="Times New Roman" w:cs="Times New Roman" w:eastAsia="Times New Roman" w:hAnsi="Times New Roman"/>
                <w:sz w:val="18"/>
                <w:szCs w:val="18"/>
                <w:b w:val="1"/>
                <w:bCs w:val="1"/>
                <w:color w:val="auto"/>
                <w:w w:val="97"/>
              </w:rPr>
              <w:t>480 South Dean Street</w:t>
            </w:r>
          </w:p>
        </w:tc>
        <w:tc>
          <w:tcPr>
            <w:tcW w:w="3720" w:type="dxa"/>
            <w:vAlign w:val="bottom"/>
          </w:tcPr>
          <w:p>
            <w:pPr>
              <w:spacing w:after="0"/>
              <w:rPr>
                <w:sz w:val="18"/>
                <w:szCs w:val="18"/>
                <w:color w:val="auto"/>
              </w:rPr>
            </w:pPr>
          </w:p>
        </w:tc>
      </w:tr>
      <w:tr>
        <w:trPr>
          <w:trHeight w:val="217"/>
        </w:trPr>
        <w:tc>
          <w:tcPr>
            <w:tcW w:w="7520" w:type="dxa"/>
            <w:vAlign w:val="bottom"/>
            <w:gridSpan w:val="3"/>
          </w:tcPr>
          <w:p>
            <w:pPr>
              <w:jc w:val="center"/>
              <w:ind w:left="3631"/>
              <w:spacing w:after="0"/>
              <w:rPr>
                <w:sz w:val="20"/>
                <w:szCs w:val="20"/>
                <w:color w:val="auto"/>
              </w:rPr>
            </w:pPr>
            <w:r>
              <w:rPr>
                <w:rFonts w:ascii="Times New Roman" w:cs="Times New Roman" w:eastAsia="Times New Roman" w:hAnsi="Times New Roman"/>
                <w:sz w:val="18"/>
                <w:szCs w:val="18"/>
                <w:b w:val="1"/>
                <w:bCs w:val="1"/>
                <w:color w:val="auto"/>
                <w:w w:val="98"/>
              </w:rPr>
              <w:t>Englewood, NJ 07631, USA</w:t>
            </w:r>
          </w:p>
        </w:tc>
        <w:tc>
          <w:tcPr>
            <w:tcW w:w="3720" w:type="dxa"/>
            <w:vAlign w:val="bottom"/>
          </w:tcPr>
          <w:p>
            <w:pPr>
              <w:spacing w:after="0"/>
              <w:rPr>
                <w:sz w:val="18"/>
                <w:szCs w:val="18"/>
                <w:color w:val="auto"/>
              </w:rPr>
            </w:pPr>
          </w:p>
        </w:tc>
      </w:tr>
      <w:tr>
        <w:trPr>
          <w:trHeight w:val="232"/>
        </w:trPr>
        <w:tc>
          <w:tcPr>
            <w:tcW w:w="7520" w:type="dxa"/>
            <w:vAlign w:val="bottom"/>
            <w:gridSpan w:val="3"/>
          </w:tcPr>
          <w:p>
            <w:pPr>
              <w:jc w:val="center"/>
              <w:ind w:left="3631"/>
              <w:spacing w:after="0"/>
              <w:rPr>
                <w:sz w:val="20"/>
                <w:szCs w:val="20"/>
                <w:color w:val="auto"/>
              </w:rPr>
            </w:pPr>
            <w:r>
              <w:rPr>
                <w:rFonts w:ascii="Times New Roman" w:cs="Times New Roman" w:eastAsia="Times New Roman" w:hAnsi="Times New Roman"/>
                <w:sz w:val="18"/>
                <w:szCs w:val="18"/>
                <w:color w:val="auto"/>
                <w:w w:val="98"/>
              </w:rPr>
              <w:t>(Name and address of agent for service)</w:t>
            </w:r>
          </w:p>
        </w:tc>
        <w:tc>
          <w:tcPr>
            <w:tcW w:w="3720" w:type="dxa"/>
            <w:vAlign w:val="bottom"/>
          </w:tcPr>
          <w:p>
            <w:pPr>
              <w:spacing w:after="0"/>
              <w:rPr>
                <w:sz w:val="20"/>
                <w:szCs w:val="20"/>
                <w:color w:val="auto"/>
              </w:rPr>
            </w:pP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 608-5750</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1" w:lineRule="exact"/>
        <w:rPr>
          <w:sz w:val="24"/>
          <w:szCs w:val="24"/>
          <w:color w:val="auto"/>
        </w:rPr>
      </w:pPr>
    </w:p>
    <w:tbl>
      <w:tblPr>
        <w:tblLayout w:type="fixed"/>
        <w:tblInd w:w="1600" w:type="dxa"/>
        <w:tblCellMar>
          <w:top w:w="0" w:type="dxa"/>
          <w:left w:w="0" w:type="dxa"/>
          <w:bottom w:w="0" w:type="dxa"/>
          <w:right w:w="0" w:type="dxa"/>
        </w:tblCellMar>
      </w:tblPr>
      <w:tr>
        <w:trPr>
          <w:trHeight w:val="232"/>
        </w:trPr>
        <w:tc>
          <w:tcPr>
            <w:tcW w:w="2640" w:type="dxa"/>
            <w:vAlign w:val="bottom"/>
          </w:tcPr>
          <w:p>
            <w:pPr>
              <w:spacing w:after="0"/>
              <w:rPr>
                <w:sz w:val="20"/>
                <w:szCs w:val="20"/>
                <w:color w:val="auto"/>
              </w:rPr>
            </w:pPr>
          </w:p>
        </w:tc>
        <w:tc>
          <w:tcPr>
            <w:tcW w:w="5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Copies of communications to:</w:t>
            </w:r>
          </w:p>
        </w:tc>
      </w:tr>
      <w:tr>
        <w:trPr>
          <w:trHeight w:val="404"/>
        </w:trPr>
        <w:tc>
          <w:tcPr>
            <w:tcW w:w="2640" w:type="dxa"/>
            <w:vAlign w:val="bottom"/>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8"/>
              </w:rPr>
              <w:t>Lauri Hanover</w:t>
            </w:r>
          </w:p>
        </w:tc>
        <w:tc>
          <w:tcPr>
            <w:tcW w:w="5300" w:type="dxa"/>
            <w:vAlign w:val="bottom"/>
          </w:tcPr>
          <w:p>
            <w:pPr>
              <w:jc w:val="center"/>
              <w:ind w:left="3111"/>
              <w:spacing w:after="0"/>
              <w:rPr>
                <w:sz w:val="20"/>
                <w:szCs w:val="20"/>
                <w:color w:val="auto"/>
              </w:rPr>
            </w:pPr>
            <w:r>
              <w:rPr>
                <w:rFonts w:ascii="Times New Roman" w:cs="Times New Roman" w:eastAsia="Times New Roman" w:hAnsi="Times New Roman"/>
                <w:sz w:val="18"/>
                <w:szCs w:val="18"/>
                <w:b w:val="1"/>
                <w:bCs w:val="1"/>
                <w:color w:val="auto"/>
                <w:w w:val="96"/>
              </w:rPr>
              <w:t>Aviv Avidan-Shalit, Adv.</w:t>
            </w:r>
          </w:p>
        </w:tc>
      </w:tr>
      <w:tr>
        <w:trPr>
          <w:trHeight w:val="213"/>
        </w:trPr>
        <w:tc>
          <w:tcPr>
            <w:tcW w:w="2640" w:type="dxa"/>
            <w:vAlign w:val="bottom"/>
          </w:tcPr>
          <w:p>
            <w:pPr>
              <w:jc w:val="center"/>
              <w:ind w:right="231"/>
              <w:spacing w:after="0"/>
              <w:rPr>
                <w:sz w:val="20"/>
                <w:szCs w:val="20"/>
                <w:color w:val="auto"/>
              </w:rPr>
            </w:pPr>
            <w:r>
              <w:rPr>
                <w:rFonts w:ascii="Times New Roman" w:cs="Times New Roman" w:eastAsia="Times New Roman" w:hAnsi="Times New Roman"/>
                <w:sz w:val="18"/>
                <w:szCs w:val="18"/>
                <w:b w:val="1"/>
                <w:bCs w:val="1"/>
                <w:color w:val="auto"/>
                <w:w w:val="98"/>
              </w:rPr>
              <w:t>Chief Financial Officer</w:t>
            </w:r>
          </w:p>
        </w:tc>
        <w:tc>
          <w:tcPr>
            <w:tcW w:w="5300" w:type="dxa"/>
            <w:vAlign w:val="bottom"/>
          </w:tcPr>
          <w:p>
            <w:pPr>
              <w:jc w:val="center"/>
              <w:ind w:left="3111"/>
              <w:spacing w:after="0"/>
              <w:rPr>
                <w:sz w:val="20"/>
                <w:szCs w:val="20"/>
                <w:color w:val="auto"/>
              </w:rPr>
            </w:pPr>
            <w:r>
              <w:rPr>
                <w:rFonts w:ascii="Times New Roman" w:cs="Times New Roman" w:eastAsia="Times New Roman" w:hAnsi="Times New Roman"/>
                <w:sz w:val="18"/>
                <w:szCs w:val="18"/>
                <w:b w:val="1"/>
                <w:bCs w:val="1"/>
                <w:color w:val="auto"/>
                <w:w w:val="98"/>
              </w:rPr>
              <w:t>Jonathan M. Nathan, Adv.</w:t>
            </w:r>
          </w:p>
        </w:tc>
      </w:tr>
      <w:tr>
        <w:trPr>
          <w:trHeight w:val="213"/>
        </w:trPr>
        <w:tc>
          <w:tcPr>
            <w:tcW w:w="2640" w:type="dxa"/>
            <w:vAlign w:val="bottom"/>
          </w:tcPr>
          <w:p>
            <w:pPr>
              <w:jc w:val="center"/>
              <w:ind w:right="231"/>
              <w:spacing w:after="0"/>
              <w:rPr>
                <w:sz w:val="20"/>
                <w:szCs w:val="20"/>
                <w:color w:val="auto"/>
              </w:rPr>
            </w:pPr>
            <w:r>
              <w:rPr>
                <w:rFonts w:ascii="Times New Roman" w:cs="Times New Roman" w:eastAsia="Times New Roman" w:hAnsi="Times New Roman"/>
                <w:sz w:val="18"/>
                <w:szCs w:val="18"/>
                <w:b w:val="1"/>
                <w:bCs w:val="1"/>
                <w:color w:val="auto"/>
                <w:w w:val="98"/>
              </w:rPr>
              <w:t>Kornit Digital Ltd.</w:t>
            </w:r>
          </w:p>
        </w:tc>
        <w:tc>
          <w:tcPr>
            <w:tcW w:w="5300" w:type="dxa"/>
            <w:vAlign w:val="bottom"/>
          </w:tcPr>
          <w:p>
            <w:pPr>
              <w:jc w:val="center"/>
              <w:ind w:left="3131"/>
              <w:spacing w:after="0"/>
              <w:rPr>
                <w:sz w:val="20"/>
                <w:szCs w:val="20"/>
                <w:color w:val="auto"/>
              </w:rPr>
            </w:pPr>
            <w:r>
              <w:rPr>
                <w:rFonts w:ascii="Times New Roman" w:cs="Times New Roman" w:eastAsia="Times New Roman" w:hAnsi="Times New Roman"/>
                <w:sz w:val="18"/>
                <w:szCs w:val="18"/>
                <w:b w:val="1"/>
                <w:bCs w:val="1"/>
                <w:color w:val="auto"/>
                <w:w w:val="98"/>
              </w:rPr>
              <w:t>Meitar | Law Offices</w:t>
            </w:r>
          </w:p>
        </w:tc>
      </w:tr>
      <w:tr>
        <w:trPr>
          <w:trHeight w:val="213"/>
        </w:trPr>
        <w:tc>
          <w:tcPr>
            <w:tcW w:w="2640" w:type="dxa"/>
            <w:vAlign w:val="bottom"/>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8"/>
              </w:rPr>
              <w:t>12 Ha’Amal Street, Afek Park,</w:t>
            </w:r>
          </w:p>
        </w:tc>
        <w:tc>
          <w:tcPr>
            <w:tcW w:w="5300" w:type="dxa"/>
            <w:vAlign w:val="bottom"/>
          </w:tcPr>
          <w:p>
            <w:pPr>
              <w:jc w:val="center"/>
              <w:ind w:left="3111"/>
              <w:spacing w:after="0"/>
              <w:rPr>
                <w:sz w:val="20"/>
                <w:szCs w:val="20"/>
                <w:color w:val="auto"/>
              </w:rPr>
            </w:pPr>
            <w:r>
              <w:rPr>
                <w:rFonts w:ascii="Times New Roman" w:cs="Times New Roman" w:eastAsia="Times New Roman" w:hAnsi="Times New Roman"/>
                <w:sz w:val="18"/>
                <w:szCs w:val="18"/>
                <w:b w:val="1"/>
                <w:bCs w:val="1"/>
                <w:color w:val="auto"/>
                <w:w w:val="98"/>
              </w:rPr>
              <w:t>16 Abba Hillel Silver Rd.</w:t>
            </w:r>
          </w:p>
        </w:tc>
      </w:tr>
      <w:tr>
        <w:trPr>
          <w:trHeight w:val="213"/>
        </w:trPr>
        <w:tc>
          <w:tcPr>
            <w:tcW w:w="2640" w:type="dxa"/>
            <w:vAlign w:val="bottom"/>
          </w:tcPr>
          <w:p>
            <w:pPr>
              <w:jc w:val="center"/>
              <w:ind w:right="231"/>
              <w:spacing w:after="0"/>
              <w:rPr>
                <w:sz w:val="20"/>
                <w:szCs w:val="20"/>
                <w:color w:val="auto"/>
              </w:rPr>
            </w:pPr>
            <w:r>
              <w:rPr>
                <w:rFonts w:ascii="Times New Roman" w:cs="Times New Roman" w:eastAsia="Times New Roman" w:hAnsi="Times New Roman"/>
                <w:sz w:val="18"/>
                <w:szCs w:val="18"/>
                <w:b w:val="1"/>
                <w:bCs w:val="1"/>
                <w:color w:val="auto"/>
                <w:w w:val="98"/>
              </w:rPr>
              <w:t>Rosh-Ha’Ayin 4809246, Israel</w:t>
            </w:r>
          </w:p>
        </w:tc>
        <w:tc>
          <w:tcPr>
            <w:tcW w:w="5300" w:type="dxa"/>
            <w:vAlign w:val="bottom"/>
          </w:tcPr>
          <w:p>
            <w:pPr>
              <w:jc w:val="center"/>
              <w:ind w:left="3131"/>
              <w:spacing w:after="0"/>
              <w:rPr>
                <w:sz w:val="20"/>
                <w:szCs w:val="20"/>
                <w:color w:val="auto"/>
              </w:rPr>
            </w:pPr>
            <w:r>
              <w:rPr>
                <w:rFonts w:ascii="Times New Roman" w:cs="Times New Roman" w:eastAsia="Times New Roman" w:hAnsi="Times New Roman"/>
                <w:sz w:val="18"/>
                <w:szCs w:val="18"/>
                <w:b w:val="1"/>
                <w:bCs w:val="1"/>
                <w:color w:val="auto"/>
                <w:w w:val="99"/>
              </w:rPr>
              <w:t>Ramat Gan 5250608, Israel</w:t>
            </w:r>
          </w:p>
        </w:tc>
      </w:tr>
      <w:tr>
        <w:trPr>
          <w:trHeight w:val="236"/>
        </w:trPr>
        <w:tc>
          <w:tcPr>
            <w:tcW w:w="2640" w:type="dxa"/>
            <w:vAlign w:val="bottom"/>
          </w:tcPr>
          <w:p>
            <w:pPr>
              <w:jc w:val="center"/>
              <w:ind w:right="231"/>
              <w:spacing w:after="0"/>
              <w:rPr>
                <w:sz w:val="20"/>
                <w:szCs w:val="20"/>
                <w:color w:val="auto"/>
              </w:rPr>
            </w:pPr>
            <w:r>
              <w:rPr>
                <w:rFonts w:ascii="Times New Roman" w:cs="Times New Roman" w:eastAsia="Times New Roman" w:hAnsi="Times New Roman"/>
                <w:sz w:val="18"/>
                <w:szCs w:val="18"/>
                <w:b w:val="1"/>
                <w:bCs w:val="1"/>
                <w:color w:val="auto"/>
                <w:w w:val="98"/>
              </w:rPr>
              <w:t>Tel: +972-3-908-5800</w:t>
            </w:r>
          </w:p>
        </w:tc>
        <w:tc>
          <w:tcPr>
            <w:tcW w:w="5300" w:type="dxa"/>
            <w:vAlign w:val="bottom"/>
          </w:tcPr>
          <w:p>
            <w:pPr>
              <w:jc w:val="center"/>
              <w:ind w:left="3111"/>
              <w:spacing w:after="0"/>
              <w:rPr>
                <w:sz w:val="20"/>
                <w:szCs w:val="20"/>
                <w:color w:val="auto"/>
              </w:rPr>
            </w:pPr>
            <w:r>
              <w:rPr>
                <w:rFonts w:ascii="Times New Roman" w:cs="Times New Roman" w:eastAsia="Times New Roman" w:hAnsi="Times New Roman"/>
                <w:sz w:val="18"/>
                <w:szCs w:val="18"/>
                <w:b w:val="1"/>
                <w:bCs w:val="1"/>
                <w:color w:val="auto"/>
                <w:w w:val="97"/>
              </w:rPr>
              <w:t>Tel: +972-3-610-3100</w:t>
            </w:r>
          </w:p>
        </w:tc>
      </w:tr>
    </w:tbl>
    <w:p>
      <w:pPr>
        <w:spacing w:after="0" w:line="194" w:lineRule="exact"/>
        <w:rPr>
          <w:sz w:val="24"/>
          <w:szCs w:val="24"/>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of 1934, as amended.</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19"/>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Accelerated filer</w:t>
            </w:r>
          </w:p>
        </w:tc>
        <w:tc>
          <w:tcPr>
            <w:tcW w:w="124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4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1"/>
        </w:trPr>
        <w:tc>
          <w:tcPr>
            <w:tcW w:w="28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4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1" w:lineRule="exact"/>
        <w:rPr>
          <w:sz w:val="24"/>
          <w:szCs w:val="24"/>
          <w:color w:val="auto"/>
        </w:rPr>
      </w:pPr>
    </w:p>
    <w:p>
      <w:pPr>
        <w:ind w:right="100"/>
        <w:spacing w:after="0" w:line="23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143510</wp:posOffset>
            </wp:positionV>
            <wp:extent cx="71342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584200</wp:posOffset>
            </wp:positionV>
            <wp:extent cx="71342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3257550</wp:posOffset>
            </wp:positionH>
            <wp:positionV relativeFrom="page">
              <wp:posOffset>580390</wp:posOffset>
            </wp:positionV>
            <wp:extent cx="1033780" cy="635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033780" cy="63563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This Registration Statement on Form S-8 (this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registers the offer, issuance and sale of a total of up to 4,875,065 ordinary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par value New Israeli Shekel (“</w:t>
      </w:r>
      <w:r>
        <w:rPr>
          <w:rFonts w:ascii="Times New Roman" w:cs="Times New Roman" w:eastAsia="Times New Roman" w:hAnsi="Times New Roman"/>
          <w:sz w:val="18"/>
          <w:szCs w:val="18"/>
          <w:b w:val="1"/>
          <w:bCs w:val="1"/>
          <w:color w:val="auto"/>
        </w:rPr>
        <w:t>NIS</w:t>
      </w:r>
      <w:r>
        <w:rPr>
          <w:rFonts w:ascii="Times New Roman" w:cs="Times New Roman" w:eastAsia="Times New Roman" w:hAnsi="Times New Roman"/>
          <w:sz w:val="18"/>
          <w:szCs w:val="18"/>
          <w:color w:val="auto"/>
        </w:rPr>
        <w:t>”) 0.01 per share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of Kornit Digital Ltd. (“</w:t>
      </w:r>
      <w:r>
        <w:rPr>
          <w:rFonts w:ascii="Times New Roman" w:cs="Times New Roman" w:eastAsia="Times New Roman" w:hAnsi="Times New Roman"/>
          <w:sz w:val="18"/>
          <w:szCs w:val="18"/>
          <w:b w:val="1"/>
          <w:bCs w:val="1"/>
          <w:color w:val="auto"/>
        </w:rPr>
        <w:t>Kornit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our company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us</w:t>
      </w:r>
      <w:r>
        <w:rPr>
          <w:rFonts w:ascii="Times New Roman" w:cs="Times New Roman" w:eastAsia="Times New Roman" w:hAnsi="Times New Roman"/>
          <w:sz w:val="17"/>
          <w:szCs w:val="17"/>
          <w:color w:val="auto"/>
        </w:rPr>
        <w:t>”) to Kornit’s and/or its subsidiaries’ employees, directors, officers, consultants, advisors and any other persons or entities who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provides services to them under the Kornit Ltd. 2025 Share Incentive Plan (the “</w:t>
      </w:r>
      <w:r>
        <w:rPr>
          <w:rFonts w:ascii="Times New Roman" w:cs="Times New Roman" w:eastAsia="Times New Roman" w:hAnsi="Times New Roman"/>
          <w:sz w:val="18"/>
          <w:szCs w:val="18"/>
          <w:b w:val="1"/>
          <w:bCs w:val="1"/>
          <w:color w:val="auto"/>
        </w:rPr>
        <w:t>2025 Plan</w:t>
      </w:r>
      <w:r>
        <w:rPr>
          <w:rFonts w:ascii="Times New Roman" w:cs="Times New Roman" w:eastAsia="Times New Roman" w:hAnsi="Times New Roman"/>
          <w:sz w:val="18"/>
          <w:szCs w:val="18"/>
          <w:color w:val="auto"/>
        </w:rPr>
        <w:t>”). This initial share amount consists of (i) 672,132 newly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Ordinary Shares under the 2025 Plan, (ii) 1,450,289 additional Ordinary Shares that had been available under, and that have already been rolled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from, the Company’s 2015 Incentive Compensation Plan (the “</w:t>
      </w:r>
      <w:r>
        <w:rPr>
          <w:rFonts w:ascii="Times New Roman" w:cs="Times New Roman" w:eastAsia="Times New Roman" w:hAnsi="Times New Roman"/>
          <w:sz w:val="18"/>
          <w:szCs w:val="18"/>
          <w:b w:val="1"/>
          <w:bCs w:val="1"/>
          <w:color w:val="auto"/>
        </w:rPr>
        <w:t>2015 Plan</w:t>
      </w:r>
      <w:r>
        <w:rPr>
          <w:rFonts w:ascii="Times New Roman" w:cs="Times New Roman" w:eastAsia="Times New Roman" w:hAnsi="Times New Roman"/>
          <w:sz w:val="18"/>
          <w:szCs w:val="18"/>
          <w:color w:val="auto"/>
        </w:rPr>
        <w:t>”) due to the expiration, cancelation, termination, forfeiture, repurchase, 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in cash in lieu of issuance of shares (collectively, “</w:t>
      </w:r>
      <w:r>
        <w:rPr>
          <w:rFonts w:ascii="Times New Roman" w:cs="Times New Roman" w:eastAsia="Times New Roman" w:hAnsi="Times New Roman"/>
          <w:sz w:val="18"/>
          <w:szCs w:val="18"/>
          <w:b w:val="1"/>
          <w:bCs w:val="1"/>
          <w:color w:val="auto"/>
        </w:rPr>
        <w:t>cancelation</w:t>
      </w:r>
      <w:r>
        <w:rPr>
          <w:rFonts w:ascii="Times New Roman" w:cs="Times New Roman" w:eastAsia="Times New Roman" w:hAnsi="Times New Roman"/>
          <w:sz w:val="18"/>
          <w:szCs w:val="18"/>
          <w:color w:val="auto"/>
        </w:rPr>
        <w:t>”) of awards under the 2015 Plan, and (iii) up to an additional 2,752,644 Ordinary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underlying outstanding awards under the 2015 Plan and the Company’s 2012 Share Incentive Plan (the “</w:t>
      </w:r>
      <w:r>
        <w:rPr>
          <w:rFonts w:ascii="Times New Roman" w:cs="Times New Roman" w:eastAsia="Times New Roman" w:hAnsi="Times New Roman"/>
          <w:sz w:val="17"/>
          <w:szCs w:val="17"/>
          <w:b w:val="1"/>
          <w:bCs w:val="1"/>
          <w:color w:val="auto"/>
        </w:rPr>
        <w:t>2012 Plan</w:t>
      </w:r>
      <w:r>
        <w:rPr>
          <w:rFonts w:ascii="Times New Roman" w:cs="Times New Roman" w:eastAsia="Times New Roman" w:hAnsi="Times New Roman"/>
          <w:sz w:val="17"/>
          <w:szCs w:val="17"/>
          <w:color w:val="auto"/>
        </w:rPr>
        <w:t>”) that may, in the future, be rolled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to the 2025 Plan due to the cancelation of such awards.</w:t>
      </w:r>
    </w:p>
    <w:p>
      <w:pPr>
        <w:spacing w:after="0" w:line="201" w:lineRule="exact"/>
        <w:rPr>
          <w:sz w:val="20"/>
          <w:szCs w:val="20"/>
          <w:color w:val="auto"/>
        </w:rPr>
      </w:pPr>
    </w:p>
    <w:p>
      <w:pPr>
        <w:ind w:right="200" w:firstLine="640"/>
        <w:spacing w:after="0" w:line="262" w:lineRule="auto"/>
        <w:rPr>
          <w:sz w:val="20"/>
          <w:szCs w:val="20"/>
          <w:color w:val="auto"/>
        </w:rPr>
      </w:pPr>
      <w:r>
        <w:rPr>
          <w:rFonts w:ascii="Times New Roman" w:cs="Times New Roman" w:eastAsia="Times New Roman" w:hAnsi="Times New Roman"/>
          <w:sz w:val="18"/>
          <w:szCs w:val="18"/>
          <w:color w:val="auto"/>
        </w:rPr>
        <w:t>Out of the foregoing 4,875,065 Ordinary Shares covered by this Registration Statement, (a) 768,241 of such shares underlie outstanding restricted share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that have been granted under the 2025 Plan but have not yet begun to vest, and (b) 4,106,824 of such shares are, or may become, available for issuance pursuant to potential future grants under the 2025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411480</wp:posOffset>
            </wp:positionV>
            <wp:extent cx="71342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Plan Information.</w:t>
      </w:r>
    </w:p>
    <w:p>
      <w:pPr>
        <w:spacing w:after="0" w:line="224" w:lineRule="exact"/>
        <w:rPr>
          <w:sz w:val="20"/>
          <w:szCs w:val="20"/>
          <w:color w:val="auto"/>
        </w:rPr>
      </w:pPr>
    </w:p>
    <w:p>
      <w:pPr>
        <w:ind w:firstLine="640"/>
        <w:spacing w:after="0" w:line="251" w:lineRule="auto"/>
        <w:rPr>
          <w:sz w:val="20"/>
          <w:szCs w:val="20"/>
          <w:color w:val="auto"/>
        </w:rPr>
      </w:pPr>
      <w:r>
        <w:rPr>
          <w:rFonts w:ascii="Times New Roman" w:cs="Times New Roman" w:eastAsia="Times New Roman" w:hAnsi="Times New Roman"/>
          <w:sz w:val="18"/>
          <w:szCs w:val="18"/>
          <w:color w:val="auto"/>
        </w:rPr>
        <w:t>The documents containing the information concerning the 2025 Plan required by Item 1 of this Registration Statement, and the statement of availability of registrant information and other information required by Item 2 of Form S-8, will be sent or given to persons eligible to participate in the 2025 Plan as specified by Rule 428(b)(1)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We will maintain a file of such documents in accordance with the provisions of Rule 428 and, upon request, will furnish to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or its staff a copy or copies of documents included in such file. Pursuant to the instructions to Form S-8, these documents are not required to be and are not being filed either as part of this Registration Statement or as prospectuses or prospectus supplements pursuant to Rule 424 under the Securities Act. These documents and the documents incorporated by reference in this Registration Statement pursuant to Item 3 of Part II of Form S-8, taken together, constitute part of a prospectus that meets the requirements of Section 10(a) of the Securities Act.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Registrant Information and Employee Plan Annual Information.</w:t>
      </w:r>
    </w:p>
    <w:p>
      <w:pPr>
        <w:spacing w:after="0" w:line="22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Any of the documents incorporated by reference in Item 3 of Part II of this Registration Statement (which documents are incorporated by reference in this prospectus) and the other documents required to be delivered to participants in the 2025 Plan pursuant to Rule 428(b) under the Securities Act, will be available without charge to participants in the 2025 Plan upon written or oral request by contacting:</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Kornit Digital Ltd.</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 Ha’ Amal Street, Afek Park,</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Rosh-Ha’Ayin 4809246, Israel</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Telephone: +972-3-908-5800</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Attention: Elad Shrem, General Counsel and Chief Compliance Officer</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hereby incorporate by reference herein the following documents (or portions thereof) that we have filed with or furnished to the Commission:</w:t>
      </w:r>
    </w:p>
    <w:p>
      <w:pPr>
        <w:spacing w:after="0" w:line="216" w:lineRule="exact"/>
        <w:rPr>
          <w:sz w:val="20"/>
          <w:szCs w:val="20"/>
          <w:color w:val="auto"/>
        </w:rPr>
      </w:pPr>
    </w:p>
    <w:p>
      <w:pPr>
        <w:ind w:left="960" w:hanging="313"/>
        <w:spacing w:after="0" w:line="28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6">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Commission on March 27, 2025 (the “</w:t>
      </w:r>
      <w:r>
        <w:rPr>
          <w:rFonts w:ascii="Times New Roman" w:cs="Times New Roman" w:eastAsia="Times New Roman" w:hAnsi="Times New Roman"/>
          <w:sz w:val="18"/>
          <w:szCs w:val="18"/>
          <w:b w:val="1"/>
          <w:bCs w:val="1"/>
          <w:color w:val="auto"/>
        </w:rPr>
        <w:t>2024 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20-F</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color w:val="auto"/>
        </w:rPr>
      </w:pPr>
    </w:p>
    <w:p>
      <w:pPr>
        <w:ind w:left="960" w:right="80" w:hanging="313"/>
        <w:spacing w:after="0" w:line="26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of Foreign Private Issuer on </w:t>
      </w:r>
      <w:hyperlink r:id="rId17">
        <w:r>
          <w:rPr>
            <w:rFonts w:ascii="Times New Roman" w:cs="Times New Roman" w:eastAsia="Times New Roman" w:hAnsi="Times New Roman"/>
            <w:sz w:val="18"/>
            <w:szCs w:val="18"/>
            <w:u w:val="single" w:color="auto"/>
            <w:color w:val="0000EE"/>
          </w:rPr>
          <w:t>Form 6-K</w:t>
        </w:r>
      </w:hyperlink>
      <w:r>
        <w:rPr>
          <w:rFonts w:ascii="Times New Roman" w:cs="Times New Roman" w:eastAsia="Times New Roman" w:hAnsi="Times New Roman"/>
          <w:sz w:val="18"/>
          <w:szCs w:val="18"/>
          <w:color w:val="auto"/>
        </w:rPr>
        <w:t>, furnished to the Commission on February 12, 2025 (only the U.S. GAAP financial information contained in the (i) consolidated balance sheets, (ii) consolidated statements of operations and (iii) consolidated statements of cash flows included in the press release attached as Exhibit 99.1 thereto); and</w:t>
      </w:r>
    </w:p>
    <w:p>
      <w:pPr>
        <w:spacing w:after="0" w:line="176" w:lineRule="exact"/>
        <w:rPr>
          <w:rFonts w:ascii="Times New Roman" w:cs="Times New Roman" w:eastAsia="Times New Roman" w:hAnsi="Times New Roman"/>
          <w:sz w:val="18"/>
          <w:szCs w:val="18"/>
          <w:color w:val="auto"/>
        </w:rPr>
      </w:pPr>
    </w:p>
    <w:p>
      <w:pPr>
        <w:ind w:left="960" w:right="260" w:hanging="313"/>
        <w:spacing w:after="0" w:line="26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under “Item 1. Description of Registrant’s Securities to be Registered” in our company’s registration statement on </w:t>
      </w:r>
      <w:hyperlink r:id="rId18">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(Commission File No. 001-36903), filed with the Commission on March 31, 2015, as updated by Exhibit 2.2 to the 2024 Form 20-F, and any amendment or report filed for the purpose of further updating that description.</w:t>
      </w:r>
    </w:p>
    <w:p>
      <w:pPr>
        <w:spacing w:after="0" w:line="176" w:lineRule="exact"/>
        <w:rPr>
          <w:rFonts w:ascii="Times New Roman" w:cs="Times New Roman" w:eastAsia="Times New Roman" w:hAnsi="Times New Roman"/>
          <w:sz w:val="18"/>
          <w:szCs w:val="18"/>
          <w:color w:val="auto"/>
        </w:rPr>
      </w:pPr>
    </w:p>
    <w:p>
      <w:pPr>
        <w:ind w:right="20" w:firstLine="640"/>
        <w:spacing w:after="0" w:line="254" w:lineRule="auto"/>
        <w:rPr>
          <w:sz w:val="20"/>
          <w:szCs w:val="20"/>
          <w:color w:val="auto"/>
        </w:rPr>
      </w:pPr>
      <w:r>
        <w:rPr>
          <w:rFonts w:ascii="Times New Roman" w:cs="Times New Roman" w:eastAsia="Times New Roman" w:hAnsi="Times New Roman"/>
          <w:sz w:val="18"/>
          <w:szCs w:val="18"/>
          <w:color w:val="auto"/>
        </w:rPr>
        <w:t>All other documents filed by us pursuant to Sections 13(a), 13(c), 14 or 15(d) of the Exchange Act and, to the extent designated therein, Reports of Foreign Private Issuer on Form 6-K furnished by us to the Commission, in each case, subsequent to the effective date of this Registration Statement and prior to the filing of a post-effective amendment to this Registration Statement indicating that all securities offered under the Registration Statement have been sold, or deregistering all securities then remaining unsold, are also incorporated herein by reference and shall be a part hereof from the date of the filing or furnishing of such documents.</w:t>
      </w:r>
    </w:p>
    <w:p>
      <w:pPr>
        <w:spacing w:after="0" w:line="186" w:lineRule="exact"/>
        <w:rPr>
          <w:rFonts w:ascii="Times New Roman" w:cs="Times New Roman" w:eastAsia="Times New Roman" w:hAnsi="Times New Roman"/>
          <w:sz w:val="18"/>
          <w:szCs w:val="18"/>
          <w:color w:val="auto"/>
        </w:rPr>
      </w:pPr>
    </w:p>
    <w:p>
      <w:pPr>
        <w:ind w:firstLine="640"/>
        <w:spacing w:after="0" w:line="257"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7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4" w:lineRule="exact"/>
        <w:rPr>
          <w:rFonts w:ascii="Times New Roman" w:cs="Times New Roman" w:eastAsia="Times New Roman" w:hAnsi="Times New Roman"/>
          <w:sz w:val="18"/>
          <w:szCs w:val="18"/>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4" w:lineRule="exact"/>
        <w:rPr>
          <w:rFonts w:ascii="Times New Roman" w:cs="Times New Roman" w:eastAsia="Times New Roman" w:hAnsi="Times New Roman"/>
          <w:sz w:val="18"/>
          <w:szCs w:val="18"/>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0" w:lineRule="exact"/>
        <w:rPr>
          <w:rFonts w:ascii="Times New Roman" w:cs="Times New Roman" w:eastAsia="Times New Roman" w:hAnsi="Times New Roman"/>
          <w:sz w:val="18"/>
          <w:szCs w:val="18"/>
          <w:color w:val="auto"/>
        </w:rPr>
      </w:pPr>
    </w:p>
    <w:p>
      <w:pPr>
        <w:ind w:right="40" w:firstLine="640"/>
        <w:spacing w:after="0" w:line="256" w:lineRule="auto"/>
        <w:rPr>
          <w:sz w:val="20"/>
          <w:szCs w:val="20"/>
          <w:color w:val="auto"/>
        </w:rPr>
      </w:pPr>
      <w:r>
        <w:rPr>
          <w:rFonts w:ascii="Times New Roman" w:cs="Times New Roman" w:eastAsia="Times New Roman" w:hAnsi="Times New Roman"/>
          <w:sz w:val="18"/>
          <w:szCs w:val="18"/>
          <w:color w:val="auto"/>
        </w:rPr>
        <w:t>Under the Israeli Companies Law, 5759-1999 (the “</w:t>
      </w:r>
      <w:r>
        <w:rPr>
          <w:rFonts w:ascii="Times New Roman" w:cs="Times New Roman" w:eastAsia="Times New Roman" w:hAnsi="Times New Roman"/>
          <w:sz w:val="18"/>
          <w:szCs w:val="18"/>
          <w:b w:val="1"/>
          <w:bCs w:val="1"/>
          <w:color w:val="auto"/>
        </w:rPr>
        <w:t>Companies Law</w:t>
      </w:r>
      <w:r>
        <w:rPr>
          <w:rFonts w:ascii="Times New Roman" w:cs="Times New Roman" w:eastAsia="Times New Roman" w:hAnsi="Times New Roman"/>
          <w:sz w:val="18"/>
          <w:szCs w:val="18"/>
          <w:color w:val="auto"/>
        </w:rPr>
        <w:t>”),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include such a provision. The company may not exculpate in advance a director from liability arising out of a prohibited dividend or distribution to shareholders.</w:t>
      </w:r>
    </w:p>
    <w:p>
      <w:pPr>
        <w:spacing w:after="0" w:line="181" w:lineRule="exact"/>
        <w:rPr>
          <w:rFonts w:ascii="Times New Roman" w:cs="Times New Roman" w:eastAsia="Times New Roman" w:hAnsi="Times New Roman"/>
          <w:sz w:val="18"/>
          <w:szCs w:val="18"/>
          <w:color w:val="auto"/>
        </w:rPr>
      </w:pPr>
    </w:p>
    <w:p>
      <w:pPr>
        <w:ind w:right="340" w:firstLine="640"/>
        <w:spacing w:after="0" w:line="262" w:lineRule="auto"/>
        <w:rPr>
          <w:sz w:val="20"/>
          <w:szCs w:val="20"/>
          <w:color w:val="auto"/>
        </w:rPr>
      </w:pPr>
      <w:r>
        <w:rPr>
          <w:rFonts w:ascii="Times New Roman" w:cs="Times New Roman" w:eastAsia="Times New Roman" w:hAnsi="Times New Roman"/>
          <w:sz w:val="18"/>
          <w:szCs w:val="18"/>
          <w:color w:val="auto"/>
        </w:rPr>
        <w:t>Under the Companies Law, a company may indemnify an office holder in respect of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spacing w:after="0" w:line="176" w:lineRule="exact"/>
        <w:rPr>
          <w:rFonts w:ascii="Times New Roman" w:cs="Times New Roman" w:eastAsia="Times New Roman" w:hAnsi="Times New Roman"/>
          <w:sz w:val="18"/>
          <w:szCs w:val="18"/>
          <w:color w:val="auto"/>
        </w:rPr>
      </w:pPr>
    </w:p>
    <w:p>
      <w:pPr>
        <w:ind w:left="960" w:right="20" w:hanging="313"/>
        <w:spacing w:after="0" w:line="273" w:lineRule="auto"/>
        <w:tabs>
          <w:tab w:leader="none" w:pos="9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financial liability incurred by or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69" w:lineRule="exact"/>
        <w:rPr>
          <w:rFonts w:ascii="Times New Roman" w:cs="Times New Roman" w:eastAsia="Times New Roman" w:hAnsi="Times New Roman"/>
          <w:sz w:val="17"/>
          <w:szCs w:val="17"/>
          <w:color w:val="auto"/>
        </w:rPr>
      </w:pPr>
    </w:p>
    <w:p>
      <w:pPr>
        <w:ind w:left="960" w:right="20" w:hanging="313"/>
        <w:spacing w:after="0" w:line="25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w:t>
      </w:r>
    </w:p>
    <w:p>
      <w:pPr>
        <w:spacing w:after="0" w:line="185" w:lineRule="exact"/>
        <w:rPr>
          <w:rFonts w:ascii="Times New Roman" w:cs="Times New Roman" w:eastAsia="Times New Roman" w:hAnsi="Times New Roman"/>
          <w:sz w:val="18"/>
          <w:szCs w:val="18"/>
          <w:color w:val="auto"/>
        </w:rPr>
      </w:pPr>
    </w:p>
    <w:p>
      <w:pPr>
        <w:ind w:left="960" w:right="220" w:hanging="313"/>
        <w:spacing w:after="0" w:line="26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 and</w:t>
      </w:r>
    </w:p>
    <w:p>
      <w:pPr>
        <w:spacing w:after="0" w:line="176" w:lineRule="exact"/>
        <w:rPr>
          <w:rFonts w:ascii="Times New Roman" w:cs="Times New Roman" w:eastAsia="Times New Roman" w:hAnsi="Times New Roman"/>
          <w:sz w:val="18"/>
          <w:szCs w:val="18"/>
          <w:color w:val="auto"/>
        </w:rPr>
      </w:pPr>
    </w:p>
    <w:p>
      <w:pPr>
        <w:ind w:left="960" w:right="20" w:hanging="313"/>
        <w:spacing w:after="0" w:line="277"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expenses, including attorneys’ fees, incurred by the office holder in respect of certain administrative proceedings under the Israeli Securities Law.</w:t>
      </w:r>
    </w:p>
    <w:p>
      <w:pPr>
        <w:spacing w:after="0" w:line="376"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891" w:right="359" w:bottom="441" w:gutter="0" w:footer="0" w:header="0"/>
        </w:sectPr>
      </w:pPr>
    </w:p>
    <w:bookmarkStart w:id="4" w:name="page5"/>
    <w:bookmarkEnd w:id="4"/>
    <w:p>
      <w:pPr>
        <w:ind w:right="180" w:firstLine="640"/>
        <w:spacing w:after="0" w:line="277" w:lineRule="auto"/>
        <w:rPr>
          <w:sz w:val="20"/>
          <w:szCs w:val="20"/>
          <w:color w:val="auto"/>
        </w:rPr>
      </w:pPr>
      <w:r>
        <w:rPr>
          <w:rFonts w:ascii="Times New Roman" w:cs="Times New Roman" w:eastAsia="Times New Roman" w:hAnsi="Times New Roman"/>
          <w:sz w:val="18"/>
          <w:szCs w:val="18"/>
          <w:color w:val="auto"/>
        </w:rPr>
        <w:t>Under the Companies Law, a company may insure an office holder against the following liabilities incurred for acts performed by him or her as an office holder, if and to the extent provided in the company’s articles of association:</w:t>
      </w:r>
    </w:p>
    <w:p>
      <w:pPr>
        <w:spacing w:after="0" w:line="163" w:lineRule="exact"/>
        <w:rPr>
          <w:sz w:val="20"/>
          <w:szCs w:val="20"/>
          <w:color w:val="auto"/>
        </w:rPr>
      </w:pPr>
    </w:p>
    <w:p>
      <w:pPr>
        <w:ind w:left="960" w:right="140" w:hanging="313"/>
        <w:spacing w:after="0" w:line="277"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the duty of loyalty to the company, provided that the office holder acted in good faith and had a reasonable basis to believe that the act would not harm the company;</w:t>
      </w:r>
    </w:p>
    <w:p>
      <w:pPr>
        <w:spacing w:after="0" w:line="162" w:lineRule="exact"/>
        <w:rPr>
          <w:rFonts w:ascii="Times New Roman" w:cs="Times New Roman" w:eastAsia="Times New Roman" w:hAnsi="Times New Roman"/>
          <w:sz w:val="18"/>
          <w:szCs w:val="18"/>
          <w:color w:val="auto"/>
        </w:rPr>
      </w:pPr>
    </w:p>
    <w:p>
      <w:pPr>
        <w:ind w:left="960" w:right="240" w:hanging="313"/>
        <w:spacing w:after="0" w:line="277"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duty of care to the company or to a third party, to the extent such a breach arises out of the negligent conduct of the office holder; and</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liability imposed on the office holder in favor of a third party.</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Under the Companies Law, a company may not indemnify, exculpate or insure an office holder against any of the following:</w:t>
      </w:r>
    </w:p>
    <w:p>
      <w:pPr>
        <w:spacing w:after="0" w:line="220" w:lineRule="exact"/>
        <w:rPr>
          <w:sz w:val="20"/>
          <w:szCs w:val="20"/>
          <w:color w:val="auto"/>
        </w:rPr>
      </w:pPr>
    </w:p>
    <w:p>
      <w:pPr>
        <w:ind w:left="960" w:right="60" w:hanging="313"/>
        <w:spacing w:after="0" w:line="277"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the duty of loyalty, except for indemnification and insurance for a breach of the duty of loyalty to the company to the extent that the office holder acted in good faith and had a reasonable basis to believe that the act would not harm the company;</w:t>
      </w:r>
    </w:p>
    <w:p>
      <w:pPr>
        <w:spacing w:after="0" w:line="162" w:lineRule="exact"/>
        <w:rPr>
          <w:rFonts w:ascii="Times New Roman" w:cs="Times New Roman" w:eastAsia="Times New Roman" w:hAnsi="Times New Roman"/>
          <w:sz w:val="18"/>
          <w:szCs w:val="18"/>
          <w:color w:val="auto"/>
        </w:rPr>
      </w:pPr>
    </w:p>
    <w:p>
      <w:pPr>
        <w:ind w:left="960" w:right="520" w:hanging="313"/>
        <w:spacing w:after="0" w:line="277"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duty of care committed intentionally or recklessly, excluding a breach arising solely out of the negligent conduct of the office holder;</w:t>
      </w:r>
    </w:p>
    <w:p>
      <w:pPr>
        <w:spacing w:after="0" w:line="162"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or omission committed with intent to derive illegal personal benefit; or</w:t>
      </w:r>
    </w:p>
    <w:p>
      <w:pPr>
        <w:spacing w:after="0" w:line="219"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fine, civil fine, monetary sanction or forfeit levied against the office holder.</w:t>
      </w:r>
    </w:p>
    <w:p>
      <w:pPr>
        <w:spacing w:after="0" w:line="220"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Under the Companies Law, exculpation, indemnification and insurance of office holders in a public company must be approved by the compensation committee and the board of directors and, with respect to certain office holders or under certain circumstances, also by the shareholders.</w:t>
      </w:r>
    </w:p>
    <w:p>
      <w:pPr>
        <w:spacing w:after="0" w:line="163" w:lineRule="exact"/>
        <w:rPr>
          <w:sz w:val="20"/>
          <w:szCs w:val="20"/>
          <w:color w:val="auto"/>
        </w:rPr>
      </w:pPr>
    </w:p>
    <w:p>
      <w:pPr>
        <w:ind w:right="260" w:firstLine="640"/>
        <w:spacing w:after="0" w:line="277" w:lineRule="auto"/>
        <w:rPr>
          <w:sz w:val="20"/>
          <w:szCs w:val="20"/>
          <w:color w:val="auto"/>
        </w:rPr>
      </w:pPr>
      <w:r>
        <w:rPr>
          <w:rFonts w:ascii="Times New Roman" w:cs="Times New Roman" w:eastAsia="Times New Roman" w:hAnsi="Times New Roman"/>
          <w:sz w:val="18"/>
          <w:szCs w:val="18"/>
          <w:color w:val="auto"/>
        </w:rPr>
        <w:t>Our articles of association permit us to exculpate, indemnify and insure our office holders to the fullest extent permitted or to be permitted by the Companies Law.</w:t>
      </w:r>
    </w:p>
    <w:p>
      <w:pPr>
        <w:spacing w:after="0" w:line="163" w:lineRule="exact"/>
        <w:rPr>
          <w:sz w:val="20"/>
          <w:szCs w:val="20"/>
          <w:color w:val="auto"/>
        </w:rPr>
      </w:pPr>
    </w:p>
    <w:p>
      <w:pPr>
        <w:ind w:right="260" w:firstLine="640"/>
        <w:spacing w:after="0" w:line="254" w:lineRule="auto"/>
        <w:rPr>
          <w:sz w:val="20"/>
          <w:szCs w:val="20"/>
          <w:color w:val="auto"/>
        </w:rPr>
      </w:pPr>
      <w:r>
        <w:rPr>
          <w:rFonts w:ascii="Times New Roman" w:cs="Times New Roman" w:eastAsia="Times New Roman" w:hAnsi="Times New Roman"/>
          <w:sz w:val="18"/>
          <w:szCs w:val="18"/>
          <w:color w:val="auto"/>
        </w:rPr>
        <w:t>We have obtained directors’ and officers’ liability insurance for the benefit of our office holders and intend to continue to maintain such coverage and pay all premiums thereunder to the fullest extent permitted by the Companies Law. In addition, we have entered into agreements with each of our directors and executive officers exculpating them from liability to us for damages caused to us as a result of a breach of duty of care and undertaking to indemnify them, in each case, to the fullest extent permitted by our articles and Israeli law, including with respect to liabilities resulting from a public offering of our shares, to the extent that these liabilities are not covered by insurance.</w:t>
      </w:r>
    </w:p>
    <w:p>
      <w:pPr>
        <w:spacing w:after="0" w:line="186" w:lineRule="exact"/>
        <w:rPr>
          <w:sz w:val="20"/>
          <w:szCs w:val="20"/>
          <w:color w:val="auto"/>
        </w:rPr>
      </w:pPr>
    </w:p>
    <w:p>
      <w:pPr>
        <w:ind w:right="900" w:firstLine="640"/>
        <w:spacing w:after="0" w:line="307" w:lineRule="auto"/>
        <w:rPr>
          <w:sz w:val="20"/>
          <w:szCs w:val="20"/>
          <w:color w:val="auto"/>
        </w:rPr>
      </w:pPr>
      <w:r>
        <w:rPr>
          <w:rFonts w:ascii="Times New Roman" w:cs="Times New Roman" w:eastAsia="Times New Roman" w:hAnsi="Times New Roman"/>
          <w:sz w:val="17"/>
          <w:szCs w:val="17"/>
          <w:color w:val="auto"/>
        </w:rPr>
        <w:t>Each of the foregoing indemnification obligations is limited both in terms of amount and coverage. In the opinion of the Commission, indemnification of directors and office holders for liabilities arising under the Securities Act is against public policy and therefore unenforceable.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Number</w:t>
      </w:r>
      <w:r>
        <w:rPr>
          <w:rFonts w:ascii="Times New Roman" w:cs="Times New Roman" w:eastAsia="Times New Roman" w:hAnsi="Times New Roman"/>
          <w:sz w:val="18"/>
          <w:szCs w:val="18"/>
          <w:b w:val="1"/>
          <w:bCs w:val="1"/>
          <w:color w:val="auto"/>
        </w:rPr>
        <w:t xml:space="preserve">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4225" cy="152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0000EE"/>
        </w:rPr>
        <w:t>Kornit Digital Ltd. 2025 Share Incentive Plan*</w:t>
      </w:r>
    </w:p>
    <w:p>
      <w:pPr>
        <w:spacing w:after="0" w:line="25" w:lineRule="exact"/>
        <w:rPr>
          <w:sz w:val="20"/>
          <w:szCs w:val="20"/>
          <w:color w:val="auto"/>
        </w:rPr>
      </w:pPr>
    </w:p>
    <w:p>
      <w:pPr>
        <w:spacing w:after="0"/>
        <w:tabs>
          <w:tab w:leader="none" w:pos="7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22">
        <w:r>
          <w:rPr>
            <w:rFonts w:ascii="Times New Roman" w:cs="Times New Roman" w:eastAsia="Times New Roman" w:hAnsi="Times New Roman"/>
            <w:sz w:val="17"/>
            <w:szCs w:val="17"/>
            <w:u w:val="single" w:color="auto"/>
            <w:color w:val="0000EE"/>
          </w:rPr>
          <w:t>Amended and Restated Articles of Association of the Registrant (1)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4225" cy="135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tabs>
          <w:tab w:leader="none" w:pos="7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24">
        <w:r>
          <w:rPr>
            <w:rFonts w:ascii="Times New Roman" w:cs="Times New Roman" w:eastAsia="Times New Roman" w:hAnsi="Times New Roman"/>
            <w:sz w:val="17"/>
            <w:szCs w:val="17"/>
            <w:u w:val="single" w:color="auto"/>
            <w:color w:val="0000EE"/>
          </w:rPr>
          <w:t>Specimen ordinary share certificate of the Registrant (2)</w:t>
        </w:r>
      </w:hyperlink>
    </w:p>
    <w:p>
      <w:pPr>
        <w:spacing w:after="0" w:line="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EE"/>
        </w:rPr>
        <w:t>Opinion of Meitar | Law Offices as to the legality of Kornit Digital Ltd.’s ordinary shares being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4225" cy="135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Kost, Forer, Gabbay and Kasierer, a member firm of Ernst &amp; Young Global, an independent registered public accounting firm*</w:t>
      </w:r>
    </w:p>
    <w:p>
      <w:pPr>
        <w:spacing w:after="0" w:line="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Meitar | Law Offices (included in 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4225" cy="135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ind w:left="740" w:hanging="733"/>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Power of Attorney (included on the signature page of this Registration Statement)*</w:t>
      </w:r>
    </w:p>
    <w:p>
      <w:pPr>
        <w:spacing w:after="0" w:line="6" w:lineRule="exact"/>
        <w:rPr>
          <w:rFonts w:ascii="Times New Roman" w:cs="Times New Roman" w:eastAsia="Times New Roman" w:hAnsi="Times New Roman"/>
          <w:sz w:val="18"/>
          <w:szCs w:val="18"/>
          <w:color w:val="auto"/>
        </w:rPr>
      </w:pPr>
    </w:p>
    <w:p>
      <w:pPr>
        <w:ind w:left="740" w:hanging="733"/>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201" w:lineRule="exact"/>
        <w:rPr>
          <w:sz w:val="20"/>
          <w:szCs w:val="20"/>
          <w:color w:val="auto"/>
        </w:rPr>
      </w:pPr>
    </w:p>
    <w:p>
      <w:pPr>
        <w:ind w:left="320" w:right="80" w:hanging="313"/>
        <w:spacing w:after="0" w:line="258" w:lineRule="auto"/>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99.1 to the Registrant’s Report of Foreign Private Issuer on Form 6-K, furnished to the Commission on August 12, 2021.</w:t>
      </w:r>
    </w:p>
    <w:p>
      <w:pPr>
        <w:ind w:left="320" w:right="220" w:hanging="313"/>
        <w:spacing w:after="0" w:line="255" w:lineRule="auto"/>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4.1 to the Registrant’s Registration Statement on Form F-1 (File No. 333-202291), filed with the Commission on March 10, 2015.</w:t>
      </w:r>
    </w:p>
    <w:p>
      <w:pPr>
        <w:spacing w:after="0" w:line="182" w:lineRule="exact"/>
        <w:rPr>
          <w:sz w:val="20"/>
          <w:szCs w:val="20"/>
          <w:color w:val="auto"/>
        </w:rPr>
      </w:pPr>
    </w:p>
    <w:p>
      <w:pPr>
        <w:ind w:left="320" w:hanging="313"/>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4" w:lineRule="exact"/>
        <w:rPr>
          <w:sz w:val="20"/>
          <w:szCs w:val="20"/>
          <w:color w:val="auto"/>
        </w:rPr>
      </w:pPr>
    </w:p>
    <w:p>
      <w:pPr>
        <w:ind w:left="360" w:hanging="340"/>
        <w:spacing w:after="0"/>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hereby undertakes:</w:t>
      </w:r>
    </w:p>
    <w:p>
      <w:pPr>
        <w:spacing w:after="0" w:line="219" w:lineRule="exact"/>
        <w:rPr>
          <w:rFonts w:ascii="Times New Roman" w:cs="Times New Roman" w:eastAsia="Times New Roman" w:hAnsi="Times New Roman"/>
          <w:sz w:val="18"/>
          <w:szCs w:val="18"/>
          <w:color w:val="auto"/>
        </w:rPr>
      </w:pPr>
    </w:p>
    <w:p>
      <w:pPr>
        <w:ind w:left="720" w:hanging="353"/>
        <w:spacing w:after="0"/>
        <w:tabs>
          <w:tab w:leader="none" w:pos="7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19" w:lineRule="exact"/>
        <w:rPr>
          <w:rFonts w:ascii="Times New Roman" w:cs="Times New Roman" w:eastAsia="Times New Roman" w:hAnsi="Times New Roman"/>
          <w:sz w:val="18"/>
          <w:szCs w:val="18"/>
          <w:color w:val="auto"/>
        </w:rPr>
      </w:pPr>
    </w:p>
    <w:p>
      <w:pPr>
        <w:ind w:left="1040" w:hanging="353"/>
        <w:spacing w:after="0"/>
        <w:tabs>
          <w:tab w:leader="none" w:pos="104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19" w:lineRule="exact"/>
        <w:rPr>
          <w:rFonts w:ascii="Times New Roman" w:cs="Times New Roman" w:eastAsia="Times New Roman" w:hAnsi="Times New Roman"/>
          <w:sz w:val="18"/>
          <w:szCs w:val="18"/>
          <w:color w:val="auto"/>
        </w:rPr>
      </w:pPr>
    </w:p>
    <w:p>
      <w:pPr>
        <w:ind w:left="1040" w:right="160" w:hanging="353"/>
        <w:spacing w:after="0" w:line="252" w:lineRule="auto"/>
        <w:tabs>
          <w:tab w:leader="none" w:pos="104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stimateed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86" w:lineRule="exact"/>
        <w:rPr>
          <w:rFonts w:ascii="Times New Roman" w:cs="Times New Roman" w:eastAsia="Times New Roman" w:hAnsi="Times New Roman"/>
          <w:sz w:val="18"/>
          <w:szCs w:val="18"/>
          <w:color w:val="auto"/>
        </w:rPr>
      </w:pPr>
    </w:p>
    <w:p>
      <w:pPr>
        <w:ind w:left="1040" w:right="460" w:hanging="353"/>
        <w:spacing w:after="0" w:line="277" w:lineRule="auto"/>
        <w:tabs>
          <w:tab w:leader="none" w:pos="104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do not apply if the information required to be included in a post-effective amendment by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paragraphs is contained in reports filed with or furnished to the SEC by the Registrant pursuant to section 13 or 15(d) of the Securities Exchange Act of 1934 that are incorporated by reference in this Registration Statement.</w:t>
      </w:r>
    </w:p>
    <w:p>
      <w:pPr>
        <w:spacing w:after="0" w:line="175" w:lineRule="exact"/>
        <w:rPr>
          <w:sz w:val="20"/>
          <w:szCs w:val="20"/>
          <w:color w:val="auto"/>
        </w:rPr>
      </w:pPr>
    </w:p>
    <w:p>
      <w:pPr>
        <w:ind w:left="720" w:right="120" w:hanging="353"/>
        <w:spacing w:after="0" w:line="26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offering thereof.</w:t>
      </w:r>
    </w:p>
    <w:p>
      <w:pPr>
        <w:spacing w:after="0" w:line="176" w:lineRule="exact"/>
        <w:rPr>
          <w:rFonts w:ascii="Times New Roman" w:cs="Times New Roman" w:eastAsia="Times New Roman" w:hAnsi="Times New Roman"/>
          <w:sz w:val="18"/>
          <w:szCs w:val="18"/>
          <w:color w:val="auto"/>
        </w:rPr>
      </w:pPr>
    </w:p>
    <w:p>
      <w:pPr>
        <w:ind w:left="720" w:right="60" w:hanging="353"/>
        <w:spacing w:after="0" w:line="277"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rFonts w:ascii="Times New Roman" w:cs="Times New Roman" w:eastAsia="Times New Roman" w:hAnsi="Times New Roman"/>
          <w:sz w:val="18"/>
          <w:szCs w:val="18"/>
          <w:color w:val="auto"/>
        </w:rPr>
      </w:pPr>
    </w:p>
    <w:p>
      <w:pPr>
        <w:ind w:left="960" w:right="20" w:hanging="313"/>
        <w:spacing w:after="0" w:line="254" w:lineRule="auto"/>
        <w:tabs>
          <w:tab w:leader="none" w:pos="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6" w:lineRule="exact"/>
        <w:rPr>
          <w:sz w:val="20"/>
          <w:szCs w:val="20"/>
          <w:color w:val="auto"/>
        </w:rPr>
      </w:pPr>
    </w:p>
    <w:p>
      <w:pPr>
        <w:ind w:left="960" w:hanging="313"/>
        <w:spacing w:after="0" w:line="251"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891" w:right="379" w:bottom="1055"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right="20" w:firstLine="640"/>
        <w:spacing w:after="0" w:line="27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Rosh-Ha’Ayin, Israel, on this 27</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day of March, 2025.</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22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Lauri Hanover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15875</wp:posOffset>
            </wp:positionV>
            <wp:extent cx="256730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2567305" cy="17145"/>
                    </a:xfrm>
                    <a:prstGeom prst="rect">
                      <a:avLst/>
                    </a:prstGeom>
                    <a:noFill/>
                  </pic:spPr>
                </pic:pic>
              </a:graphicData>
            </a:graphic>
          </wp:anchor>
        </w:drawing>
      </w:r>
    </w:p>
    <w:p>
      <w:pPr>
        <w:spacing w:after="0" w:line="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Lauri Hanover</w:t>
      </w:r>
    </w:p>
    <w:p>
      <w:pPr>
        <w:spacing w:after="0" w:line="20" w:lineRule="exact"/>
        <w:rPr>
          <w:sz w:val="20"/>
          <w:szCs w:val="20"/>
          <w:color w:val="auto"/>
        </w:rPr>
      </w:pPr>
    </w:p>
    <w:p>
      <w:pPr>
        <w:ind w:left="46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ind w:firstLine="640"/>
        <w:spacing w:after="0" w:line="250" w:lineRule="auto"/>
        <w:rPr>
          <w:sz w:val="20"/>
          <w:szCs w:val="20"/>
          <w:color w:val="auto"/>
        </w:rPr>
      </w:pPr>
      <w:r>
        <w:rPr>
          <w:rFonts w:ascii="Times New Roman" w:cs="Times New Roman" w:eastAsia="Times New Roman" w:hAnsi="Times New Roman"/>
          <w:sz w:val="18"/>
          <w:szCs w:val="18"/>
          <w:color w:val="auto"/>
        </w:rPr>
        <w:t>KNOW ALL PERSONS BY THESE PRESENTS that the undersigned officers and directors of Kornit Digital Ltd., an Israeli corporation, do hereby constitute and appoint Ronen Samuel, Chief Executive Officer, and Lauri Hanover, Chief Financial Officer, and each of them, their lawful attorneys-in-fact and agents with full power and authority to do any and all acts and things and to execute any and all instruments which said attorneys and agents, and any one of them, determine may be necessary or advisable or required to enable said corporation to comply with the Securities Act of 1933, as amended, and any rules or regulations or requirements of the Securities and Exchange Commission in connection with this Registration Statement. Without limiting the generality of the foregoing power and authority, the powers granted include the power and authority to sign the names of the undersigned officers and directors in the capacities indicated below to this Registration Statement, to any and all amendments, both pre-effective and post-effective, and supplements to this Registration Statement, and to any and all instruments or documents filed as part of or in conjunction with this Registration Statement or amendments or supplements thereof, and each of the undersigned hereby ratifies and confirms that all said attorneys and agents, or any one of them, shall do or cause to be done by virtue hereof. This Power of Attorney may be signed in several counterparts.</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Power of Attorney as of the date indicated.</w:t>
      </w:r>
    </w:p>
    <w:p>
      <w:pPr>
        <w:spacing w:after="0" w:line="220" w:lineRule="exact"/>
        <w:rPr>
          <w:sz w:val="20"/>
          <w:szCs w:val="20"/>
          <w:color w:val="auto"/>
        </w:rPr>
      </w:pPr>
    </w:p>
    <w:p>
      <w:pPr>
        <w:ind w:right="60" w:firstLine="64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in the capacities and on the dates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428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4"/>
        </w:trPr>
        <w:tc>
          <w:tcPr>
            <w:tcW w:w="3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Ronen Samuel</w:t>
            </w:r>
          </w:p>
        </w:tc>
        <w:tc>
          <w:tcPr>
            <w:tcW w:w="56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Chief Executive Officer (Principal</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27, 2025</w:t>
            </w:r>
          </w:p>
        </w:tc>
      </w:tr>
      <w:tr>
        <w:trPr>
          <w:trHeight w:val="232"/>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Ronen Samuel</w:t>
            </w:r>
          </w:p>
        </w:tc>
        <w:tc>
          <w:tcPr>
            <w:tcW w:w="5620" w:type="dxa"/>
            <w:vAlign w:val="bottom"/>
            <w:gridSpan w:val="4"/>
          </w:tcPr>
          <w:p>
            <w:pPr>
              <w:ind w:left="220"/>
              <w:spacing w:after="0" w:line="206" w:lineRule="exact"/>
              <w:rPr>
                <w:sz w:val="20"/>
                <w:szCs w:val="20"/>
                <w:color w:val="auto"/>
              </w:rPr>
            </w:pPr>
            <w:r>
              <w:rPr>
                <w:rFonts w:ascii="Times New Roman" w:cs="Times New Roman" w:eastAsia="Times New Roman" w:hAnsi="Times New Roman"/>
                <w:sz w:val="18"/>
                <w:szCs w:val="18"/>
                <w:color w:val="auto"/>
              </w:rPr>
              <w:t>Executive Officer)</w:t>
            </w:r>
          </w:p>
        </w:tc>
        <w:tc>
          <w:tcPr>
            <w:tcW w:w="2240" w:type="dxa"/>
            <w:vAlign w:val="bottom"/>
          </w:tcPr>
          <w:p>
            <w:pPr>
              <w:spacing w:after="0"/>
              <w:rPr>
                <w:sz w:val="20"/>
                <w:szCs w:val="20"/>
                <w:color w:val="auto"/>
              </w:rPr>
            </w:pPr>
          </w:p>
        </w:tc>
      </w:tr>
      <w:tr>
        <w:trPr>
          <w:trHeight w:val="415"/>
        </w:trPr>
        <w:tc>
          <w:tcPr>
            <w:tcW w:w="3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Lauri Hanover</w:t>
            </w:r>
          </w:p>
        </w:tc>
        <w:tc>
          <w:tcPr>
            <w:tcW w:w="56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27, 2025</w:t>
            </w:r>
          </w:p>
        </w:tc>
      </w:tr>
      <w:tr>
        <w:trPr>
          <w:trHeight w:val="232"/>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Lauri Hanover</w:t>
            </w:r>
          </w:p>
        </w:tc>
        <w:tc>
          <w:tcPr>
            <w:tcW w:w="5620" w:type="dxa"/>
            <w:vAlign w:val="bottom"/>
            <w:gridSpan w:val="4"/>
          </w:tcPr>
          <w:p>
            <w:pPr>
              <w:ind w:left="220"/>
              <w:spacing w:after="0" w:line="206" w:lineRule="exact"/>
              <w:rPr>
                <w:sz w:val="20"/>
                <w:szCs w:val="20"/>
                <w:color w:val="auto"/>
              </w:rPr>
            </w:pPr>
            <w:r>
              <w:rPr>
                <w:rFonts w:ascii="Times New Roman" w:cs="Times New Roman" w:eastAsia="Times New Roman" w:hAnsi="Times New Roman"/>
                <w:sz w:val="18"/>
                <w:szCs w:val="18"/>
                <w:color w:val="auto"/>
              </w:rPr>
              <w:t>Accounting Officer)</w:t>
            </w:r>
          </w:p>
        </w:tc>
        <w:tc>
          <w:tcPr>
            <w:tcW w:w="2240" w:type="dxa"/>
            <w:vAlign w:val="bottom"/>
          </w:tcPr>
          <w:p>
            <w:pPr>
              <w:spacing w:after="0"/>
              <w:rPr>
                <w:sz w:val="20"/>
                <w:szCs w:val="20"/>
                <w:color w:val="auto"/>
              </w:rPr>
            </w:pPr>
          </w:p>
        </w:tc>
      </w:tr>
      <w:tr>
        <w:trPr>
          <w:trHeight w:val="415"/>
        </w:trPr>
        <w:tc>
          <w:tcPr>
            <w:tcW w:w="3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Yuval Cohen</w:t>
            </w:r>
          </w:p>
        </w:tc>
        <w:tc>
          <w:tcPr>
            <w:tcW w:w="56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Chairman of the Board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27, 2025</w:t>
            </w:r>
          </w:p>
        </w:tc>
      </w:tr>
      <w:tr>
        <w:trPr>
          <w:trHeight w:val="232"/>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Yuval Cohen</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5"/>
        </w:trPr>
        <w:tc>
          <w:tcPr>
            <w:tcW w:w="3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Ofer Ben-Zur</w:t>
            </w:r>
          </w:p>
        </w:tc>
        <w:tc>
          <w:tcPr>
            <w:tcW w:w="56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27, 2025</w:t>
            </w:r>
          </w:p>
        </w:tc>
      </w:tr>
      <w:tr>
        <w:trPr>
          <w:trHeight w:val="232"/>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Ofer Ben-Zur</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5"/>
        </w:trPr>
        <w:tc>
          <w:tcPr>
            <w:tcW w:w="3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Stephen Nigro</w:t>
            </w:r>
          </w:p>
        </w:tc>
        <w:tc>
          <w:tcPr>
            <w:tcW w:w="56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27, 2025</w:t>
            </w:r>
          </w:p>
        </w:tc>
      </w:tr>
      <w:tr>
        <w:trPr>
          <w:trHeight w:val="232"/>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Nigro</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5"/>
        </w:trPr>
        <w:tc>
          <w:tcPr>
            <w:tcW w:w="3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Naama Halevi Davidov</w:t>
            </w:r>
          </w:p>
        </w:tc>
        <w:tc>
          <w:tcPr>
            <w:tcW w:w="56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27, 2025</w:t>
            </w:r>
          </w:p>
        </w:tc>
      </w:tr>
      <w:tr>
        <w:trPr>
          <w:trHeight w:val="232"/>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Naama Halevi Davidov</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5"/>
        </w:trPr>
        <w:tc>
          <w:tcPr>
            <w:tcW w:w="3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Gabi Seligsohn</w:t>
            </w:r>
          </w:p>
        </w:tc>
        <w:tc>
          <w:tcPr>
            <w:tcW w:w="56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27, 2025</w:t>
            </w:r>
          </w:p>
        </w:tc>
      </w:tr>
      <w:tr>
        <w:trPr>
          <w:trHeight w:val="232"/>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Gabi Seligsohn</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5"/>
        </w:trPr>
        <w:tc>
          <w:tcPr>
            <w:tcW w:w="3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Dov Ofer</w:t>
            </w:r>
          </w:p>
        </w:tc>
        <w:tc>
          <w:tcPr>
            <w:tcW w:w="56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27, 2025</w:t>
            </w:r>
          </w:p>
        </w:tc>
      </w:tr>
      <w:tr>
        <w:trPr>
          <w:trHeight w:val="232"/>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Dov Ofer</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390"/>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REPRESENTATIVE IN</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32"/>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UNITED STATES: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Kornit Digital North America, Inc.</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3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Ilan Shlomo Elad</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95"/>
        </w:trPr>
        <w:tc>
          <w:tcPr>
            <w:tcW w:w="5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Name:</w:t>
            </w:r>
          </w:p>
        </w:tc>
        <w:tc>
          <w:tcPr>
            <w:tcW w:w="28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Ilan Shlomo Elad</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27, 2025</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1" w:right="339" w:bottom="321"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2147570</wp:posOffset>
            </wp:positionH>
            <wp:positionV relativeFrom="paragraph">
              <wp:posOffset>1297940</wp:posOffset>
            </wp:positionV>
            <wp:extent cx="284670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2846705" cy="1714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153670</wp:posOffset>
            </wp:positionV>
            <wp:extent cx="1643380" cy="10083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643380" cy="1008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2"/>
          <w:szCs w:val="12"/>
          <w:b w:val="1"/>
          <w:bCs w:val="1"/>
          <w:color w:val="auto"/>
        </w:rPr>
        <w:t>ornit</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igital</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td</w:t>
      </w:r>
      <w:r>
        <w:rPr>
          <w:rFonts w:ascii="Times New Roman" w:cs="Times New Roman" w:eastAsia="Times New Roman" w:hAnsi="Times New Roman"/>
          <w:sz w:val="18"/>
          <w:szCs w:val="18"/>
          <w:b w:val="1"/>
          <w:bCs w:val="1"/>
          <w:color w:val="auto"/>
        </w:rPr>
        <w:t>.</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SHARE INCENTIVE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2147570</wp:posOffset>
            </wp:positionH>
            <wp:positionV relativeFrom="paragraph">
              <wp:posOffset>139065</wp:posOffset>
            </wp:positionV>
            <wp:extent cx="284670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2846705" cy="171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Unless otherwise defined, terms used herein shall have the meaning ascribed to them in Section 2 hereof.</w:t>
      </w:r>
    </w:p>
    <w:p>
      <w:pPr>
        <w:spacing w:after="0" w:line="218" w:lineRule="exact"/>
        <w:rPr>
          <w:sz w:val="20"/>
          <w:szCs w:val="20"/>
          <w:color w:val="auto"/>
        </w:rPr>
      </w:pPr>
    </w:p>
    <w:p>
      <w:pPr>
        <w:ind w:left="640" w:hanging="63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PURPOSE; TYPES OF AWARDS; CONSTRUCTION</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purpose of this 2025 Share Incentive Plan (as amended, this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is to afford an incentive to Service Providers of Kornit Digital Ltd., an Israeli company (together with any successor corporation thereto,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 any Affiliate of the Company, which now exists or hereafter is organized or acquired by the Company or its Affiliates, to continue as Service Providers, to increase their efforts on behalf of the Company or its Affiliates and to promote the success of the Company’s business, by providing such Service Providers with opportunities to acquire a proprietary interest in the Company by the issuance of Shares or restricted Shares (“</w:t>
      </w:r>
      <w:r>
        <w:rPr>
          <w:rFonts w:ascii="Times New Roman" w:cs="Times New Roman" w:eastAsia="Times New Roman" w:hAnsi="Times New Roman"/>
          <w:sz w:val="18"/>
          <w:szCs w:val="18"/>
          <w:u w:val="single" w:color="auto"/>
          <w:color w:val="auto"/>
        </w:rPr>
        <w:t>Restricted Shares</w:t>
      </w:r>
      <w:r>
        <w:rPr>
          <w:rFonts w:ascii="Times New Roman" w:cs="Times New Roman" w:eastAsia="Times New Roman" w:hAnsi="Times New Roman"/>
          <w:sz w:val="18"/>
          <w:szCs w:val="18"/>
          <w:color w:val="auto"/>
        </w:rPr>
        <w:t>”) of the Company, Options, Restricted Share Units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share appreciation rights and other Share-based Awards pursuant to Sections 11 through 13 of this Plan.</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Types of Awards</w:t>
      </w:r>
      <w:r>
        <w:rPr>
          <w:rFonts w:ascii="Times New Roman" w:cs="Times New Roman" w:eastAsia="Times New Roman" w:hAnsi="Times New Roman"/>
          <w:sz w:val="18"/>
          <w:szCs w:val="18"/>
          <w:color w:val="auto"/>
        </w:rPr>
        <w:t>. This Plan is intended to enable the Company to issue Awards under various tax regimes, including:</w:t>
      </w:r>
    </w:p>
    <w:p>
      <w:pPr>
        <w:spacing w:after="0" w:line="220" w:lineRule="exact"/>
        <w:rPr>
          <w:sz w:val="20"/>
          <w:szCs w:val="20"/>
          <w:color w:val="auto"/>
        </w:rPr>
      </w:pPr>
    </w:p>
    <w:p>
      <w:pPr>
        <w:ind w:left="640" w:right="60" w:firstLine="648"/>
        <w:spacing w:after="0" w:line="254" w:lineRule="auto"/>
        <w:tabs>
          <w:tab w:leader="none" w:pos="149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and subject to the provisions of Section 102 of the Ordinance (or the corresponding provision of any subsequently enacted statute, as amended from time to time), and all regulations and interpretations adopted by any competent authority, including the Israel Tax Authority (the “</w:t>
      </w:r>
      <w:r>
        <w:rPr>
          <w:rFonts w:ascii="Times New Roman" w:cs="Times New Roman" w:eastAsia="Times New Roman" w:hAnsi="Times New Roman"/>
          <w:sz w:val="18"/>
          <w:szCs w:val="18"/>
          <w:u w:val="single" w:color="auto"/>
          <w:color w:val="auto"/>
        </w:rPr>
        <w:t>ITA</w:t>
      </w:r>
      <w:r>
        <w:rPr>
          <w:rFonts w:ascii="Times New Roman" w:cs="Times New Roman" w:eastAsia="Times New Roman" w:hAnsi="Times New Roman"/>
          <w:sz w:val="18"/>
          <w:szCs w:val="18"/>
          <w:color w:val="auto"/>
        </w:rPr>
        <w:t>”), including the Income Tax Rules (Tax Benefits in Stock Issuance to Employees) 5763-2003 or such other rules so adopted from time to time (the “</w:t>
      </w:r>
      <w:r>
        <w:rPr>
          <w:rFonts w:ascii="Times New Roman" w:cs="Times New Roman" w:eastAsia="Times New Roman" w:hAnsi="Times New Roman"/>
          <w:sz w:val="18"/>
          <w:szCs w:val="18"/>
          <w:u w:val="single" w:color="auto"/>
          <w:color w:val="auto"/>
        </w:rPr>
        <w:t>Rules</w:t>
      </w:r>
      <w:r>
        <w:rPr>
          <w:rFonts w:ascii="Times New Roman" w:cs="Times New Roman" w:eastAsia="Times New Roman" w:hAnsi="Times New Roman"/>
          <w:sz w:val="18"/>
          <w:szCs w:val="18"/>
          <w:color w:val="auto"/>
        </w:rPr>
        <w:t>”) (such Awards that are intended to be (as set forth in the Award Agreement) and which qualify as such under Section 102 of the Ordinance and the Rules, “</w:t>
      </w:r>
      <w:r>
        <w:rPr>
          <w:rFonts w:ascii="Times New Roman" w:cs="Times New Roman" w:eastAsia="Times New Roman" w:hAnsi="Times New Roman"/>
          <w:sz w:val="18"/>
          <w:szCs w:val="18"/>
          <w:u w:val="single" w:color="auto"/>
          <w:color w:val="auto"/>
        </w:rPr>
        <w:t>102 Awards</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640" w:right="120" w:firstLine="648"/>
        <w:spacing w:after="0" w:line="277" w:lineRule="auto"/>
        <w:tabs>
          <w:tab w:leader="none" w:pos="154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3(i) of the Ordinance or the corresponding provision of any subsequently enacted statute, as amended from time to time (such Awards, “</w:t>
      </w:r>
      <w:r>
        <w:rPr>
          <w:rFonts w:ascii="Times New Roman" w:cs="Times New Roman" w:eastAsia="Times New Roman" w:hAnsi="Times New Roman"/>
          <w:sz w:val="18"/>
          <w:szCs w:val="18"/>
          <w:u w:val="single" w:color="auto"/>
          <w:color w:val="auto"/>
        </w:rPr>
        <w:t>3(i) Awards</w:t>
      </w:r>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auto"/>
        </w:rPr>
      </w:pPr>
    </w:p>
    <w:p>
      <w:pPr>
        <w:ind w:left="640" w:right="40" w:firstLine="648"/>
        <w:spacing w:after="0" w:line="257" w:lineRule="auto"/>
        <w:tabs>
          <w:tab w:leader="none" w:pos="15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Options within the meaning of Section 422 of the Code, or the corresponding provision of any subsequently enacted United States federal tax statute, as amended from time to time, to be granted to Employees who are deemed to be residents of the United States, for purposes of taxation, or are otherwise subject to U.S. Federal income tax (such Awards that are intended to be (as set forth in the Award Agreement) and which qualify as an incentive stock option within the meaning of Section 422(b) of the Code, “</w:t>
      </w:r>
      <w:r>
        <w:rPr>
          <w:rFonts w:ascii="Times New Roman" w:cs="Times New Roman" w:eastAsia="Times New Roman" w:hAnsi="Times New Roman"/>
          <w:sz w:val="18"/>
          <w:szCs w:val="18"/>
          <w:u w:val="single" w:color="auto"/>
          <w:color w:val="auto"/>
        </w:rPr>
        <w:t>Incentive Stock Options</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left="640" w:right="240" w:firstLine="648"/>
        <w:spacing w:after="0" w:line="277" w:lineRule="auto"/>
        <w:tabs>
          <w:tab w:leader="none" w:pos="158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not intended to be (as set forth in the Award Agreement) or which do not qualify as Incentive Stock Options (“</w:t>
      </w:r>
      <w:r>
        <w:rPr>
          <w:rFonts w:ascii="Times New Roman" w:cs="Times New Roman" w:eastAsia="Times New Roman" w:hAnsi="Times New Roman"/>
          <w:sz w:val="18"/>
          <w:szCs w:val="18"/>
          <w:u w:val="single" w:color="auto"/>
          <w:color w:val="auto"/>
        </w:rPr>
        <w:t>Nonqualified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auto"/>
        </w:rPr>
      </w:pPr>
    </w:p>
    <w:p>
      <w:pPr>
        <w:ind w:left="1540" w:hanging="252"/>
        <w:spacing w:after="0"/>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appreciation rights; and</w:t>
      </w:r>
    </w:p>
    <w:p>
      <w:pPr>
        <w:spacing w:after="0" w:line="219" w:lineRule="exact"/>
        <w:rPr>
          <w:rFonts w:ascii="Times New Roman" w:cs="Times New Roman" w:eastAsia="Times New Roman" w:hAnsi="Times New Roman"/>
          <w:sz w:val="18"/>
          <w:szCs w:val="18"/>
          <w:color w:val="auto"/>
        </w:rPr>
      </w:pPr>
    </w:p>
    <w:p>
      <w:pPr>
        <w:ind w:left="1580" w:hanging="292"/>
        <w:spacing w:after="0"/>
        <w:tabs>
          <w:tab w:leader="none" w:pos="1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Shares, RSUs and other forms of Share-based Awards.</w:t>
      </w:r>
    </w:p>
    <w:p>
      <w:pPr>
        <w:spacing w:after="0" w:line="22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to the issuance of Awards under the relevant tax regimes in the United States of America and the State of Israel, and without derogating from the generality of Section 24, this Plan contemplates issuances to Grantees in other jurisdictions or under other tax regimes with respect to which the Committee is empowered, but is not required, to make the requisite adjustments in this Plan, to adopt sub-plans under this Plan and/or to set forth the relevant conditions in an appendix to this Plan or in the Company’s agreement with the Grantee in order to comply with Applicable Law of such other jurisdictions or the requirements of such other tax regimes.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417830</wp:posOffset>
            </wp:positionV>
            <wp:extent cx="71342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ind w:right="40" w:firstLine="640"/>
        <w:spacing w:after="0" w:line="268" w:lineRule="auto"/>
        <w:rPr>
          <w:sz w:val="20"/>
          <w:szCs w:val="20"/>
          <w:color w:val="auto"/>
        </w:rPr>
      </w:pPr>
      <w:r>
        <w:rPr>
          <w:rFonts w:ascii="Times New Roman" w:cs="Times New Roman" w:eastAsia="Times New Roman" w:hAnsi="Times New Roman"/>
          <w:sz w:val="17"/>
          <w:szCs w:val="17"/>
          <w:color w:val="auto"/>
        </w:rPr>
        <w:t xml:space="preserve">1.3. </w:t>
      </w:r>
      <w:r>
        <w:rPr>
          <w:rFonts w:ascii="Times New Roman" w:cs="Times New Roman" w:eastAsia="Times New Roman" w:hAnsi="Times New Roman"/>
          <w:sz w:val="17"/>
          <w:szCs w:val="17"/>
          <w:u w:val="single" w:color="auto"/>
          <w:color w:val="auto"/>
        </w:rPr>
        <w:t>Construction</w:t>
      </w:r>
      <w:r>
        <w:rPr>
          <w:rFonts w:ascii="Times New Roman" w:cs="Times New Roman" w:eastAsia="Times New Roman" w:hAnsi="Times New Roman"/>
          <w:sz w:val="17"/>
          <w:szCs w:val="17"/>
          <w:color w:val="auto"/>
        </w:rPr>
        <w:t>. To the extent any provision herein conflicts with the conditions of any relevant tax law, rule or regulation which are relied upon for tax relief in respect of a particular Award to a Grantee, the Committee is empowered, but is not required, hereunder to determine that the provisions of such law, rule or regulation shall prevail over those of this Plan and to interpret and enforce such prevailing provisions. With respect to 102 Awards, if and to the extent any action or the exercise or application of any provision hereof or authority granted hereby is conditioned or subject to obtaining a ruling or tax determination from the ITA, to the extent required by Applicable Law, then the taking of any such action or the exercise or application of such section or authority with respect to 102 Awards shall be conditioned upon obtaining such ruling or tax determination, and, if obtained, shall be subject to any condition set forth therein; it being clarified that there is no obligation to apply for any such ruling or tax determination (which shall be in the sole discretion of the Committee) and no assurance is made that if applied any such ruling or tax determination will be obtained (or the conditions thereof).</w:t>
      </w:r>
    </w:p>
    <w:p>
      <w:pPr>
        <w:spacing w:after="0" w:line="171" w:lineRule="exact"/>
        <w:rPr>
          <w:sz w:val="20"/>
          <w:szCs w:val="20"/>
          <w:color w:val="auto"/>
        </w:rPr>
      </w:pPr>
    </w:p>
    <w:p>
      <w:pPr>
        <w:ind w:left="640" w:hanging="63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w:t>
      </w:r>
    </w:p>
    <w:p>
      <w:pPr>
        <w:spacing w:after="0" w:line="224" w:lineRule="exact"/>
        <w:rPr>
          <w:sz w:val="20"/>
          <w:szCs w:val="20"/>
          <w:color w:val="auto"/>
        </w:rPr>
      </w:pPr>
    </w:p>
    <w:p>
      <w:pPr>
        <w:ind w:firstLine="640"/>
        <w:spacing w:after="0" w:line="267" w:lineRule="auto"/>
        <w:rPr>
          <w:sz w:val="20"/>
          <w:szCs w:val="20"/>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u w:val="single" w:color="auto"/>
          <w:color w:val="auto"/>
        </w:rPr>
        <w:t>Terms Generally</w:t>
      </w:r>
      <w:r>
        <w:rPr>
          <w:rFonts w:ascii="Times New Roman" w:cs="Times New Roman" w:eastAsia="Times New Roman" w:hAnsi="Times New Roman"/>
          <w:sz w:val="17"/>
          <w:szCs w:val="17"/>
          <w:color w:val="auto"/>
        </w:rPr>
        <w:t>. Except when otherwise indicated by the context, (i) the singular shall include the plural and the plural shall include the singular; (ii) any pronoun shall include the corresponding masculine, feminine and neuter forms; (iii)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therein or herein),</w:t>
      </w:r>
    </w:p>
    <w:p>
      <w:pPr>
        <w:spacing w:after="0" w:line="3" w:lineRule="exact"/>
        <w:rPr>
          <w:sz w:val="20"/>
          <w:szCs w:val="20"/>
          <w:color w:val="auto"/>
        </w:rPr>
      </w:pPr>
    </w:p>
    <w:p>
      <w:pPr>
        <w:ind w:right="80" w:firstLine="7"/>
        <w:spacing w:after="0" w:line="248" w:lineRule="auto"/>
        <w:tabs>
          <w:tab w:leader="none" w:pos="30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law, constitution, statute, treaty, regulation, rule or ordinance, including any section or other part thereof shall refer to it as amended from time to time and shall include any successor thereof, (v) reference to a “company” or “entity” shall include a, partnership, corporation, limited liability company, association, trust, unincorporated organization, or a government or agency or political subdivision thereof, and reference to a “person” shall mean any of the foregoing or an individual, (vi) the words “herein”, “hereof” and “hereunder”, and words of similar import, shall be construed to refer to this Plan in its entirety, and not to any particular provision hereof, (vii) all references herein to Sections shall be construed to refer to Sections to this Plan; (viii) the words “include”, “includes” and “including” shall be deemed to be followed by the phrase “without limitation”; and (ix) use of the term “or” is not intended to be exclusive.</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The following terms shall have the meanings ascribed to them in this Section 2:</w:t>
      </w:r>
    </w:p>
    <w:p>
      <w:pPr>
        <w:spacing w:after="0" w:line="220" w:lineRule="exact"/>
        <w:rPr>
          <w:sz w:val="20"/>
          <w:szCs w:val="20"/>
          <w:color w:val="auto"/>
        </w:rPr>
      </w:pPr>
    </w:p>
    <w:p>
      <w:pPr>
        <w:jc w:val="both"/>
        <w:ind w:right="100" w:firstLine="640"/>
        <w:spacing w:after="0" w:line="262"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(i) with respect to any person, any other person that, directly or indirectly through one or more intermediaries, controls, is controlled by, or is under common control with, such person (with the term “control” or “controlled by” within the meaning of Rule 405 of Regulation C under the Securities Act), including, without limitation, any Parent or Subsidiary, or (ii) Employer.</w:t>
      </w:r>
    </w:p>
    <w:p>
      <w:pPr>
        <w:spacing w:after="0" w:line="176" w:lineRule="exact"/>
        <w:rPr>
          <w:sz w:val="20"/>
          <w:szCs w:val="20"/>
          <w:color w:val="auto"/>
        </w:rPr>
      </w:pPr>
    </w:p>
    <w:p>
      <w:pPr>
        <w:jc w:val="both"/>
        <w:ind w:right="160" w:firstLine="640"/>
        <w:spacing w:after="0" w:line="262"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shall mean any applicable law, rule, regulation, statute, pronouncement, policy, interpretation, judgment, order or decree of any federal, provincial, state or local governmental, regulatory or adjudicative authority or agency, of any jurisdiction, and the rules and regulations of any stock exchange, over-the-counter market or trading system on which the Company’s shares are then traded or listed.</w:t>
      </w:r>
    </w:p>
    <w:p>
      <w:pPr>
        <w:spacing w:after="0" w:line="176" w:lineRule="exact"/>
        <w:rPr>
          <w:sz w:val="20"/>
          <w:szCs w:val="20"/>
          <w:color w:val="auto"/>
        </w:rPr>
      </w:pPr>
    </w:p>
    <w:p>
      <w:pPr>
        <w:ind w:right="220" w:firstLine="640"/>
        <w:spacing w:after="0" w:line="262" w:lineRule="auto"/>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shall mean any issuance of Shares or Restricted Shares, Options, RSUs, share appreciation rights and other Share-based Awards granted under this Plan or any award granted under a previous plan of the Company or its subsidiaries (including any company acquired by the Company) similar to this plan (including, but not limited to, the Prior Plans.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mean the Board of Directors of the Company.</w:t>
      </w:r>
    </w:p>
    <w:p>
      <w:pPr>
        <w:spacing w:after="0" w:line="220" w:lineRule="exact"/>
        <w:rPr>
          <w:sz w:val="20"/>
          <w:szCs w:val="20"/>
          <w:color w:val="auto"/>
        </w:rPr>
      </w:pPr>
    </w:p>
    <w:p>
      <w:pPr>
        <w:ind w:firstLine="640"/>
        <w:spacing w:after="0" w:line="253" w:lineRule="auto"/>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u w:val="single" w:color="auto"/>
          <w:color w:val="auto"/>
        </w:rPr>
        <w:t>Change in Board Event</w:t>
      </w:r>
      <w:r>
        <w:rPr>
          <w:rFonts w:ascii="Times New Roman" w:cs="Times New Roman" w:eastAsia="Times New Roman" w:hAnsi="Times New Roman"/>
          <w:sz w:val="18"/>
          <w:szCs w:val="18"/>
          <w:color w:val="auto"/>
        </w:rPr>
        <w:t>” shall mean any time at which individuals who, as of the Effective Date, constitute the Board (the “</w:t>
      </w:r>
      <w:r>
        <w:rPr>
          <w:rFonts w:ascii="Times New Roman" w:cs="Times New Roman" w:eastAsia="Times New Roman" w:hAnsi="Times New Roman"/>
          <w:sz w:val="18"/>
          <w:szCs w:val="18"/>
          <w:u w:val="single" w:color="auto"/>
          <w:color w:val="auto"/>
        </w:rPr>
        <w:t>Incumbent Board</w:t>
      </w:r>
      <w:r>
        <w:rPr>
          <w:rFonts w:ascii="Times New Roman" w:cs="Times New Roman" w:eastAsia="Times New Roman" w:hAnsi="Times New Roman"/>
          <w:sz w:val="18"/>
          <w:szCs w:val="18"/>
          <w:color w:val="auto"/>
        </w:rPr>
        <w:t xml:space="preserve">”) cease for any reason to constitute at least a majority of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United States Internal Revenue Code of 1986, and any applicable regulations promulgated thereunder, all as amended.</w:t>
      </w: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9" w:name="page10"/>
    <w:bookmarkEnd w:id="9"/>
    <w:p>
      <w:pPr>
        <w:ind w:left="640"/>
        <w:spacing w:after="0"/>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shall mean a committee established or appointed by the Board to administer this Plan, subject to Section 3.1.</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2.10. “</w:t>
      </w:r>
      <w:r>
        <w:rPr>
          <w:rFonts w:ascii="Times New Roman" w:cs="Times New Roman" w:eastAsia="Times New Roman" w:hAnsi="Times New Roman"/>
          <w:sz w:val="17"/>
          <w:szCs w:val="17"/>
          <w:u w:val="single" w:color="auto"/>
          <w:color w:val="auto"/>
        </w:rPr>
        <w:t>Companies Law</w:t>
      </w:r>
      <w:r>
        <w:rPr>
          <w:rFonts w:ascii="Times New Roman" w:cs="Times New Roman" w:eastAsia="Times New Roman" w:hAnsi="Times New Roman"/>
          <w:sz w:val="17"/>
          <w:szCs w:val="17"/>
          <w:color w:val="auto"/>
        </w:rPr>
        <w:t>” shall mean the Israel Companies Law, 5759-1999, and the regulations promulgated thereunder, all as amended from time to</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u w:val="single" w:color="auto"/>
          <w:color w:val="auto"/>
        </w:rPr>
        <w:t>Controlling Shareholder</w:t>
      </w:r>
      <w:r>
        <w:rPr>
          <w:rFonts w:ascii="Times New Roman" w:cs="Times New Roman" w:eastAsia="Times New Roman" w:hAnsi="Times New Roman"/>
          <w:sz w:val="18"/>
          <w:szCs w:val="18"/>
          <w:color w:val="auto"/>
        </w:rPr>
        <w:t>” shall have the meaning set forth in Section 32(9) of the Ordinance.</w:t>
      </w:r>
    </w:p>
    <w:p>
      <w:pPr>
        <w:spacing w:after="0" w:line="220" w:lineRule="exact"/>
        <w:rPr>
          <w:sz w:val="20"/>
          <w:szCs w:val="20"/>
          <w:color w:val="auto"/>
        </w:rPr>
      </w:pPr>
    </w:p>
    <w:p>
      <w:pPr>
        <w:ind w:right="80" w:firstLine="640"/>
        <w:spacing w:after="0" w:line="253" w:lineRule="auto"/>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shall mean (i) the inability of a Grantee to engage in any substantial gainful activity or to perform the major duties of the Grantee’s position with the Company or its Affiliates by reason of any medically determinable physical or mental impairment which has lasted or can be expected to last for a continuous period of not less than 12 months (or such other period as determined by the Committee), as determined by a qualified doctor acceptable to the Company, (ii) if applicable, a “permanent and total disability” as defined in Section 22(e)(3) of the Code or Section 409A(a)(2)(c)(i) of the Code, as amended from time to time, or (iii) as defined in a policy of the Company that the Committee deems applicable to this Plan, or that makes reference to this Plan, for purposes of this definition.</w:t>
      </w:r>
    </w:p>
    <w:p>
      <w:pPr>
        <w:spacing w:after="0" w:line="185" w:lineRule="exact"/>
        <w:rPr>
          <w:sz w:val="20"/>
          <w:szCs w:val="20"/>
          <w:color w:val="auto"/>
        </w:rPr>
      </w:pPr>
    </w:p>
    <w:p>
      <w:pPr>
        <w:ind w:right="20" w:firstLine="640"/>
        <w:spacing w:after="0" w:line="252" w:lineRule="auto"/>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xml:space="preserve">” shall mean any person treated as an employee (including an officer or a director who is also treated as an employee) in the records of the Company or any of its Affiliates (and in the case of 102 Awards, subject to Section 9.3 or in the case of Incentive Stock Options, who is an employee for purposes of Section 422 of the Code);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service as a director nor payment of a director’s fee shall be sufficient to constitute employment for purposes of this Plan. The Company shall determine in good faith and in the exercise of its discretion whether an individual has become or has ceased to be an Employee and the effective date of such individual’s employment or termination of employment, as the case may be. For purposes of a person’s rights, if any, under this Plan as of the time of the Company’s determination, all such determinations by the Company shall be final, binding and conclusive, notwithstanding that the Company or any court of law or governmental agency subsequently makes a contrary determination.</w:t>
      </w:r>
    </w:p>
    <w:p>
      <w:pPr>
        <w:spacing w:after="0" w:line="187" w:lineRule="exact"/>
        <w:rPr>
          <w:sz w:val="20"/>
          <w:szCs w:val="20"/>
          <w:color w:val="auto"/>
        </w:rPr>
      </w:pPr>
    </w:p>
    <w:p>
      <w:pPr>
        <w:ind w:right="260" w:firstLine="640"/>
        <w:spacing w:after="0" w:line="277" w:lineRule="auto"/>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u w:val="single" w:color="auto"/>
          <w:color w:val="auto"/>
        </w:rPr>
        <w:t>Employer</w:t>
      </w:r>
      <w:r>
        <w:rPr>
          <w:rFonts w:ascii="Times New Roman" w:cs="Times New Roman" w:eastAsia="Times New Roman" w:hAnsi="Times New Roman"/>
          <w:sz w:val="18"/>
          <w:szCs w:val="18"/>
          <w:color w:val="auto"/>
        </w:rPr>
        <w:t>” means, for purpose of a 102 Trustee Award, the Company or an Affiliate, Subsidiary or Parent thereof, which is an “employing company” within the meaning and subject to the conditions of Section 102(a) of the Ordinance.</w:t>
      </w:r>
    </w:p>
    <w:p>
      <w:pPr>
        <w:spacing w:after="0" w:line="163" w:lineRule="exact"/>
        <w:rPr>
          <w:sz w:val="20"/>
          <w:szCs w:val="20"/>
          <w:color w:val="auto"/>
        </w:rPr>
      </w:pPr>
    </w:p>
    <w:p>
      <w:pPr>
        <w:ind w:right="260" w:firstLine="640"/>
        <w:spacing w:after="0" w:line="277" w:lineRule="auto"/>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employed</w:t>
      </w:r>
      <w:r>
        <w:rPr>
          <w:rFonts w:ascii="Times New Roman" w:cs="Times New Roman" w:eastAsia="Times New Roman" w:hAnsi="Times New Roman"/>
          <w:sz w:val="18"/>
          <w:szCs w:val="18"/>
          <w:color w:val="auto"/>
        </w:rPr>
        <w:t>” and words of similar import shall be deemed to refer to the employment of Employees or to the services of any other Service Provider, as the case may be.</w:t>
      </w:r>
    </w:p>
    <w:p>
      <w:pPr>
        <w:spacing w:after="0" w:line="163" w:lineRule="exact"/>
        <w:rPr>
          <w:sz w:val="20"/>
          <w:szCs w:val="20"/>
          <w:color w:val="auto"/>
        </w:rPr>
      </w:pPr>
    </w:p>
    <w:p>
      <w:pPr>
        <w:ind w:right="460" w:firstLine="640"/>
        <w:spacing w:after="0" w:line="277" w:lineRule="auto"/>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U.S. Securities Exchange Act of 1934, as amended, and all regulations, guidance and other interpretative authority issued thereunder.</w:t>
      </w:r>
    </w:p>
    <w:p>
      <w:pPr>
        <w:spacing w:after="0" w:line="163" w:lineRule="exact"/>
        <w:rPr>
          <w:sz w:val="20"/>
          <w:szCs w:val="20"/>
          <w:color w:val="auto"/>
        </w:rPr>
      </w:pPr>
    </w:p>
    <w:p>
      <w:pPr>
        <w:ind w:right="200" w:firstLine="640"/>
        <w:spacing w:after="0" w:line="262" w:lineRule="auto"/>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exercised</w:t>
      </w:r>
      <w:r>
        <w:rPr>
          <w:rFonts w:ascii="Times New Roman" w:cs="Times New Roman" w:eastAsia="Times New Roman" w:hAnsi="Times New Roman"/>
          <w:sz w:val="18"/>
          <w:szCs w:val="18"/>
          <w:color w:val="auto"/>
        </w:rPr>
        <w:t>” and words of similar import, when referring to an Award that does not require exercise or that is settled upon vesting (such as may be the case with RSUs or Restricted Shares, if so determined in their terms), shall be deemed to refer to the vesting of such an Award (regardless of whether or not the wording included reference to vesting of such an Awards explicitly).</w:t>
      </w:r>
    </w:p>
    <w:p>
      <w:pPr>
        <w:spacing w:after="0" w:line="176" w:lineRule="exact"/>
        <w:rPr>
          <w:sz w:val="20"/>
          <w:szCs w:val="20"/>
          <w:color w:val="auto"/>
        </w:rPr>
      </w:pPr>
    </w:p>
    <w:p>
      <w:pPr>
        <w:ind w:right="20" w:firstLine="640"/>
        <w:spacing w:after="0" w:line="277" w:lineRule="auto"/>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u w:val="single" w:color="auto"/>
          <w:color w:val="auto"/>
        </w:rPr>
        <w:t>Exercise Period</w:t>
      </w:r>
      <w:r>
        <w:rPr>
          <w:rFonts w:ascii="Times New Roman" w:cs="Times New Roman" w:eastAsia="Times New Roman" w:hAnsi="Times New Roman"/>
          <w:sz w:val="18"/>
          <w:szCs w:val="18"/>
          <w:color w:val="auto"/>
        </w:rPr>
        <w:t>” shall mean the period, commencing on the date of grant of an Award, during which an Award shall be exercisable, subject to any vesting provisions thereof (including any acceleration thereof, if any) and subject to the termination provisions hereof.</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2.19. “</w:t>
      </w: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shall mean the exercise price for each Share covered by an Option or the purchase price for each Share covered by any other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w:t>
      </w:r>
    </w:p>
    <w:p>
      <w:pPr>
        <w:spacing w:after="0" w:line="201" w:lineRule="exact"/>
        <w:rPr>
          <w:sz w:val="20"/>
          <w:szCs w:val="20"/>
          <w:color w:val="auto"/>
        </w:rPr>
      </w:pPr>
    </w:p>
    <w:p>
      <w:pPr>
        <w:ind w:firstLine="640"/>
        <w:spacing w:after="0" w:line="265" w:lineRule="auto"/>
        <w:rPr>
          <w:sz w:val="20"/>
          <w:szCs w:val="20"/>
          <w:color w:val="auto"/>
        </w:rPr>
      </w:pPr>
      <w:r>
        <w:rPr>
          <w:rFonts w:ascii="Times New Roman" w:cs="Times New Roman" w:eastAsia="Times New Roman" w:hAnsi="Times New Roman"/>
          <w:sz w:val="17"/>
          <w:szCs w:val="17"/>
          <w:color w:val="auto"/>
        </w:rPr>
        <w:t>2.20. “</w:t>
      </w:r>
      <w:r>
        <w:rPr>
          <w:rFonts w:ascii="Times New Roman" w:cs="Times New Roman" w:eastAsia="Times New Roman" w:hAnsi="Times New Roman"/>
          <w:sz w:val="17"/>
          <w:szCs w:val="17"/>
          <w:u w:val="single" w:color="auto"/>
          <w:color w:val="auto"/>
        </w:rPr>
        <w:t>Fair Market Value</w:t>
      </w:r>
      <w:r>
        <w:rPr>
          <w:rFonts w:ascii="Times New Roman" w:cs="Times New Roman" w:eastAsia="Times New Roman" w:hAnsi="Times New Roman"/>
          <w:sz w:val="17"/>
          <w:szCs w:val="17"/>
          <w:color w:val="auto"/>
        </w:rPr>
        <w:t xml:space="preserve">” shall mean, as of any date, the value of a Share or other securities, property or rights as determined by the Board, in its discretion, subject to the following: (i) if, on such date, the Shares are listed on any securities exchange, the closing sales price per Share on the securities exchange on which the Shares are principally traded on such date, or if no sale occurred on such date, the last day preceding such date on which a sale occurred, as reported in The Wall Street Journal or such other source as the Company deems reliable; (ii) if, on such date, the Shares are then quoted in an over-the-counter market, the average of the closing bid and asked prices for the Shares in that market on such date, or if there are no bid and asked prices on such date, the last day preceding such date on which there are bid and asked prices, as reported in The Wall Street Journal or such other source as the Company deems reliable; or (iii) if, on such date, the Shares are not then listed on a securities exchange or quoted in an over-the-counter market, or in case of any other securities, property or rights, such value as the Committee, in its sole discretion, shall determine, with full authority to determine the method for making such determination and which determination shall be conclusive and binding on all parties, and shall be made after such consultations with outside legal, accounting and other experts as the Committee may deem advisable;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applicable, the Fair Market Value of the Shares shall be determined in a manner that is intended to satisfy the applicable requirements of and subject to Section 409A of the Code, and with respect to Incentive Stock Options, in a manner that is intended to satisfy the applicable requirements of and subject to Section 422 of the Code, subject to Section 422(c)(7) of the Code. The Committee shall maintain a written record of its method of determining such value. If the Shares are listed or quoted on more than one established stock exchange or over-the-counter market, the Committee shall determine the principal such exchange or market and utilize the price of the Shares on that exchange or market (determined as per the method described in clauses (i) or (ii) above, as applicable) for the purpose of determining Fair Market Value.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 w:name="page11"/>
    <w:bookmarkEnd w:id="10"/>
    <w:p>
      <w:pPr>
        <w:ind w:firstLine="640"/>
        <w:spacing w:after="0" w:line="250" w:lineRule="auto"/>
        <w:rPr>
          <w:sz w:val="20"/>
          <w:szCs w:val="20"/>
          <w:color w:val="auto"/>
        </w:rPr>
      </w:pPr>
      <w:r>
        <w:rPr>
          <w:rFonts w:ascii="Times New Roman" w:cs="Times New Roman" w:eastAsia="Times New Roman" w:hAnsi="Times New Roman"/>
          <w:sz w:val="18"/>
          <w:szCs w:val="18"/>
          <w:color w:val="auto"/>
        </w:rPr>
        <w:t>2.21. “</w:t>
      </w:r>
      <w:r>
        <w:rPr>
          <w:rFonts w:ascii="Times New Roman" w:cs="Times New Roman" w:eastAsia="Times New Roman" w:hAnsi="Times New Roman"/>
          <w:sz w:val="18"/>
          <w:szCs w:val="18"/>
          <w:u w:val="single" w:color="auto"/>
          <w:color w:val="auto"/>
        </w:rPr>
        <w:t>Grantee</w:t>
      </w:r>
      <w:r>
        <w:rPr>
          <w:rFonts w:ascii="Times New Roman" w:cs="Times New Roman" w:eastAsia="Times New Roman" w:hAnsi="Times New Roman"/>
          <w:sz w:val="18"/>
          <w:szCs w:val="18"/>
          <w:color w:val="auto"/>
        </w:rPr>
        <w:t xml:space="preserve">” shall mean a person who has been granted an Award(s) under this prices, as reported in The Wall Street Journal or such other source as the Company deems reliable; or (iii) if, on such date, the Shares are not then listed on a securities exchange or quoted in an over-the-counter market, or in case of any other securities, property or rights, such value as the Committee, in its sole discretion, shall determine, with full authority to determine the method for making such determination and which determination shall be conclusive and binding on all parties, and shall be made after such consultations with outside legal, accounting and other experts as the Committee may deem advisable;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applicable, the Fair Market Value of the Shares shall be determined in a manner that is intended to satisfy the applicable requirements of and subject to Section 409A of the Code, and with respect to Incentive Stock Options, in a manner that is intended to satisfy the applicable requirements of and subject to Section 422 of the Code, subject to Section 422(c)(7) of the Code. The Committee shall maintain a written record of its method of determining such value. If the Shares are listed or quoted on more than one established stock exchange or over-the-counter market, the Committee shall determine the principal such exchange or market and utilize the price of the Shares on that exchange or market (determined as per the method described in clauses (i) or (ii) above, as applicable) for the purpose of determining Fair Market Value.</w:t>
      </w:r>
    </w:p>
    <w:p>
      <w:pPr>
        <w:spacing w:after="0" w:line="190" w:lineRule="exact"/>
        <w:rPr>
          <w:sz w:val="20"/>
          <w:szCs w:val="20"/>
          <w:color w:val="auto"/>
        </w:rPr>
      </w:pPr>
    </w:p>
    <w:p>
      <w:pPr>
        <w:ind w:right="200" w:firstLine="640"/>
        <w:spacing w:after="0" w:line="277" w:lineRule="auto"/>
        <w:rPr>
          <w:sz w:val="20"/>
          <w:szCs w:val="20"/>
          <w:color w:val="auto"/>
        </w:rPr>
      </w:pPr>
      <w:r>
        <w:rPr>
          <w:rFonts w:ascii="Times New Roman" w:cs="Times New Roman" w:eastAsia="Times New Roman" w:hAnsi="Times New Roman"/>
          <w:sz w:val="18"/>
          <w:szCs w:val="18"/>
          <w:color w:val="auto"/>
        </w:rPr>
        <w:t>2.22.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shall mean a grant of options to purchase Shares, including, for the avoidance of doubt, Incentive Stock Options and Nonqualified Stock Options.</w:t>
      </w:r>
    </w:p>
    <w:p>
      <w:pPr>
        <w:spacing w:after="0" w:line="163" w:lineRule="exact"/>
        <w:rPr>
          <w:sz w:val="20"/>
          <w:szCs w:val="20"/>
          <w:color w:val="auto"/>
        </w:rPr>
      </w:pPr>
    </w:p>
    <w:p>
      <w:pPr>
        <w:ind w:right="480" w:firstLine="640"/>
        <w:spacing w:after="0" w:line="277" w:lineRule="auto"/>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u w:val="single" w:color="auto"/>
          <w:color w:val="auto"/>
        </w:rPr>
        <w:t>Ordinance</w:t>
      </w:r>
      <w:r>
        <w:rPr>
          <w:rFonts w:ascii="Times New Roman" w:cs="Times New Roman" w:eastAsia="Times New Roman" w:hAnsi="Times New Roman"/>
          <w:sz w:val="18"/>
          <w:szCs w:val="18"/>
          <w:color w:val="auto"/>
        </w:rPr>
        <w:t>” shall mean the Israeli Income Tax Ordinance (New Version) 5271-1961, and the regulations and rules (including the Rules) promulgated thereunder, all as amended from time to time.</w:t>
      </w:r>
    </w:p>
    <w:p>
      <w:pPr>
        <w:spacing w:after="0" w:line="163"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2.24.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shall mean any company (other than the Company), which now exists or is hereafter organized, (i) in an unbroken chain of companies ending with the Company if, at the time of granting an Award, each of the companies (other than the Company) owns stock possessing fifty percent (50%) or more of the total combined voting power of all classes of stock in one of the other companies in such chain, or (ii) if applicable and for purposes of Incentive Stock Options, that is a “parent corporation” of the Company, as defined in Section 424(e) of the Code.</w:t>
      </w:r>
    </w:p>
    <w:p>
      <w:pPr>
        <w:spacing w:after="0" w:line="181" w:lineRule="exact"/>
        <w:rPr>
          <w:sz w:val="20"/>
          <w:szCs w:val="20"/>
          <w:color w:val="auto"/>
        </w:rPr>
      </w:pPr>
    </w:p>
    <w:p>
      <w:pPr>
        <w:ind w:right="280" w:firstLine="640"/>
        <w:spacing w:after="0" w:line="277" w:lineRule="auto"/>
        <w:rPr>
          <w:sz w:val="20"/>
          <w:szCs w:val="20"/>
          <w:color w:val="auto"/>
        </w:rPr>
      </w:pPr>
      <w:r>
        <w:rPr>
          <w:rFonts w:ascii="Times New Roman" w:cs="Times New Roman" w:eastAsia="Times New Roman" w:hAnsi="Times New Roman"/>
          <w:sz w:val="18"/>
          <w:szCs w:val="18"/>
          <w:color w:val="auto"/>
        </w:rPr>
        <w:t>2.25. “</w:t>
      </w:r>
      <w:r>
        <w:rPr>
          <w:rFonts w:ascii="Times New Roman" w:cs="Times New Roman" w:eastAsia="Times New Roman" w:hAnsi="Times New Roman"/>
          <w:sz w:val="18"/>
          <w:szCs w:val="18"/>
          <w:u w:val="single" w:color="auto"/>
          <w:color w:val="auto"/>
        </w:rPr>
        <w:t>Retirement</w:t>
      </w:r>
      <w:r>
        <w:rPr>
          <w:rFonts w:ascii="Times New Roman" w:cs="Times New Roman" w:eastAsia="Times New Roman" w:hAnsi="Times New Roman"/>
          <w:sz w:val="18"/>
          <w:szCs w:val="18"/>
          <w:color w:val="auto"/>
        </w:rPr>
        <w:t>” shall mean a Grantee’s retirement pursuant to Applicable Law or in accordance with the terms of any tax-qualified retirement plan maintained by the Company or any of its Affiliates in which the Grantee participates or is subject to.</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2.26.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shall mean the U.S. Securities Act of 1933, and the rules and regulations promulgated thereunder, all as amended from time to</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1" w:lineRule="exact"/>
        <w:rPr>
          <w:sz w:val="20"/>
          <w:szCs w:val="20"/>
          <w:color w:val="auto"/>
        </w:rPr>
      </w:pPr>
    </w:p>
    <w:p>
      <w:pPr>
        <w:ind w:right="60" w:firstLine="640"/>
        <w:spacing w:after="0" w:line="253" w:lineRule="auto"/>
        <w:rPr>
          <w:sz w:val="20"/>
          <w:szCs w:val="20"/>
          <w:color w:val="auto"/>
        </w:rPr>
      </w:pPr>
      <w:r>
        <w:rPr>
          <w:rFonts w:ascii="Times New Roman" w:cs="Times New Roman" w:eastAsia="Times New Roman" w:hAnsi="Times New Roman"/>
          <w:sz w:val="18"/>
          <w:szCs w:val="18"/>
          <w:color w:val="auto"/>
        </w:rPr>
        <w:t>2.27. “</w:t>
      </w:r>
      <w:r>
        <w:rPr>
          <w:rFonts w:ascii="Times New Roman" w:cs="Times New Roman" w:eastAsia="Times New Roman" w:hAnsi="Times New Roman"/>
          <w:sz w:val="18"/>
          <w:szCs w:val="18"/>
          <w:u w:val="single" w:color="auto"/>
          <w:color w:val="auto"/>
        </w:rPr>
        <w:t>Service Provider</w:t>
      </w:r>
      <w:r>
        <w:rPr>
          <w:rFonts w:ascii="Times New Roman" w:cs="Times New Roman" w:eastAsia="Times New Roman" w:hAnsi="Times New Roman"/>
          <w:sz w:val="18"/>
          <w:szCs w:val="18"/>
          <w:color w:val="auto"/>
        </w:rPr>
        <w:t xml:space="preserve">” shall mean an Employee, director, officer, consultant, advisor and any other person, who provides services to the Company or any Parent, Subsidiary or other Affiliate thereof. Service Providers shall include prospective Service Providers to whom Awards are granted in connection with written offers of an employment or other service relationship with the Company or any Parent, Subsidiary or any other Affiliates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employment or service shall have actually commenced. Notwithstanding the foregoing, unless otherwise determined by the Committee, each Service Provider shall be an “employee” as defined in the General Instructions to Form S-8 Registration Statement under the Securities Act (or any successor form thereto) at the time the Award is granted to the Service Provider.</w:t>
      </w:r>
    </w:p>
    <w:p>
      <w:pPr>
        <w:spacing w:after="0" w:line="185" w:lineRule="exact"/>
        <w:rPr>
          <w:sz w:val="20"/>
          <w:szCs w:val="20"/>
          <w:color w:val="auto"/>
        </w:rPr>
      </w:pPr>
    </w:p>
    <w:p>
      <w:pPr>
        <w:ind w:firstLine="640"/>
        <w:spacing w:after="0" w:line="284" w:lineRule="auto"/>
        <w:rPr>
          <w:sz w:val="20"/>
          <w:szCs w:val="20"/>
          <w:color w:val="auto"/>
        </w:rPr>
      </w:pPr>
      <w:r>
        <w:rPr>
          <w:rFonts w:ascii="Times New Roman" w:cs="Times New Roman" w:eastAsia="Times New Roman" w:hAnsi="Times New Roman"/>
          <w:sz w:val="17"/>
          <w:szCs w:val="17"/>
          <w:color w:val="auto"/>
        </w:rPr>
        <w:t>2.28.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shall mean ordinary share(s), par value NIS 0.01 per share, of the Company (including ordinary shares resulting or issued as a result of share split, reverse share split, bonus shares, combination or other recapitalization events), or shares of such other class of shares of the Company as shall be designated by the Board in respect of the relevant Award(s).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include any securities or property issued or distributed with respect thereto.</w:t>
      </w:r>
    </w:p>
    <w:p>
      <w:pPr>
        <w:spacing w:after="0" w:line="160" w:lineRule="exact"/>
        <w:rPr>
          <w:sz w:val="20"/>
          <w:szCs w:val="20"/>
          <w:color w:val="auto"/>
        </w:rPr>
      </w:pPr>
    </w:p>
    <w:p>
      <w:pPr>
        <w:ind w:right="180" w:firstLine="640"/>
        <w:spacing w:after="0" w:line="254" w:lineRule="auto"/>
        <w:rPr>
          <w:sz w:val="20"/>
          <w:szCs w:val="20"/>
          <w:color w:val="auto"/>
        </w:rPr>
      </w:pPr>
      <w:r>
        <w:rPr>
          <w:rFonts w:ascii="Times New Roman" w:cs="Times New Roman" w:eastAsia="Times New Roman" w:hAnsi="Times New Roman"/>
          <w:sz w:val="18"/>
          <w:szCs w:val="18"/>
          <w:color w:val="auto"/>
        </w:rPr>
        <w:t>2.29.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any company (other than the Company), which now exists or is hereafter organized or acquired by the Company, (i) in an unbroken chain of companies beginning with the Company if, at the time of granting an Award, each of the companies other than the last company in the unbroken chain owns stock possessing fifty percent (50%) or more of the total combined voting power of all classes of stock in one of the other companies in such chain, or (ii) if applicable and for purposes of Incentive Stock Options, that is a “subsidiary corporation” of the Company, as defined in Section 424(f) of the Code.</w:t>
      </w:r>
    </w:p>
    <w:p>
      <w:pPr>
        <w:spacing w:after="0" w:line="186" w:lineRule="exact"/>
        <w:rPr>
          <w:sz w:val="20"/>
          <w:szCs w:val="20"/>
          <w:color w:val="auto"/>
        </w:rPr>
      </w:pPr>
    </w:p>
    <w:p>
      <w:pPr>
        <w:ind w:right="140" w:firstLine="640"/>
        <w:spacing w:after="0" w:line="250" w:lineRule="auto"/>
        <w:rPr>
          <w:sz w:val="20"/>
          <w:szCs w:val="20"/>
          <w:color w:val="auto"/>
        </w:rPr>
      </w:pPr>
      <w:r>
        <w:rPr>
          <w:rFonts w:ascii="Times New Roman" w:cs="Times New Roman" w:eastAsia="Times New Roman" w:hAnsi="Times New Roman"/>
          <w:sz w:val="18"/>
          <w:szCs w:val="18"/>
          <w:color w:val="auto"/>
        </w:rPr>
        <w:t>2.30.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shall mean (a) all federal, state, local or foreign taxes, charges, fees, imposts, levies or other assessments, including all income, capital gains, alternative or add-on minimum, transfer, value added tax, real and personal property, withholding, payroll, employment, escheat, social security, disability, national security, health tax, wealth surtax, stamp, registration and estimated taxes, customs duties, fees, assessments and charges of any similar kind whatsoever (including under Section 280G of the Code) or other tax of any kind whatsoever, (b) all interest, indexation differentials, penalties, fines, additions to tax or additional amounts imposed by any taxing authority in connection with any item described in clause (a), (c) any transferee or successor liability in respect of any items described in clauses (a) or (b) payable by reason of contract, assumption, transferee liability, successor liability, operation of Applicable Law, or as a result of any express or implied obligation to assume Taxes or to indemnify any other person, and (d) any liability for the payment of any amounts of the type described in clause (a) or (b) payable as a result of being a member of an affiliated, consolidated, combined, unitary or aggregate or other group for any taxable period, including under U.S. Treasury Regulations Section 1.1502-6(a) (or any predecessor or successor thereof of any analogous or similar provision under Applicable Law) or otherwise.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 w:name="page12"/>
    <w:bookmarkEnd w:id="11"/>
    <w:p>
      <w:pPr>
        <w:ind w:right="120" w:firstLine="640"/>
        <w:spacing w:after="0" w:line="273" w:lineRule="auto"/>
        <w:rPr>
          <w:sz w:val="20"/>
          <w:szCs w:val="20"/>
          <w:color w:val="auto"/>
        </w:rPr>
      </w:pPr>
      <w:r>
        <w:rPr>
          <w:rFonts w:ascii="Times New Roman" w:cs="Times New Roman" w:eastAsia="Times New Roman" w:hAnsi="Times New Roman"/>
          <w:sz w:val="17"/>
          <w:szCs w:val="17"/>
          <w:color w:val="auto"/>
        </w:rPr>
        <w:t>2.31. “</w:t>
      </w:r>
      <w:r>
        <w:rPr>
          <w:rFonts w:ascii="Times New Roman" w:cs="Times New Roman" w:eastAsia="Times New Roman" w:hAnsi="Times New Roman"/>
          <w:sz w:val="17"/>
          <w:szCs w:val="17"/>
          <w:u w:val="single" w:color="auto"/>
          <w:color w:val="auto"/>
        </w:rPr>
        <w:t>Ten Percent Shareholder</w:t>
      </w:r>
      <w:r>
        <w:rPr>
          <w:rFonts w:ascii="Times New Roman" w:cs="Times New Roman" w:eastAsia="Times New Roman" w:hAnsi="Times New Roman"/>
          <w:sz w:val="17"/>
          <w:szCs w:val="17"/>
          <w:color w:val="auto"/>
        </w:rPr>
        <w:t>” shall mean a Grantee who, at the time an Award is granted to the Grantee, owns shares possessing more than ten percent (10%) of the total combined voting power of all classes of shares of the Company or any Parent or Subsidiary, within the meaning of Section 422(b)</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of the Code.</w:t>
      </w:r>
    </w:p>
    <w:p>
      <w:pPr>
        <w:spacing w:after="0" w:line="201" w:lineRule="exact"/>
        <w:rPr>
          <w:sz w:val="20"/>
          <w:szCs w:val="20"/>
          <w:color w:val="auto"/>
        </w:rPr>
      </w:pPr>
    </w:p>
    <w:p>
      <w:pPr>
        <w:ind w:right="240" w:firstLine="640"/>
        <w:spacing w:after="0" w:line="277" w:lineRule="auto"/>
        <w:rPr>
          <w:sz w:val="20"/>
          <w:szCs w:val="20"/>
          <w:color w:val="auto"/>
        </w:rPr>
      </w:pPr>
      <w:r>
        <w:rPr>
          <w:rFonts w:ascii="Times New Roman" w:cs="Times New Roman" w:eastAsia="Times New Roman" w:hAnsi="Times New Roman"/>
          <w:sz w:val="18"/>
          <w:szCs w:val="18"/>
          <w:color w:val="auto"/>
        </w:rPr>
        <w:t>2.32.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shall mean the trustee appointed by the Committee to hold the Awards (and, in relation with 102 Trustee Awards, approved by the ITA), if so appointed.</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2.33. </w:t>
      </w:r>
      <w:r>
        <w:rPr>
          <w:rFonts w:ascii="Times New Roman" w:cs="Times New Roman" w:eastAsia="Times New Roman" w:hAnsi="Times New Roman"/>
          <w:sz w:val="18"/>
          <w:szCs w:val="18"/>
          <w:u w:val="single" w:color="auto"/>
          <w:color w:val="auto"/>
        </w:rPr>
        <w:t>Other Defined Terms</w:t>
      </w:r>
      <w:r>
        <w:rPr>
          <w:rFonts w:ascii="Times New Roman" w:cs="Times New Roman" w:eastAsia="Times New Roman" w:hAnsi="Times New Roman"/>
          <w:sz w:val="18"/>
          <w:szCs w:val="18"/>
          <w:color w:val="auto"/>
        </w:rPr>
        <w:t>. The following terms shall have the meanings ascribed to them in the Sections set forth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Term</w:t>
            </w:r>
          </w:p>
        </w:tc>
        <w:tc>
          <w:tcPr>
            <w:tcW w:w="220" w:type="dxa"/>
            <w:vAlign w:val="bottom"/>
            <w:tcBorders>
              <w:bottom w:val="single" w:sz="8" w:color="CCEEFF"/>
            </w:tcBorders>
          </w:tcPr>
          <w:p>
            <w:pPr>
              <w:spacing w:after="0"/>
              <w:rPr>
                <w:sz w:val="21"/>
                <w:szCs w:val="21"/>
                <w:color w:val="auto"/>
              </w:rPr>
            </w:pPr>
          </w:p>
        </w:tc>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Section</w:t>
            </w:r>
          </w:p>
        </w:tc>
      </w:tr>
      <w:tr>
        <w:trPr>
          <w:trHeight w:val="213"/>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102 Awards</w:t>
            </w:r>
          </w:p>
        </w:tc>
        <w:tc>
          <w:tcPr>
            <w:tcW w:w="22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1.2(i)</w:t>
            </w:r>
          </w:p>
        </w:tc>
      </w:tr>
      <w:tr>
        <w:trPr>
          <w:trHeight w:val="21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102 Capital Gains Track Awards</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9.1</w:t>
            </w:r>
          </w:p>
        </w:tc>
      </w:tr>
      <w:tr>
        <w:trPr>
          <w:trHeight w:val="213"/>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102 Non-Trustee Awards</w:t>
            </w:r>
          </w:p>
        </w:tc>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9.2</w:t>
            </w:r>
          </w:p>
        </w:tc>
      </w:tr>
      <w:tr>
        <w:trPr>
          <w:trHeight w:val="21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102 Ordinary Income Track Awards</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9.1</w:t>
            </w:r>
          </w:p>
        </w:tc>
      </w:tr>
      <w:tr>
        <w:trPr>
          <w:trHeight w:val="213"/>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102 Trustee Awards</w:t>
            </w:r>
          </w:p>
        </w:tc>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9.1</w:t>
            </w:r>
          </w:p>
        </w:tc>
      </w:tr>
      <w:tr>
        <w:trPr>
          <w:trHeight w:val="21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3(i) Awards</w:t>
            </w:r>
          </w:p>
        </w:tc>
        <w:tc>
          <w:tcPr>
            <w:tcW w:w="2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1.2(ii)</w:t>
            </w:r>
          </w:p>
        </w:tc>
      </w:tr>
      <w:tr>
        <w:trPr>
          <w:trHeight w:val="213"/>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 Agreement</w:t>
            </w:r>
          </w:p>
        </w:tc>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w:t>
            </w:r>
          </w:p>
        </w:tc>
      </w:tr>
      <w:tr>
        <w:trPr>
          <w:trHeight w:val="21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Cause</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6.6.4.4</w:t>
            </w:r>
          </w:p>
        </w:tc>
      </w:tr>
      <w:tr>
        <w:trPr>
          <w:trHeight w:val="213"/>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w:t>
            </w:r>
          </w:p>
        </w:tc>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1.1</w:t>
            </w:r>
          </w:p>
        </w:tc>
      </w:tr>
      <w:tr>
        <w:trPr>
          <w:trHeight w:val="21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Effective Date</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24.1</w:t>
            </w:r>
          </w:p>
        </w:tc>
      </w:tr>
      <w:tr>
        <w:trPr>
          <w:trHeight w:val="213"/>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Election</w:t>
            </w:r>
          </w:p>
        </w:tc>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9.2</w:t>
            </w:r>
          </w:p>
        </w:tc>
      </w:tr>
      <w:tr>
        <w:trPr>
          <w:trHeight w:val="21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Eligible 102 Grantees</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9.3.1</w:t>
            </w:r>
          </w:p>
        </w:tc>
      </w:tr>
      <w:tr>
        <w:trPr>
          <w:trHeight w:val="213"/>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Stock Options</w:t>
            </w:r>
          </w:p>
        </w:tc>
        <w:tc>
          <w:tcPr>
            <w:tcW w:w="22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1.2(iii)</w:t>
            </w:r>
          </w:p>
        </w:tc>
      </w:tr>
      <w:tr>
        <w:trPr>
          <w:trHeight w:val="21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Information</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16.4</w:t>
            </w:r>
          </w:p>
        </w:tc>
      </w:tr>
      <w:tr>
        <w:trPr>
          <w:trHeight w:val="213"/>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ITA</w:t>
            </w:r>
          </w:p>
        </w:tc>
        <w:tc>
          <w:tcPr>
            <w:tcW w:w="22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1.1(i)</w:t>
            </w:r>
          </w:p>
        </w:tc>
      </w:tr>
      <w:tr>
        <w:trPr>
          <w:trHeight w:val="21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Merger/Sale</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14.2</w:t>
            </w:r>
          </w:p>
        </w:tc>
      </w:tr>
      <w:tr>
        <w:trPr>
          <w:trHeight w:val="213"/>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220" w:type="dxa"/>
            <w:vAlign w:val="bottom"/>
            <w:shd w:val="clear" w:color="auto" w:fill="CCEEFF"/>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1.2(iv)</w:t>
            </w:r>
          </w:p>
        </w:tc>
      </w:tr>
      <w:tr>
        <w:trPr>
          <w:trHeight w:val="21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Plan</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1.1</w:t>
            </w:r>
          </w:p>
        </w:tc>
      </w:tr>
      <w:tr>
        <w:trPr>
          <w:trHeight w:val="213"/>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Plan(s)</w:t>
            </w:r>
          </w:p>
        </w:tc>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5.2</w:t>
            </w:r>
          </w:p>
        </w:tc>
      </w:tr>
      <w:tr>
        <w:trPr>
          <w:trHeight w:val="21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Pool</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5.1</w:t>
            </w:r>
          </w:p>
        </w:tc>
      </w:tr>
      <w:tr>
        <w:trPr>
          <w:trHeight w:val="213"/>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Recapitalization</w:t>
            </w:r>
          </w:p>
        </w:tc>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14.1</w:t>
            </w:r>
          </w:p>
        </w:tc>
      </w:tr>
      <w:tr>
        <w:trPr>
          <w:trHeight w:val="21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Required Holding Period</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9.5</w:t>
            </w:r>
          </w:p>
        </w:tc>
      </w:tr>
      <w:tr>
        <w:trPr>
          <w:trHeight w:val="213"/>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Period</w:t>
            </w:r>
          </w:p>
        </w:tc>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11.2</w:t>
            </w:r>
          </w:p>
        </w:tc>
      </w:tr>
      <w:tr>
        <w:trPr>
          <w:trHeight w:val="21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 Agreement</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11</w:t>
            </w:r>
          </w:p>
        </w:tc>
      </w:tr>
      <w:tr>
        <w:trPr>
          <w:trHeight w:val="213"/>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 Unit Agreement</w:t>
            </w:r>
          </w:p>
        </w:tc>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12</w:t>
            </w:r>
          </w:p>
        </w:tc>
      </w:tr>
      <w:tr>
        <w:trPr>
          <w:trHeight w:val="21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11</w:t>
            </w:r>
          </w:p>
        </w:tc>
      </w:tr>
      <w:tr>
        <w:trPr>
          <w:trHeight w:val="213"/>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w:t>
            </w:r>
          </w:p>
        </w:tc>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1.1</w:t>
            </w:r>
          </w:p>
        </w:tc>
      </w:tr>
      <w:tr>
        <w:trPr>
          <w:trHeight w:val="21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Rules</w:t>
            </w:r>
          </w:p>
        </w:tc>
        <w:tc>
          <w:tcPr>
            <w:tcW w:w="2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1.2(i)</w:t>
            </w:r>
          </w:p>
        </w:tc>
      </w:tr>
      <w:tr>
        <w:trPr>
          <w:trHeight w:val="213"/>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Successor Corporation</w:t>
            </w:r>
          </w:p>
        </w:tc>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14.2.1</w:t>
            </w:r>
          </w:p>
        </w:tc>
      </w:tr>
      <w:tr>
        <w:trPr>
          <w:trHeight w:val="232"/>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Withholding Obligations</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17.5</w:t>
            </w:r>
          </w:p>
        </w:tc>
      </w:tr>
      <w:tr>
        <w:trPr>
          <w:trHeight w:val="628"/>
        </w:trPr>
        <w:tc>
          <w:tcPr>
            <w:tcW w:w="5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w:t>
            </w:r>
          </w:p>
        </w:tc>
        <w:tc>
          <w:tcPr>
            <w:tcW w:w="5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5" w:right="339" w:bottom="1440" w:gutter="0" w:footer="0" w:header="0"/>
        </w:sectPr>
      </w:pPr>
    </w:p>
    <w:bookmarkStart w:id="12" w:name="page13"/>
    <w:bookmarkEnd w:id="12"/>
    <w:p>
      <w:pPr>
        <w:ind w:left="640" w:hanging="633"/>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ind w:firstLine="640"/>
        <w:spacing w:after="0" w:line="249" w:lineRule="auto"/>
        <w:rPr>
          <w:sz w:val="20"/>
          <w:szCs w:val="20"/>
          <w:color w:val="auto"/>
        </w:rPr>
      </w:pPr>
      <w:r>
        <w:rPr>
          <w:rFonts w:ascii="Times New Roman" w:cs="Times New Roman" w:eastAsia="Times New Roman" w:hAnsi="Times New Roman"/>
          <w:sz w:val="18"/>
          <w:szCs w:val="18"/>
          <w:color w:val="auto"/>
        </w:rPr>
        <w:t>3.1. To the extent permitted under Applicable Law, the Company’s Amended and Restated Articles of Association (as may be amended and supplemented from time to time, the “</w:t>
      </w:r>
      <w:r>
        <w:rPr>
          <w:rFonts w:ascii="Times New Roman" w:cs="Times New Roman" w:eastAsia="Times New Roman" w:hAnsi="Times New Roman"/>
          <w:sz w:val="18"/>
          <w:szCs w:val="18"/>
          <w:u w:val="single" w:color="auto"/>
          <w:color w:val="auto"/>
        </w:rPr>
        <w:t>Articles of Association</w:t>
      </w:r>
      <w:r>
        <w:rPr>
          <w:rFonts w:ascii="Times New Roman" w:cs="Times New Roman" w:eastAsia="Times New Roman" w:hAnsi="Times New Roman"/>
          <w:sz w:val="18"/>
          <w:szCs w:val="18"/>
          <w:color w:val="auto"/>
        </w:rPr>
        <w:t>”) and any other governing document of the Company, this Plan shall be administered by the Committee. In the event that the Board does not appoint or establish a committee to administer this Plan, this Plan shall be administered by the Board and, accordingly, any and all references herein to the Committee shall be construed as references to the Board. In the event that an action necessary for the administration of this Plan is required under Applicable Law to be taken by the Board without the right of delegation, or if such action or power was explicitly reserved by the Board in appointing, establishing and empowering the Committee, then such action shall be so taken by the Board. In any such event, all references herein to the Committee shall be construed as references to the Board. Even if such a Committee was appointed or established, the Board may take any actions that are stated to be vested in the Committee, and shall not be restricted or limited from exercising all rights, powers and authorities under this Plan or Applicable Law. The Board shall appoint the members of the Committee, may from time to time remove members from, or add members to, the Committee, and shall fill vacancies in the Committee, however caused, provided that the composition of the Committee shall at all times be in compliance with any mandatory requirements of Applicable Law, the Articles of Association and any other governing document of the Company. The Committee may select one of its members as its Chairman and shall hold its meetings at such times and places as it shall determine. The Committee may appoint a Secretary, who shall keep records of its meetings, and shall make such rules and regulations for the conduct of its business as it shall deem advisable and subject to mandatory requirements of Applicable Law.</w:t>
      </w:r>
    </w:p>
    <w:p>
      <w:pPr>
        <w:spacing w:after="0" w:line="196" w:lineRule="exact"/>
        <w:rPr>
          <w:sz w:val="20"/>
          <w:szCs w:val="20"/>
          <w:color w:val="auto"/>
        </w:rPr>
      </w:pPr>
    </w:p>
    <w:p>
      <w:pPr>
        <w:ind w:right="80" w:firstLine="640"/>
        <w:spacing w:after="0" w:line="257" w:lineRule="auto"/>
        <w:rPr>
          <w:sz w:val="20"/>
          <w:szCs w:val="20"/>
          <w:color w:val="auto"/>
        </w:rPr>
      </w:pPr>
      <w:r>
        <w:rPr>
          <w:rFonts w:ascii="Times New Roman" w:cs="Times New Roman" w:eastAsia="Times New Roman" w:hAnsi="Times New Roman"/>
          <w:sz w:val="18"/>
          <w:szCs w:val="18"/>
          <w:color w:val="auto"/>
        </w:rPr>
        <w:t>3.3. Subject to the terms and conditions of this Plan, any mandatory provisions of Applicable Law and any provisions of any Company policy required under mandatory provisions of Applicable Law, and in addition to the Committee’s powers contained elsewhere in this Plan, the Committee shall have full authority, in its discretion, from time to time and at any time, to determine any of the following, or to recommend to the Board any of the following if it is not authorized to take such action according to Applicable Law:</w:t>
      </w:r>
    </w:p>
    <w:p>
      <w:pPr>
        <w:spacing w:after="0" w:line="181" w:lineRule="exact"/>
        <w:rPr>
          <w:sz w:val="20"/>
          <w:szCs w:val="20"/>
          <w:color w:val="auto"/>
        </w:rPr>
      </w:pPr>
    </w:p>
    <w:p>
      <w:pPr>
        <w:ind w:left="1500" w:hanging="212"/>
        <w:spacing w:after="0"/>
        <w:tabs>
          <w:tab w:leader="none" w:pos="1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Grantees,</w:t>
      </w:r>
    </w:p>
    <w:p>
      <w:pPr>
        <w:spacing w:after="0" w:line="219" w:lineRule="exact"/>
        <w:rPr>
          <w:rFonts w:ascii="Times New Roman" w:cs="Times New Roman" w:eastAsia="Times New Roman" w:hAnsi="Times New Roman"/>
          <w:sz w:val="18"/>
          <w:szCs w:val="18"/>
          <w:color w:val="auto"/>
        </w:rPr>
      </w:pPr>
    </w:p>
    <w:p>
      <w:pPr>
        <w:jc w:val="both"/>
        <w:ind w:left="640" w:right="80" w:firstLine="648"/>
        <w:spacing w:after="0" w:line="262" w:lineRule="auto"/>
        <w:tabs>
          <w:tab w:leader="none" w:pos="154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of Awards and setting the terms and provisions of Award Agreements (which need not be identical) and any other agreements or instruments under which Awards are made, including, the number of Shares underlying each Award and the class of Shares underlying each Award (if more than one class was designated by the Board),</w:t>
      </w:r>
    </w:p>
    <w:p>
      <w:pPr>
        <w:spacing w:after="0" w:line="176" w:lineRule="exact"/>
        <w:rPr>
          <w:rFonts w:ascii="Times New Roman" w:cs="Times New Roman" w:eastAsia="Times New Roman" w:hAnsi="Times New Roman"/>
          <w:sz w:val="18"/>
          <w:szCs w:val="18"/>
          <w:color w:val="auto"/>
        </w:rPr>
      </w:pPr>
    </w:p>
    <w:p>
      <w:pPr>
        <w:ind w:left="1600" w:hanging="312"/>
        <w:spacing w:after="0"/>
        <w:tabs>
          <w:tab w:leader="none" w:pos="16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or times at which Awards shall be granted,</w:t>
      </w:r>
    </w:p>
    <w:p>
      <w:pPr>
        <w:spacing w:after="0" w:line="219" w:lineRule="exact"/>
        <w:rPr>
          <w:rFonts w:ascii="Times New Roman" w:cs="Times New Roman" w:eastAsia="Times New Roman" w:hAnsi="Times New Roman"/>
          <w:sz w:val="18"/>
          <w:szCs w:val="18"/>
          <w:color w:val="auto"/>
        </w:rPr>
      </w:pPr>
    </w:p>
    <w:p>
      <w:pPr>
        <w:ind w:left="640" w:firstLine="648"/>
        <w:spacing w:after="0" w:line="252" w:lineRule="auto"/>
        <w:tabs>
          <w:tab w:leader="none" w:pos="158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conditions and restrictions applicable to each Award (which need not be identical) and any Shares acquired upon the exercise or (if applicable) vesting thereof, including, (1) designating Awards under Section 1.2; (2) the vesting schedule, the acceleration thereof and terms and conditions upon which Awards may be exercised or become vested, (3) the Exercise Price, (4) the method of payment for Shares purchased upon the exercise or (if applicable) vesting of the Awards, (5) the method for satisfaction of any tax withholding obligation arising in connection with the Awards or such Shares, including by the withholding or delivery of Shares, (6) the time of the expiration of the Awards, (7) the effect of the Grantee’s termination of employment with the Company or any of its Affiliates, and (8) all other terms, conditions and restrictions applicable to the Award or the Shares not inconsistent with the terms of this Plan,</w:t>
      </w:r>
    </w:p>
    <w:p>
      <w:pPr>
        <w:spacing w:after="0" w:line="186" w:lineRule="exact"/>
        <w:rPr>
          <w:rFonts w:ascii="Times New Roman" w:cs="Times New Roman" w:eastAsia="Times New Roman" w:hAnsi="Times New Roman"/>
          <w:sz w:val="18"/>
          <w:szCs w:val="18"/>
          <w:color w:val="auto"/>
        </w:rPr>
      </w:pPr>
    </w:p>
    <w:p>
      <w:pPr>
        <w:ind w:left="640" w:right="500" w:firstLine="648"/>
        <w:spacing w:after="0" w:line="277" w:lineRule="auto"/>
        <w:tabs>
          <w:tab w:leader="none" w:pos="153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accelerate, continue, extend or defer the exercisability of any Award or the vesting thereof, including with respect to the period following a Grantee’s termination of employment or other service,</w:t>
      </w:r>
    </w:p>
    <w:p>
      <w:pPr>
        <w:spacing w:after="0" w:line="162" w:lineRule="exact"/>
        <w:rPr>
          <w:rFonts w:ascii="Times New Roman" w:cs="Times New Roman" w:eastAsia="Times New Roman" w:hAnsi="Times New Roman"/>
          <w:sz w:val="18"/>
          <w:szCs w:val="18"/>
          <w:color w:val="auto"/>
        </w:rPr>
      </w:pPr>
    </w:p>
    <w:p>
      <w:pPr>
        <w:ind w:left="640" w:right="520" w:firstLine="648"/>
        <w:spacing w:after="0" w:line="277" w:lineRule="auto"/>
        <w:tabs>
          <w:tab w:leader="none" w:pos="158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this Plan and any Award Agreement and the meaning, interpretation and applicability of terms referred to in Applicable Law,</w:t>
      </w:r>
    </w:p>
    <w:p>
      <w:pPr>
        <w:spacing w:after="0" w:line="162" w:lineRule="exact"/>
        <w:rPr>
          <w:rFonts w:ascii="Times New Roman" w:cs="Times New Roman" w:eastAsia="Times New Roman" w:hAnsi="Times New Roman"/>
          <w:sz w:val="18"/>
          <w:szCs w:val="18"/>
          <w:color w:val="auto"/>
        </w:rPr>
      </w:pPr>
    </w:p>
    <w:p>
      <w:pPr>
        <w:ind w:left="640" w:right="400" w:firstLine="648"/>
        <w:spacing w:after="0" w:line="277" w:lineRule="auto"/>
        <w:tabs>
          <w:tab w:leader="none" w:pos="163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policies, guidelines, rules and regulations relating to and for carrying out this Plan, and any amendment, supplement or rescission thereof, as it may deem appropriate,</w:t>
      </w:r>
    </w:p>
    <w:p>
      <w:pPr>
        <w:spacing w:after="0" w:line="162" w:lineRule="exact"/>
        <w:rPr>
          <w:rFonts w:ascii="Times New Roman" w:cs="Times New Roman" w:eastAsia="Times New Roman" w:hAnsi="Times New Roman"/>
          <w:sz w:val="18"/>
          <w:szCs w:val="18"/>
          <w:color w:val="auto"/>
        </w:rPr>
      </w:pPr>
    </w:p>
    <w:p>
      <w:pPr>
        <w:ind w:left="640" w:right="160" w:firstLine="648"/>
        <w:spacing w:after="0" w:line="307" w:lineRule="auto"/>
        <w:tabs>
          <w:tab w:leader="none" w:pos="16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adopt supplements to, or alternative versions of, this Plan, including, without limitation, as it deems necessary or desirable to comply with the laws of, or to accommodate the tax regime or custom of, foreign jurisdictions whose citizens or residents may be granted Awards,</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ind w:left="1580" w:hanging="292"/>
        <w:spacing w:after="0"/>
        <w:tabs>
          <w:tab w:leader="none" w:pos="15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Shares or other securities, property or rights,</w:t>
      </w:r>
    </w:p>
    <w:p>
      <w:pPr>
        <w:spacing w:after="0" w:line="219" w:lineRule="exact"/>
        <w:rPr>
          <w:rFonts w:ascii="Times New Roman" w:cs="Times New Roman" w:eastAsia="Times New Roman" w:hAnsi="Times New Roman"/>
          <w:sz w:val="18"/>
          <w:szCs w:val="18"/>
          <w:color w:val="auto"/>
        </w:rPr>
      </w:pPr>
    </w:p>
    <w:p>
      <w:pPr>
        <w:ind w:left="640" w:right="140" w:firstLine="648"/>
        <w:spacing w:after="0" w:line="277" w:lineRule="auto"/>
        <w:tabs>
          <w:tab w:leader="none" w:pos="153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track (capital gains, ordinary income track or any other track available under the Section 102 of the Ordinance) for the purpose of 102 Awards,</w:t>
      </w:r>
    </w:p>
    <w:p>
      <w:pPr>
        <w:spacing w:after="0" w:line="162" w:lineRule="exact"/>
        <w:rPr>
          <w:rFonts w:ascii="Times New Roman" w:cs="Times New Roman" w:eastAsia="Times New Roman" w:hAnsi="Times New Roman"/>
          <w:sz w:val="18"/>
          <w:szCs w:val="18"/>
          <w:color w:val="auto"/>
        </w:rPr>
      </w:pPr>
    </w:p>
    <w:p>
      <w:pPr>
        <w:ind w:left="640" w:right="80" w:firstLine="648"/>
        <w:spacing w:after="0" w:line="277" w:lineRule="auto"/>
        <w:tabs>
          <w:tab w:leader="none" w:pos="158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and approval of conversion, substitution, cancellation or suspension under and in accordance with this Plan of any or all Awards or Shares,</w:t>
      </w:r>
    </w:p>
    <w:p>
      <w:pPr>
        <w:spacing w:after="0" w:line="162" w:lineRule="exact"/>
        <w:rPr>
          <w:rFonts w:ascii="Times New Roman" w:cs="Times New Roman" w:eastAsia="Times New Roman" w:hAnsi="Times New Roman"/>
          <w:sz w:val="18"/>
          <w:szCs w:val="18"/>
          <w:color w:val="auto"/>
        </w:rPr>
      </w:pPr>
    </w:p>
    <w:p>
      <w:pPr>
        <w:ind w:left="640" w:right="100" w:firstLine="648"/>
        <w:spacing w:after="0" w:line="257" w:lineRule="auto"/>
        <w:tabs>
          <w:tab w:leader="none" w:pos="163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under the terms of this Plan, the amendment, modification, waiver or supplement of the terms of any outstanding Award (including reducing the Exercise Price of an Award), provided, however, that if such amendments increase the Exercise Price of an Award or reduce the number of Shares underlying an Award, then such amendments shall require the consent of the applicable Grantee, unless such amendment is made pursuant to the exercise of rights or authorities in accordance with Sections 14 or 24,</w:t>
      </w:r>
    </w:p>
    <w:p>
      <w:pPr>
        <w:spacing w:after="0" w:line="180" w:lineRule="exact"/>
        <w:rPr>
          <w:rFonts w:ascii="Times New Roman" w:cs="Times New Roman" w:eastAsia="Times New Roman" w:hAnsi="Times New Roman"/>
          <w:sz w:val="18"/>
          <w:szCs w:val="18"/>
          <w:color w:val="auto"/>
        </w:rPr>
      </w:pPr>
    </w:p>
    <w:p>
      <w:pPr>
        <w:ind w:left="640" w:right="100" w:firstLine="648"/>
        <w:spacing w:after="0" w:line="254" w:lineRule="auto"/>
        <w:tabs>
          <w:tab w:leader="none" w:pos="1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and subject to the provisions of Applicable Law, to grant to a Grantee, who is the holder of an outstanding Award, in exchange for the cancellation of such Award, a new Award having an Exercise Price lower than that provided in the Award so canceled and containing such other terms and conditions as the Committee may prescribe in accordance with the provisions of this Plan or to set a new Exercise Price for the same Award lower than that previously provided in the Award, in each case, without the consent of the Company’s shareholders,</w:t>
      </w:r>
    </w:p>
    <w:p>
      <w:pPr>
        <w:spacing w:after="0" w:line="185" w:lineRule="exact"/>
        <w:rPr>
          <w:rFonts w:ascii="Times New Roman" w:cs="Times New Roman" w:eastAsia="Times New Roman" w:hAnsi="Times New Roman"/>
          <w:sz w:val="18"/>
          <w:szCs w:val="18"/>
          <w:color w:val="auto"/>
        </w:rPr>
      </w:pPr>
    </w:p>
    <w:p>
      <w:pPr>
        <w:ind w:left="640" w:right="240" w:firstLine="648"/>
        <w:spacing w:after="0" w:line="262" w:lineRule="auto"/>
        <w:tabs>
          <w:tab w:leader="none" w:pos="167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any defect, supply any omission or reconcile any inconsistency in this Plan or any Award Agreement and all other determinations and take such other actions with respect to this Plan or any Award as it may deem advisable to the extent not inconsistent with the provisions of this Plan or Applicable Law, and</w:t>
      </w:r>
    </w:p>
    <w:p>
      <w:pPr>
        <w:spacing w:after="0" w:line="176" w:lineRule="exact"/>
        <w:rPr>
          <w:rFonts w:ascii="Times New Roman" w:cs="Times New Roman" w:eastAsia="Times New Roman" w:hAnsi="Times New Roman"/>
          <w:sz w:val="18"/>
          <w:szCs w:val="18"/>
          <w:color w:val="auto"/>
        </w:rPr>
      </w:pPr>
    </w:p>
    <w:p>
      <w:pPr>
        <w:ind w:left="1620" w:hanging="332"/>
        <w:spacing w:after="0"/>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 which is necessary or desirable for, or incidental to, the administration of this Plan and any Award thereunder.</w:t>
      </w:r>
    </w:p>
    <w:p>
      <w:pPr>
        <w:spacing w:after="0" w:line="220" w:lineRule="exact"/>
        <w:rPr>
          <w:sz w:val="20"/>
          <w:szCs w:val="20"/>
          <w:color w:val="auto"/>
        </w:rPr>
      </w:pPr>
    </w:p>
    <w:p>
      <w:pPr>
        <w:ind w:right="320" w:firstLine="640"/>
        <w:spacing w:after="0" w:line="262" w:lineRule="auto"/>
        <w:rPr>
          <w:sz w:val="20"/>
          <w:szCs w:val="20"/>
          <w:color w:val="auto"/>
        </w:rPr>
      </w:pPr>
      <w:r>
        <w:rPr>
          <w:rFonts w:ascii="Times New Roman" w:cs="Times New Roman" w:eastAsia="Times New Roman" w:hAnsi="Times New Roman"/>
          <w:sz w:val="18"/>
          <w:szCs w:val="18"/>
          <w:color w:val="auto"/>
        </w:rPr>
        <w:t>3.4. The authority granted hereunder includes the authority to modify Awards to eligible individuals who are foreign nationals or are individuals who are employed outside the State of Israel or the United States of America, to recognize differences in local law, tax policy or custom, in order to effectuate the purposes of this Plan but without amending this Plan.</w:t>
      </w:r>
    </w:p>
    <w:p>
      <w:pPr>
        <w:spacing w:after="0" w:line="176" w:lineRule="exact"/>
        <w:rPr>
          <w:sz w:val="20"/>
          <w:szCs w:val="20"/>
          <w:color w:val="auto"/>
        </w:rPr>
      </w:pPr>
    </w:p>
    <w:p>
      <w:pPr>
        <w:ind w:right="140" w:firstLine="640"/>
        <w:spacing w:after="0" w:line="257" w:lineRule="auto"/>
        <w:rPr>
          <w:sz w:val="20"/>
          <w:szCs w:val="20"/>
          <w:color w:val="auto"/>
        </w:rPr>
      </w:pPr>
      <w:r>
        <w:rPr>
          <w:rFonts w:ascii="Times New Roman" w:cs="Times New Roman" w:eastAsia="Times New Roman" w:hAnsi="Times New Roman"/>
          <w:sz w:val="18"/>
          <w:szCs w:val="18"/>
          <w:color w:val="auto"/>
        </w:rPr>
        <w:t>3.5. The Board and the Committee shall be free at all times to make such determinations and take such actions as they deem fit. The Board and the Committee need not take the same action or determination with respect to all Awards, with respect to certain types of Awards, with respect to all Service Providers or any certain type of Service Providers and actions and determinations may differ as among the Grantees, and as between the Grantees and any other holders of securities of the Company.</w:t>
      </w:r>
    </w:p>
    <w:p>
      <w:pPr>
        <w:spacing w:after="0" w:line="181" w:lineRule="exact"/>
        <w:rPr>
          <w:sz w:val="20"/>
          <w:szCs w:val="20"/>
          <w:color w:val="auto"/>
        </w:rPr>
      </w:pPr>
    </w:p>
    <w:p>
      <w:pPr>
        <w:ind w:firstLine="640"/>
        <w:spacing w:after="0" w:line="254" w:lineRule="auto"/>
        <w:rPr>
          <w:sz w:val="20"/>
          <w:szCs w:val="20"/>
          <w:color w:val="auto"/>
        </w:rPr>
      </w:pPr>
      <w:r>
        <w:rPr>
          <w:rFonts w:ascii="Times New Roman" w:cs="Times New Roman" w:eastAsia="Times New Roman" w:hAnsi="Times New Roman"/>
          <w:sz w:val="18"/>
          <w:szCs w:val="18"/>
          <w:color w:val="auto"/>
        </w:rPr>
        <w:t>3.6. All decisions, determinations, and interpretations of the Committee, the Board and the Company under this Plan shall be final and binding on all Grantees (whether before or after the issuance of Shares pursuant to Awards), unless otherwise determined by the Committee, the Board or the Company, respectively. The Committee shall have the authority (but not the obligation) to determine the interpretation and applicability of Applicable Law to any Grantee or any Awards. No member of the Committee or the Board shall be liable to any Grantee for any action taken or determination made in good faith with respect to this Plan or any Award granted hereunder.</w:t>
      </w:r>
    </w:p>
    <w:p>
      <w:pPr>
        <w:spacing w:after="0" w:line="186" w:lineRule="exact"/>
        <w:rPr>
          <w:sz w:val="20"/>
          <w:szCs w:val="20"/>
          <w:color w:val="auto"/>
        </w:rPr>
      </w:pPr>
    </w:p>
    <w:p>
      <w:pPr>
        <w:jc w:val="both"/>
        <w:ind w:right="80" w:firstLine="640"/>
        <w:spacing w:after="0" w:line="257" w:lineRule="auto"/>
        <w:rPr>
          <w:sz w:val="20"/>
          <w:szCs w:val="20"/>
          <w:color w:val="auto"/>
        </w:rPr>
      </w:pPr>
      <w:r>
        <w:rPr>
          <w:rFonts w:ascii="Times New Roman" w:cs="Times New Roman" w:eastAsia="Times New Roman" w:hAnsi="Times New Roman"/>
          <w:sz w:val="18"/>
          <w:szCs w:val="18"/>
          <w:color w:val="auto"/>
        </w:rPr>
        <w:t>3.7. Any officer or authorized signatory of the Company shall have the authority to act on behalf of the Company with respect to any matter, right, obligation, determination or election which is the responsibility of or which is allocated to the Company herein, provided such person has apparent authority with respect to such matter, right, obligation, determination or election. Such person or authorized signatory shall not be liable to any Grantee for any action taken or determination made in good faith with respect to this Plan or any Award granted hereunder.</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4" w:name="page15"/>
    <w:bookmarkEnd w:id="14"/>
    <w:p>
      <w:pPr>
        <w:ind w:left="640" w:hanging="63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ELIGIBILITY</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ind w:firstLine="640"/>
        <w:spacing w:after="0" w:line="254" w:lineRule="auto"/>
        <w:rPr>
          <w:sz w:val="20"/>
          <w:szCs w:val="20"/>
          <w:color w:val="auto"/>
        </w:rPr>
      </w:pPr>
      <w:r>
        <w:rPr>
          <w:rFonts w:ascii="Times New Roman" w:cs="Times New Roman" w:eastAsia="Times New Roman" w:hAnsi="Times New Roman"/>
          <w:sz w:val="18"/>
          <w:szCs w:val="18"/>
          <w:color w:val="auto"/>
        </w:rPr>
        <w:t>Awards may be granted to Service Providers of the Company or any Affiliate thereof, taking into account, at the Committee’s discretion and without an obligation to do so, the qualification under each tax regime pursuant to which such Awards are granted, subject to the limitation on the granting of Incentive Stock Options set forth in Section 8.1. A person who has been granted an Award hereunder may be granted additional Awards, if the Committee shall so determine, subject to the limitations herein. However, eligibility in accordance with this Section 4 shall not entitle any person to be granted an Award, or, having been granted an Award, to be granted an additional Award.</w:t>
      </w:r>
    </w:p>
    <w:p>
      <w:pPr>
        <w:spacing w:after="0" w:line="186" w:lineRule="exact"/>
        <w:rPr>
          <w:sz w:val="20"/>
          <w:szCs w:val="20"/>
          <w:color w:val="auto"/>
        </w:rPr>
      </w:pPr>
    </w:p>
    <w:p>
      <w:pPr>
        <w:ind w:right="280" w:firstLine="640"/>
        <w:spacing w:after="0" w:line="262" w:lineRule="auto"/>
        <w:rPr>
          <w:sz w:val="20"/>
          <w:szCs w:val="20"/>
          <w:color w:val="auto"/>
        </w:rPr>
      </w:pPr>
      <w:r>
        <w:rPr>
          <w:rFonts w:ascii="Times New Roman" w:cs="Times New Roman" w:eastAsia="Times New Roman" w:hAnsi="Times New Roman"/>
          <w:sz w:val="18"/>
          <w:szCs w:val="18"/>
          <w:color w:val="auto"/>
        </w:rPr>
        <w:t>Awards may differ in number of Shares covered thereby, the terms and conditions applying to them or on the Grantees or in any other respect (including, that there should not be any expectation (and it is hereby disclaimed) that a certain treatment, interpretation or position granted to one shall be applied to the other, regardless of whether or not the facts or circumstances are the same or similar).</w:t>
      </w:r>
    </w:p>
    <w:p>
      <w:pPr>
        <w:spacing w:after="0" w:line="172" w:lineRule="exact"/>
        <w:rPr>
          <w:sz w:val="20"/>
          <w:szCs w:val="20"/>
          <w:color w:val="auto"/>
        </w:rPr>
      </w:pPr>
    </w:p>
    <w:p>
      <w:pPr>
        <w:ind w:left="640" w:hanging="63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ind w:right="20" w:firstLine="640"/>
        <w:spacing w:after="0" w:line="253" w:lineRule="auto"/>
        <w:rPr>
          <w:sz w:val="20"/>
          <w:szCs w:val="20"/>
          <w:color w:val="auto"/>
        </w:rPr>
      </w:pPr>
      <w:r>
        <w:rPr>
          <w:rFonts w:ascii="Times New Roman" w:cs="Times New Roman" w:eastAsia="Times New Roman" w:hAnsi="Times New Roman"/>
          <w:sz w:val="18"/>
          <w:szCs w:val="18"/>
          <w:color w:val="auto"/>
        </w:rPr>
        <w:t>5.1. The maximum aggregate number of Shares that may be issued pursuant to Awards under this Plan (which includes Shares that were available under the Prior Plans and were not subject to outstanding awards as of the Effective Date of this Plan, and were therefore transferred over to this Plan) (the “</w:t>
      </w:r>
      <w:r>
        <w:rPr>
          <w:rFonts w:ascii="Times New Roman" w:cs="Times New Roman" w:eastAsia="Times New Roman" w:hAnsi="Times New Roman"/>
          <w:sz w:val="18"/>
          <w:szCs w:val="18"/>
          <w:u w:val="single" w:color="auto"/>
          <w:color w:val="auto"/>
        </w:rPr>
        <w:t>Pool</w:t>
      </w:r>
      <w:r>
        <w:rPr>
          <w:rFonts w:ascii="Times New Roman" w:cs="Times New Roman" w:eastAsia="Times New Roman" w:hAnsi="Times New Roman"/>
          <w:sz w:val="18"/>
          <w:szCs w:val="18"/>
          <w:color w:val="auto"/>
        </w:rPr>
        <w:t>”) shall be the sum of (a) 2,053,090 Shares, plus (b) any Shares underlying awards under the Prior Plan(s) as of the Effective Date which, following the Effective Date, become available for issuance under the Plan pursuant to Section 5.2 below, in all events subject to adjustment as provided in Section 14.1. The Board may, at its discretion, reduce the number of Shares that may be issued pursuant to Awards under this Plan, at any time (provided that such reduction does not derogate from any issuance of Shares in respect of Awards then outstanding).</w:t>
      </w:r>
    </w:p>
    <w:p>
      <w:pPr>
        <w:spacing w:after="0" w:line="185" w:lineRule="exact"/>
        <w:rPr>
          <w:sz w:val="20"/>
          <w:szCs w:val="20"/>
          <w:color w:val="auto"/>
        </w:rPr>
      </w:pPr>
    </w:p>
    <w:p>
      <w:pPr>
        <w:ind w:right="20" w:firstLine="640"/>
        <w:spacing w:after="0" w:line="266" w:lineRule="auto"/>
        <w:rPr>
          <w:sz w:val="20"/>
          <w:szCs w:val="20"/>
          <w:color w:val="auto"/>
        </w:rPr>
      </w:pPr>
      <w:r>
        <w:rPr>
          <w:rFonts w:ascii="Times New Roman" w:cs="Times New Roman" w:eastAsia="Times New Roman" w:hAnsi="Times New Roman"/>
          <w:sz w:val="17"/>
          <w:szCs w:val="17"/>
          <w:color w:val="auto"/>
        </w:rPr>
        <w:t>5.2. Any Shares (a) underlying an Award granted hereunder or an award that had been granted and was outstanding as of the Effective Date under the Company’s 2015 Incentive Compensation Plan or 2012 Share Incentive Plan (the “</w:t>
      </w:r>
      <w:r>
        <w:rPr>
          <w:rFonts w:ascii="Times New Roman" w:cs="Times New Roman" w:eastAsia="Times New Roman" w:hAnsi="Times New Roman"/>
          <w:sz w:val="17"/>
          <w:szCs w:val="17"/>
          <w:u w:val="single" w:color="auto"/>
          <w:color w:val="auto"/>
        </w:rPr>
        <w:t>Prior Plan(s)</w:t>
      </w:r>
      <w:r>
        <w:rPr>
          <w:rFonts w:ascii="Times New Roman" w:cs="Times New Roman" w:eastAsia="Times New Roman" w:hAnsi="Times New Roman"/>
          <w:sz w:val="17"/>
          <w:szCs w:val="17"/>
          <w:color w:val="auto"/>
        </w:rPr>
        <w:t>”) that expires, or is cancelled, terminated, forfeited, or settled in cash in lieu of issuance of Shares, for any reason, without having been exercised; (b) if permitted by the Company, tendered to pay the Exercise Price of an Award (or the exercise price or other purchase price of any option or other award under the Prior Plan(s)), or withholding tax obligations with respect to an Award (or any awards under the Prior Plan(s)); or (c) if permitted by the Company, subject to an Award (or any award under the Prior Plan(s)) that are not delivered to a Grantee because such Shares are withheld to pay the Exercise Price of such Award (or any award under the Prior Plan(s)), or withholding tax obligations with respect to such Award (or such other award); shall automatically, and without any further action on the part of the Company or any Grantee, again be available for grant of Awards and for issuance upon exercise or (if applicable) vesting thereof for the purposes of this Plan (unless this Plan shall have been terminated), and, in the case of Shares underlying awards under the Prior Plans, the Pool under this Plan shall automatically be deemed to be increased by the amount of any such Shares being made available from the Prior Plans, unless the Board determines otherwise. Such Shares may be, in whole or in part, authorized but unissued Shares, (and, subject to obtaining a ruling as it applies to 102 Awards) treasury shares (dormant shares) or otherwise Shares that shall have been or may be repurchased by the Company (to the extent permitted pursuant to the Companies Law).</w:t>
      </w:r>
    </w:p>
    <w:p>
      <w:pPr>
        <w:spacing w:after="0" w:line="175" w:lineRule="exact"/>
        <w:rPr>
          <w:sz w:val="20"/>
          <w:szCs w:val="20"/>
          <w:color w:val="auto"/>
        </w:rPr>
      </w:pPr>
    </w:p>
    <w:p>
      <w:pPr>
        <w:ind w:right="120" w:firstLine="640"/>
        <w:spacing w:after="0" w:line="277" w:lineRule="auto"/>
        <w:rPr>
          <w:sz w:val="20"/>
          <w:szCs w:val="20"/>
          <w:color w:val="auto"/>
        </w:rPr>
      </w:pPr>
      <w:r>
        <w:rPr>
          <w:rFonts w:ascii="Times New Roman" w:cs="Times New Roman" w:eastAsia="Times New Roman" w:hAnsi="Times New Roman"/>
          <w:sz w:val="18"/>
          <w:szCs w:val="18"/>
          <w:color w:val="auto"/>
        </w:rPr>
        <w:t>5.3. Unless determined otherwise by the Board or Committee, any Shares under the Pool that are not subject to outstanding or exercised Awards at the termination of this Plan shall cease to be reserved for the purpose of this Plan.</w:t>
      </w:r>
    </w:p>
    <w:p>
      <w:pPr>
        <w:spacing w:after="0" w:line="163" w:lineRule="exact"/>
        <w:rPr>
          <w:sz w:val="20"/>
          <w:szCs w:val="20"/>
          <w:color w:val="auto"/>
        </w:rPr>
      </w:pPr>
    </w:p>
    <w:p>
      <w:pPr>
        <w:ind w:right="280" w:firstLine="640"/>
        <w:spacing w:after="0" w:line="277" w:lineRule="auto"/>
        <w:rPr>
          <w:sz w:val="20"/>
          <w:szCs w:val="20"/>
          <w:color w:val="auto"/>
        </w:rPr>
      </w:pPr>
      <w:r>
        <w:rPr>
          <w:rFonts w:ascii="Times New Roman" w:cs="Times New Roman" w:eastAsia="Times New Roman" w:hAnsi="Times New Roman"/>
          <w:sz w:val="18"/>
          <w:szCs w:val="18"/>
          <w:color w:val="auto"/>
        </w:rPr>
        <w:t>5.4. From and after the Effective Date, no further grants or awards shall be made under the Prior Plan(s); however, Awards made under the Prior Plan(s) before the Effective Date shall continue in effect in accordance with their terms.</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5" w:name="page16"/>
    <w:bookmarkEnd w:id="15"/>
    <w:p>
      <w:pPr>
        <w:ind w:left="640" w:hanging="63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TERMS AND CONDITIONS OF AWARDS</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ind w:firstLine="640"/>
        <w:spacing w:after="0" w:line="253" w:lineRule="auto"/>
        <w:rPr>
          <w:sz w:val="20"/>
          <w:szCs w:val="20"/>
          <w:color w:val="auto"/>
        </w:rPr>
      </w:pPr>
      <w:r>
        <w:rPr>
          <w:rFonts w:ascii="Times New Roman" w:cs="Times New Roman" w:eastAsia="Times New Roman" w:hAnsi="Times New Roman"/>
          <w:sz w:val="18"/>
          <w:szCs w:val="18"/>
          <w:color w:val="auto"/>
        </w:rPr>
        <w:t>Each Award granted pursuant to this Plan shall be evidenced by a written or electronic agreement between the Company and the Grantee or a written or electronic notice delivered by the Company (the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in substantially such form or forms and containing such terms and conditions, as the Committee shall from time to time approve. The Award Agreement shall comply with and be subject to the following general terms and conditions and the provisions of this Plan (except for any provisions applying to Awards under different tax regimes), unless otherwise specifically provided in such Award Agreement, or the terms referred to in other Sections of this Plan applying to Awards under such applicable tax regimes, or terms prescribed by Applicable Law. Award Agreements need not be in the same form and may differ in the terms and conditions included therein.</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Each Award Agreement shall state the number of Shares covered by the Award.</w:t>
      </w:r>
    </w:p>
    <w:p>
      <w:pPr>
        <w:spacing w:after="0" w:line="220" w:lineRule="exact"/>
        <w:rPr>
          <w:sz w:val="20"/>
          <w:szCs w:val="20"/>
          <w:color w:val="auto"/>
        </w:rPr>
      </w:pPr>
    </w:p>
    <w:p>
      <w:pPr>
        <w:ind w:right="80" w:firstLine="640"/>
        <w:spacing w:after="0" w:line="277"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Type of Award</w:t>
      </w:r>
      <w:r>
        <w:rPr>
          <w:rFonts w:ascii="Times New Roman" w:cs="Times New Roman" w:eastAsia="Times New Roman" w:hAnsi="Times New Roman"/>
          <w:sz w:val="18"/>
          <w:szCs w:val="18"/>
          <w:color w:val="auto"/>
        </w:rPr>
        <w:t>. Each Award Agreement may state the type of Award granted thereunder, provided that the tax treatment of any Award, whether or not stated in the Award Agreement, shall be as determined in accordance with Applicable Law.</w:t>
      </w:r>
    </w:p>
    <w:p>
      <w:pPr>
        <w:spacing w:after="0" w:line="163" w:lineRule="exact"/>
        <w:rPr>
          <w:sz w:val="20"/>
          <w:szCs w:val="20"/>
          <w:color w:val="auto"/>
        </w:rPr>
      </w:pPr>
    </w:p>
    <w:p>
      <w:pPr>
        <w:ind w:right="60" w:firstLine="640"/>
        <w:spacing w:after="0" w:line="254"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Each Award Agreement shall state the Exercise Price, if applicable. Unless otherwise set forth in this Plan, an Exercise Price of an Award of less than the par value of the Shares (if shares bear a par value) shall comply with Section 304 of the Companies Law. The Committee may , reduce the Exercise Price of any outstanding Award on terms and subject to such conditions as it deems advisable. The Exercise Price shall also be subject to adjustment as provided in Section 14 hereof. The Exercise Price of any Award granted to a Grantee who is subject to U.S. federal income tax shall be determined in accordance with Section 409A of the Code.</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Manner of Exercise</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right="100" w:firstLine="640"/>
        <w:spacing w:after="0" w:line="249" w:lineRule="auto"/>
        <w:rPr>
          <w:sz w:val="20"/>
          <w:szCs w:val="20"/>
          <w:color w:val="auto"/>
        </w:rPr>
      </w:pPr>
      <w:r>
        <w:rPr>
          <w:rFonts w:ascii="Times New Roman" w:cs="Times New Roman" w:eastAsia="Times New Roman" w:hAnsi="Times New Roman"/>
          <w:sz w:val="18"/>
          <w:szCs w:val="18"/>
          <w:color w:val="auto"/>
        </w:rPr>
        <w:t>6.4.1 An Award may be exercised, as to any or all Shares as to which the Award has become exercisable, (a) by written notice delivered in person or by mail (or such other methods of delivery prescribed by the Company) to the Stock Administrator/Manager of the Company or, if no such role is then incumbent, to the Chief Financial Officer of the Company or to such other person as determined by the Committee, (b) by way of an exercise order submitted via the online service operated and maintained by the Company or any of its service providers, or (c) or in any other manner as the Committee shall prescribe from time to time, specifying the number of Shares with respect to which the Award is being exercised (which may be equal to or lower than the aggregate number of Shares that have become exercisable at such time, subject to the last sentence of this Section), accompanied by payment of the aggregate Exercise Price for such Shares in the manner specified in the following sentence. The Exercise Price shall be paid in full with respect to each Share, at the time of exercise and as a condition therefor, either (i) in cash, (ii) if the Company’s shares are listed for trading on any securities exchange or over-the-counter market, and if the Committee so determines, all or part of the Exercise Price and any withholding taxes may be paid by the delivery (on a form prescribed by the Company) of an irrevocable direction to a securities broker approved by the Company to sell Shares and to deliver all or part of the sales proceeds to the Company or the Trustee, (iii) if the Company’s shares are listed for trading on any securities exchange or over-the-counter market, and if the Committee so determines, all or part of the Exercise Price and any withholding taxes may be paid by the delivery (on a form prescribed by the Company) of an irrevocable direction to pledge Shares to a securities broker or lender approved by the Company, as security for a loan, and to deliver all or part of the loan proceeds to the Company or the Trustee, (iv) by applying the Cashless Exercise Mechanism set forth in Section 6.4.3 below, or (v) in such other manner as the Committee shall determine, which may include procedures for cashless exercise.</w:t>
      </w:r>
    </w:p>
    <w:p>
      <w:pPr>
        <w:spacing w:after="0" w:line="193" w:lineRule="exact"/>
        <w:rPr>
          <w:sz w:val="20"/>
          <w:szCs w:val="20"/>
          <w:color w:val="auto"/>
        </w:rPr>
      </w:pPr>
    </w:p>
    <w:p>
      <w:pPr>
        <w:ind w:left="640" w:right="120" w:firstLine="640"/>
        <w:spacing w:after="0" w:line="277" w:lineRule="auto"/>
        <w:rPr>
          <w:sz w:val="20"/>
          <w:szCs w:val="20"/>
          <w:color w:val="auto"/>
        </w:rPr>
      </w:pPr>
      <w:r>
        <w:rPr>
          <w:rFonts w:ascii="Times New Roman" w:cs="Times New Roman" w:eastAsia="Times New Roman" w:hAnsi="Times New Roman"/>
          <w:sz w:val="18"/>
          <w:szCs w:val="18"/>
          <w:color w:val="auto"/>
        </w:rPr>
        <w:t>6.4.2 The application of Cashless Exercise Mechanism with respect to any 102 Awards shall be subject to obtaining a ruling from the ITA, to the extent required by Applicable Law.</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jc w:val="both"/>
        <w:ind w:left="640" w:right="80" w:firstLine="640"/>
        <w:spacing w:after="0" w:line="262" w:lineRule="auto"/>
        <w:rPr>
          <w:sz w:val="20"/>
          <w:szCs w:val="20"/>
          <w:color w:val="auto"/>
        </w:rPr>
      </w:pPr>
      <w:r>
        <w:rPr>
          <w:rFonts w:ascii="Times New Roman" w:cs="Times New Roman" w:eastAsia="Times New Roman" w:hAnsi="Times New Roman"/>
          <w:sz w:val="18"/>
          <w:szCs w:val="18"/>
          <w:color w:val="auto"/>
        </w:rPr>
        <w:t>6.4.3 Unless otherwise determined by the Committee, any and all Options (other than Incentive Stock Options) may be exercised using a cashless exercise mechanism, in which case the number of the Shares to be issued by the Company upon such exercise shall be calculated pursuant to the following formula (the “</w:t>
      </w:r>
      <w:r>
        <w:rPr>
          <w:rFonts w:ascii="Times New Roman" w:cs="Times New Roman" w:eastAsia="Times New Roman" w:hAnsi="Times New Roman"/>
          <w:sz w:val="18"/>
          <w:szCs w:val="18"/>
          <w:u w:val="single" w:color="auto"/>
          <w:color w:val="auto"/>
        </w:rPr>
        <w:t>Cashless Exercise Mechanism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xml:space="preserve">X = </w:t>
      </w:r>
      <w:r>
        <w:rPr>
          <w:rFonts w:ascii="Times New Roman" w:cs="Times New Roman" w:eastAsia="Times New Roman" w:hAnsi="Times New Roman"/>
          <w:sz w:val="18"/>
          <w:szCs w:val="18"/>
          <w:b w:val="1"/>
          <w:bCs w:val="1"/>
          <w:u w:val="single" w:color="auto"/>
          <w:color w:val="auto"/>
        </w:rPr>
        <w:t>Y * (A – B)</w:t>
      </w:r>
    </w:p>
    <w:p>
      <w:pPr>
        <w:spacing w:after="0" w:line="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 X = the number of Shares to be issued to the Grantee.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 = the number of Shares, as adjusted to the date of such calculation, underlying the number of Options being exercised.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 the fair market value, as determined in the tax ruling mentioned in Section 6.4.2 above, of one Share at the exercise date.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 the Exercise Price of the Options being exercised.</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Upon the completion of the calculation, if X is a negative number, then X shall be deemed to equal 0 (zero).</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Term and Vesting of Awards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left="640" w:firstLine="640"/>
        <w:spacing w:after="0" w:line="269" w:lineRule="auto"/>
        <w:rPr>
          <w:sz w:val="20"/>
          <w:szCs w:val="20"/>
          <w:color w:val="auto"/>
        </w:rPr>
      </w:pPr>
      <w:r>
        <w:rPr>
          <w:rFonts w:ascii="Times New Roman" w:cs="Times New Roman" w:eastAsia="Times New Roman" w:hAnsi="Times New Roman"/>
          <w:sz w:val="17"/>
          <w:szCs w:val="17"/>
          <w:color w:val="auto"/>
        </w:rPr>
        <w:t>6.5.1 Each Award Agreement shall provide the vesting schedule for the Award as determined by the Committee. The Committee shall have the authority to determine the vesting schedule and accelerate the vesting of any outstanding Award at such time and under such circumstances as it, in its sole discretion, deems appropriate. Unless otherwise resolved by the Committee and stated in the Award Agreement, and subject to Sections</w:t>
      </w:r>
    </w:p>
    <w:p>
      <w:pPr>
        <w:spacing w:after="0" w:line="2" w:lineRule="exact"/>
        <w:rPr>
          <w:sz w:val="20"/>
          <w:szCs w:val="20"/>
          <w:color w:val="auto"/>
        </w:rPr>
      </w:pPr>
    </w:p>
    <w:p>
      <w:pPr>
        <w:ind w:left="640" w:right="20"/>
        <w:spacing w:after="0" w:line="249" w:lineRule="auto"/>
        <w:rPr>
          <w:sz w:val="20"/>
          <w:szCs w:val="20"/>
          <w:color w:val="auto"/>
        </w:rPr>
      </w:pPr>
      <w:r>
        <w:rPr>
          <w:rFonts w:ascii="Times New Roman" w:cs="Times New Roman" w:eastAsia="Times New Roman" w:hAnsi="Times New Roman"/>
          <w:sz w:val="18"/>
          <w:szCs w:val="18"/>
          <w:color w:val="auto"/>
        </w:rPr>
        <w:t>6.6 and 6.7 hereof, Awards shall vest and become exercisable under the following schedule: twenty-five percent (25%) of the Shares covered by the Award, on the first anniversary of the vesting commencement date determined by the Committee (and in the absence of such determination, of date on which such Award was granted), and six and one-quarter percent (6.25%) of the Shares covered by the Award at the end of each subsequent three-month period thereafter over the course of the following three (3) years; provided that the Grantee remains continuously as a Service Provider of the Company or its Affiliates throughout such vesting dates.</w:t>
      </w:r>
    </w:p>
    <w:p>
      <w:pPr>
        <w:spacing w:after="0" w:line="188" w:lineRule="exact"/>
        <w:rPr>
          <w:sz w:val="20"/>
          <w:szCs w:val="20"/>
          <w:color w:val="auto"/>
        </w:rPr>
      </w:pPr>
    </w:p>
    <w:p>
      <w:pPr>
        <w:ind w:left="640" w:right="20" w:firstLine="640"/>
        <w:spacing w:after="0" w:line="269" w:lineRule="auto"/>
        <w:rPr>
          <w:sz w:val="20"/>
          <w:szCs w:val="20"/>
          <w:color w:val="auto"/>
        </w:rPr>
      </w:pPr>
      <w:r>
        <w:rPr>
          <w:rFonts w:ascii="Times New Roman" w:cs="Times New Roman" w:eastAsia="Times New Roman" w:hAnsi="Times New Roman"/>
          <w:sz w:val="17"/>
          <w:szCs w:val="17"/>
          <w:color w:val="auto"/>
        </w:rPr>
        <w:t>6.5.2 The Award Agreement may contain performance goals and measurements (which, in case of 102 Trustee Awards, may, if then required, be subject to obtaining a specific tax ruling or determination from the ITA), and the provisions with respect to any Award need not be the same as the provisions with respect to any other Award. Such performance goals may include, but are not limited to, revenues, sales, operating income, earnings before interest and taxes, return on investment, earnings per share, share trading price and performance hurdles, any combination of the foregoing or rate of growth of any of the foregoing, as determined by the Committee. The Committee may adjust performance goals pursuant to Awards previously granted to take into account changes in law and accounting and tax rules and to make such adjustments as the Committee deems necessary or appropriate to reflect the inclusion or the exclusion of the impact of extraordinary or unusual items, events or circumstances.</w:t>
      </w:r>
    </w:p>
    <w:p>
      <w:pPr>
        <w:spacing w:after="0" w:line="174" w:lineRule="exact"/>
        <w:rPr>
          <w:sz w:val="20"/>
          <w:szCs w:val="20"/>
          <w:color w:val="auto"/>
        </w:rPr>
      </w:pPr>
    </w:p>
    <w:p>
      <w:pPr>
        <w:ind w:left="640" w:right="100" w:firstLine="640"/>
        <w:spacing w:after="0" w:line="254" w:lineRule="auto"/>
        <w:rPr>
          <w:sz w:val="20"/>
          <w:szCs w:val="20"/>
          <w:color w:val="auto"/>
        </w:rPr>
      </w:pPr>
      <w:r>
        <w:rPr>
          <w:rFonts w:ascii="Times New Roman" w:cs="Times New Roman" w:eastAsia="Times New Roman" w:hAnsi="Times New Roman"/>
          <w:sz w:val="18"/>
          <w:szCs w:val="18"/>
          <w:color w:val="auto"/>
        </w:rPr>
        <w:t>6.5.3 The Exercise Period of an Award will be ten (10) years from the date of grant of the Award, unless otherwise determined by the Committee and stated in the Award Agreement, but subject to the vesting provisions described above and the early termination provisions set forth in Sections 6.6 and 6.7 hereof. At the expiration of the Exercise Period, any Award, or any part thereof, that has not been exercised within the term of the Award and the Shares covered thereby not paid for in accordance with this Plan and the Award Agreement shall terminate and become null and void, and all interests and rights of the Grantee in and to the same shall expire.</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180" w:firstLine="640"/>
        <w:spacing w:after="0" w:line="262" w:lineRule="auto"/>
        <w:rPr>
          <w:sz w:val="20"/>
          <w:szCs w:val="20"/>
          <w:color w:val="auto"/>
        </w:rPr>
      </w:pPr>
      <w:r>
        <w:rPr>
          <w:rFonts w:ascii="Times New Roman" w:cs="Times New Roman" w:eastAsia="Times New Roman" w:hAnsi="Times New Roman"/>
          <w:sz w:val="18"/>
          <w:szCs w:val="18"/>
          <w:color w:val="auto"/>
        </w:rPr>
        <w:t>6.6.1 Unless otherwise determined by the Committee, and subject to this Section 6.6 and Section 6.7 hereof, an Award may not be exercised unless the Grantee was, since the date of grant of the Award throughout the vesting dates, and is then (at the time of exercise), a Service Provider.</w:t>
      </w:r>
    </w:p>
    <w:p>
      <w:pPr>
        <w:spacing w:after="0" w:line="176" w:lineRule="exact"/>
        <w:rPr>
          <w:sz w:val="20"/>
          <w:szCs w:val="20"/>
          <w:color w:val="auto"/>
        </w:rPr>
      </w:pPr>
    </w:p>
    <w:p>
      <w:pPr>
        <w:ind w:firstLine="640"/>
        <w:spacing w:after="0" w:line="263" w:lineRule="auto"/>
        <w:rPr>
          <w:sz w:val="20"/>
          <w:szCs w:val="20"/>
          <w:color w:val="auto"/>
        </w:rPr>
      </w:pPr>
      <w:r>
        <w:rPr>
          <w:rFonts w:ascii="Times New Roman" w:cs="Times New Roman" w:eastAsia="Times New Roman" w:hAnsi="Times New Roman"/>
          <w:sz w:val="17"/>
          <w:szCs w:val="17"/>
          <w:color w:val="auto"/>
        </w:rPr>
        <w:t xml:space="preserve">6.6.2 In the event that the employment or service of a Grantee shall terminate (other than by reason of death, Disability or Retirement), such that Grantee is no longer a Service Provider, all Awards of such Grantee that are unvested at the time of such termination shall terminate on the date of such termination, and all Awards of such Grantee that are vested and exercisable at the time of such termination may be exercised within up to three (3) months after the date of such termination (or such different period as the Committee shall prescribe, in general or on a case-by-case basis), but in any event no later than the date of expiration of the Award’s term as set forth in the Award Agreement or pursuant to this Plan;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the Company (or its Subsidiary or other Affiliate thereof, as applicable) shall have terminated the Grantee’s employment or service for Cause (as defined below) (whether the facts or circumstances that constitute such Cause occur prior to or after termination of employment or service), or if facts or circumstances arise or are discovered with respect to the Grantee that would have constituted Cause, then all Awards theretofore granted to such Grantee (whether vested or not) shall terminate and be subject to recoupment by the Company on the date of such termination (or on such subsequent date on which such facts or circumstances arise or are discovered, as the case may be) unless otherwise determined by the Committee, and any Shares issued upon exercise or (if applicable) vesting of Awards (including other Shares or securities issued or distributed with respect thereto, and including the gross amount of any proceeds, gains or other economic benefit the Grantee actually or constructively receives upon receipt or exercise of any Award or the receipt or resale of any Shares underlying the Award), whether held by the Grantee or by the Trustee for the Grantee’s benefit, shall be deemed to be irrevocably offered for sale to the Company, any of its Affiliates or any person designated by the Company to purchase, at the Company’s election and subject to Applicable Law, either for no consideration, for the par value of such Shares (if such Shares bear a par value) or against payment of the Exercise Price previously received by the Company for such Shares upon their issuance, as the Committee deems fit, upon written notice to the Grantee at any time prior to, at or after the Grantee’s termination of employment or service. Such Shares or other securities shall be sold and transferred within 30 days from the date of the Company’s notice of its election to exercise its right. If the Grantee fails to transfer such Shares or other securities to the Company, the Company, at the decision of the Committee, shall be entitled to forfeit or repurchase such Shares and to authorize any person to execute on behalf of the Grantee any document necessary to effect such transfer, whether or not the share certificates (if any) are surrendered. The Company shall have the right and authority to effect the above either by: (i) repurchasing all of such Shares or other securities held by the Grantee or by the Trustee for the benefit of the Grantee, or designate the purchaser of all or any part of such Shares or other securities, for the Exercise Price paid for such Shares, the par value of such Shares (if such Shares bear a par value) or for no payment or consideration whatsoever, as the Committee deems fit; (ii) forfeiting all or any part of such Shares or other securities; (iii) redeeming all or any part of such Shares or other securities, for the Exercise Price paid for such Shares, the par value of such Shares (if such Shares bear a par value) or for no payment or consideration whatsoever, as the Committee deems fit; (iv) taking action in order to have all or any part of such Shares or other securities converted into deferred shares entitling their holder only to their par value (if such Shares bear a par value) upon liquidation of the Company; or (v) taking any other action which may be required in order to achieve similar results; all as shall be determined by the Committee, at its sole and absolute discretion, and the Grantee is deemed to irrevocably empower the Company or any person which may be designated by it to take any action by, in the name of or on behalf of the Grantee to comply with and give effect to such actions (including, voting such shares, filling in, signing and delivering share transfer deeds, etc.).</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560"/>
          </w:cols>
          <w:pgMar w:left="960" w:top="895" w:right="379" w:bottom="1440" w:gutter="0" w:footer="0" w:header="0"/>
        </w:sectPr>
      </w:pPr>
    </w:p>
    <w:bookmarkStart w:id="18" w:name="page19"/>
    <w:bookmarkEnd w:id="18"/>
    <w:p>
      <w:pPr>
        <w:ind w:right="20" w:firstLine="640"/>
        <w:spacing w:after="0" w:line="267" w:lineRule="auto"/>
        <w:rPr>
          <w:sz w:val="20"/>
          <w:szCs w:val="20"/>
          <w:color w:val="auto"/>
        </w:rPr>
      </w:pPr>
      <w:r>
        <w:rPr>
          <w:rFonts w:ascii="Times New Roman" w:cs="Times New Roman" w:eastAsia="Times New Roman" w:hAnsi="Times New Roman"/>
          <w:sz w:val="17"/>
          <w:szCs w:val="17"/>
          <w:color w:val="auto"/>
        </w:rPr>
        <w:t>6.6.3 Notwithstanding anything to the contrary, the Committee, in its absolute discretion, may, on such terms and conditions as it may determine appropriate, extend the periods for which Awards held by any Grantee may continue to vest and be exercisable; it being clarified that such Awards may lose their entitlement to certain tax benefits under Applicable Law (including, without limitation, qualification of an Award as an Incentive Stock Option) as a result of the modification of such Awards and/or in the event that the Award is exercised beyond the later of: (i) three</w:t>
      </w:r>
    </w:p>
    <w:p>
      <w:pPr>
        <w:spacing w:after="0" w:line="3" w:lineRule="exact"/>
        <w:rPr>
          <w:sz w:val="20"/>
          <w:szCs w:val="20"/>
          <w:color w:val="auto"/>
        </w:rPr>
      </w:pPr>
    </w:p>
    <w:p>
      <w:pPr>
        <w:ind w:right="60" w:firstLine="7"/>
        <w:spacing w:after="0" w:line="255" w:lineRule="auto"/>
        <w:tabs>
          <w:tab w:leader="none" w:pos="25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after the date of termination of the employment or service relationship; or (ii) the applicable period under Section 6.7 below with respect to a termination of the employment or service relationship because of the death, Disability or Retirement of Grantee.</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6.6.4 For purposes of this Plan:</w:t>
      </w:r>
    </w:p>
    <w:p>
      <w:pPr>
        <w:spacing w:after="0" w:line="220" w:lineRule="exact"/>
        <w:rPr>
          <w:sz w:val="20"/>
          <w:szCs w:val="20"/>
          <w:color w:val="auto"/>
        </w:rPr>
      </w:pPr>
    </w:p>
    <w:p>
      <w:pPr>
        <w:ind w:right="80" w:firstLine="1281"/>
        <w:spacing w:after="0" w:line="267" w:lineRule="auto"/>
        <w:rPr>
          <w:sz w:val="20"/>
          <w:szCs w:val="20"/>
          <w:color w:val="auto"/>
        </w:rPr>
      </w:pPr>
      <w:r>
        <w:rPr>
          <w:rFonts w:ascii="Times New Roman" w:cs="Times New Roman" w:eastAsia="Times New Roman" w:hAnsi="Times New Roman"/>
          <w:sz w:val="17"/>
          <w:szCs w:val="17"/>
          <w:color w:val="auto"/>
        </w:rPr>
        <w:t xml:space="preserve">6.6.4.1. A termination of employment or service relationship of a Grantee shall not be deemed to occur (except to the extent required by the Code with respect to the Incentive Stock Option status of an Option) in case of (i) a transition or transfer of a Grantee among the Company and its Affiliates, (ii) a change in the capacity in which the Grantee is employed or renders service to the Company or any of its Affiliates or a change in the identity of the employing or engagement entity among the Company and its Affiliates,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in case of the foregoing clauses</w:t>
      </w:r>
    </w:p>
    <w:p>
      <w:pPr>
        <w:spacing w:after="0" w:line="3" w:lineRule="exact"/>
        <w:rPr>
          <w:sz w:val="20"/>
          <w:szCs w:val="20"/>
          <w:color w:val="auto"/>
        </w:rPr>
      </w:pPr>
    </w:p>
    <w:p>
      <w:pPr>
        <w:ind w:right="140" w:firstLine="7"/>
        <w:spacing w:after="0" w:line="255" w:lineRule="auto"/>
        <w:tabs>
          <w:tab w:leader="none" w:pos="21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 above, that the Grantee has remained continuously employed by and/or in the service of the Company and its Affiliates since the date of grant of the Award and throughout the vesting period; or (iii) if the Grantee takes any unpaid leave as set forth in Section 6.8 below.</w:t>
      </w:r>
    </w:p>
    <w:p>
      <w:pPr>
        <w:spacing w:after="0" w:line="182" w:lineRule="exact"/>
        <w:rPr>
          <w:sz w:val="20"/>
          <w:szCs w:val="20"/>
          <w:color w:val="auto"/>
        </w:rPr>
      </w:pPr>
    </w:p>
    <w:p>
      <w:pPr>
        <w:jc w:val="both"/>
        <w:ind w:right="240" w:firstLine="1281"/>
        <w:spacing w:after="0" w:line="262" w:lineRule="auto"/>
        <w:rPr>
          <w:sz w:val="20"/>
          <w:szCs w:val="20"/>
          <w:color w:val="auto"/>
        </w:rPr>
      </w:pPr>
      <w:r>
        <w:rPr>
          <w:rFonts w:ascii="Times New Roman" w:cs="Times New Roman" w:eastAsia="Times New Roman" w:hAnsi="Times New Roman"/>
          <w:sz w:val="18"/>
          <w:szCs w:val="18"/>
          <w:color w:val="auto"/>
        </w:rPr>
        <w:t>6.6.4.2. An entity or an Affiliate thereof assuming an Award or issuing in substitution thereof in a transaction to which Section 424(a) of the Code applies or in a Merger/Sale in accordance with Section 14 shall be deemed as an Affiliate of the Company for purposes of this Section 6.6, unless the Committee determines otherwise.</w:t>
      </w:r>
    </w:p>
    <w:p>
      <w:pPr>
        <w:spacing w:after="0" w:line="176" w:lineRule="exact"/>
        <w:rPr>
          <w:sz w:val="20"/>
          <w:szCs w:val="20"/>
          <w:color w:val="auto"/>
        </w:rPr>
      </w:pPr>
    </w:p>
    <w:p>
      <w:pPr>
        <w:ind w:right="20" w:firstLine="1281"/>
        <w:spacing w:after="0" w:line="262" w:lineRule="auto"/>
        <w:rPr>
          <w:sz w:val="20"/>
          <w:szCs w:val="20"/>
          <w:color w:val="auto"/>
        </w:rPr>
      </w:pPr>
      <w:r>
        <w:rPr>
          <w:rFonts w:ascii="Times New Roman" w:cs="Times New Roman" w:eastAsia="Times New Roman" w:hAnsi="Times New Roman"/>
          <w:sz w:val="18"/>
          <w:szCs w:val="18"/>
          <w:color w:val="auto"/>
        </w:rPr>
        <w:t>6.6.4.3. In the case of a Grantee whose principal employer or service recipient is a Subsidiary or other Affiliate thereof, the Grantee’s employment or service relationship shall also be deemed terminated for purposes of this Section 6.6 as of the date on which such principal employer or service recipient ceases to be a Subsidiary or other Affiliate thereof.</w:t>
      </w:r>
    </w:p>
    <w:p>
      <w:pPr>
        <w:spacing w:after="0" w:line="176" w:lineRule="exact"/>
        <w:rPr>
          <w:sz w:val="20"/>
          <w:szCs w:val="20"/>
          <w:color w:val="auto"/>
        </w:rPr>
      </w:pPr>
    </w:p>
    <w:p>
      <w:pPr>
        <w:ind w:firstLine="1281"/>
        <w:spacing w:after="0" w:line="265" w:lineRule="auto"/>
        <w:rPr>
          <w:sz w:val="20"/>
          <w:szCs w:val="20"/>
          <w:color w:val="auto"/>
        </w:rPr>
      </w:pPr>
      <w:r>
        <w:rPr>
          <w:rFonts w:ascii="Times New Roman" w:cs="Times New Roman" w:eastAsia="Times New Roman" w:hAnsi="Times New Roman"/>
          <w:sz w:val="17"/>
          <w:szCs w:val="17"/>
          <w:color w:val="auto"/>
        </w:rPr>
        <w:t>6.6.4.4. The term “</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shall mean (irrespective of, and in addition to, any definition included in any other agreement or instrument applicable to the Grantee, and unless otherwise determined by the Committee) any of the following: (i) any theft, fraud, embezzlement, dishonesty, willful misconduct, breach of fiduciary duty for personal profit, falsification of any documents or records of the Company or any of its Affiliates, felony or similar act by the Grantee (whether or not related to the Grantee’s relationship with the Company); (ii) an act of moral turpitude by the Grantee, or any act that causes significant injury to, or is otherwise adversely affecting, the reputation, business, assets, operations or business relationship of the Company (or a Subsidiary or other Affiliate thereof, when applicable); (iii) any breach by the Grantee of any material agreement with or of any material duty of the Grantee to the Company or any Subsidiary or other Affiliate thereof (including breach of confidentiality, non-disclosure, non-use non- competition or non-solicitation covenants towards the Company or any of its Affiliates) or failure to abide by code of conduct or other policies (including, without limitation, policies relating to confidentiality and reasonable workplace conduct); (iv) any act which constitutes a breach of a Grantee’s fiduciary duty towards the Company or a Subsidiary or other Affiliate thereof, including disclosure of confidential or proprietary information thereof or acceptance or solicitation to receive unauthorized or undisclosed benefits, irrespective of their nature, or funds, or promises to receive either, from individuals, consultants or corporate entities with whom the Company or a Subsidiary or other Affiliate thereof conducts business; (v) the Grantee’s unauthorized use, misappropriation, destruction, or diversion of any tangible or intangible asset or corporate opportunity of the Company or any of its Affiliates (including, without limitation, the improper use or disclosure of confidential or proprietary information); or (vi) any circumstances that constitute grounds for termination for cause under the Grantee’s employment or service agreement with the Company or Affiliate, to the extent applicable. For the avoidance of doubt, the determination as to whether a termination is for Cause for purposes of this Plan, shall be made in good faith by the Committee and shall be final and binding on the Grantee.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600"/>
          </w:cols>
          <w:pgMar w:left="960" w:top="895" w:right="339" w:bottom="1440" w:gutter="0" w:footer="0" w:header="0"/>
        </w:sectPr>
      </w:pPr>
    </w:p>
    <w:bookmarkStart w:id="19" w:name="page20"/>
    <w:bookmarkEnd w:id="19"/>
    <w:p>
      <w:pPr>
        <w:ind w:left="640"/>
        <w:spacing w:after="0"/>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Death, Disability or Retirement of Grantee</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right="40" w:firstLine="640"/>
        <w:spacing w:after="0" w:line="250" w:lineRule="auto"/>
        <w:rPr>
          <w:sz w:val="20"/>
          <w:szCs w:val="20"/>
          <w:color w:val="auto"/>
        </w:rPr>
      </w:pPr>
      <w:r>
        <w:rPr>
          <w:rFonts w:ascii="Times New Roman" w:cs="Times New Roman" w:eastAsia="Times New Roman" w:hAnsi="Times New Roman"/>
          <w:sz w:val="18"/>
          <w:szCs w:val="18"/>
          <w:color w:val="auto"/>
        </w:rPr>
        <w:t>6.7.1 If a Grantee shall die while employed by, or performing service for, the Company or any of its Affiliates, or within the three (3) month period (or such longer period of time as determined by the Board, in its discretion) after the date of termination of such Grantee’s employment or service (or within such different period as the Committee may have provided pursuant to Section 6.6 hereof), or if the Grantee’s employment or service with the Company or any of its Affiliates shall terminate by reason of Disability, all Awards theretofore granted to such Grantee may (to the extent otherwise vested and exercisable and unless earlier terminated in accordance with their terms) be exercised by the Grantee or by the Grantee’s estate or by a person who acquired the legal right to exercise such Awards by bequest or inheritance, or by a person who acquired the legal right to exercise such Awards in accordance with applicable law in the case of Disability of the Grantee, as the case may be, at any time within one (1) year (or such longer period of time as determined by the Committee, in its discretion) after the death or Disability of the Grantee (or such different period as the Committee shall prescribe), but in any event no later than the date of expiration of the Award’s term as set forth in the Award Agreement or pursuant to this Plan. In the event that an Award granted hereunder shall be exercised as set forth above by any person other than the Grantee, written notice of such exercise shall be accompanied by a certified copy of letters testamentary or proof satisfactory to the Committee of the right of such person to exercise such Award.</w:t>
      </w:r>
    </w:p>
    <w:p>
      <w:pPr>
        <w:spacing w:after="0" w:line="188" w:lineRule="exact"/>
        <w:rPr>
          <w:sz w:val="20"/>
          <w:szCs w:val="20"/>
          <w:color w:val="auto"/>
        </w:rPr>
      </w:pPr>
    </w:p>
    <w:p>
      <w:pPr>
        <w:ind w:left="640" w:right="100" w:firstLine="640"/>
        <w:spacing w:after="0" w:line="262" w:lineRule="auto"/>
        <w:rPr>
          <w:sz w:val="20"/>
          <w:szCs w:val="20"/>
          <w:color w:val="auto"/>
        </w:rPr>
      </w:pPr>
      <w:r>
        <w:rPr>
          <w:rFonts w:ascii="Times New Roman" w:cs="Times New Roman" w:eastAsia="Times New Roman" w:hAnsi="Times New Roman"/>
          <w:sz w:val="18"/>
          <w:szCs w:val="18"/>
          <w:color w:val="auto"/>
        </w:rPr>
        <w:t>6.7.2 In the event that the employment or service of a Grantee shall terminate on account of such Grantee’s Retirement, all Awards of such Grantee that are exercisable at the time of such Retirement may, unless earlier terminated in accordance with their terms, be exercised at any time within the three (3) month period after the date of such Retirement (or such different period as the Committee shall prescribe).</w:t>
      </w:r>
    </w:p>
    <w:p>
      <w:pPr>
        <w:spacing w:after="0" w:line="176" w:lineRule="exact"/>
        <w:rPr>
          <w:sz w:val="20"/>
          <w:szCs w:val="20"/>
          <w:color w:val="auto"/>
        </w:rPr>
      </w:pPr>
    </w:p>
    <w:p>
      <w:pPr>
        <w:ind w:right="60" w:firstLine="640"/>
        <w:spacing w:after="0" w:line="254"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Suspension of Vesting</w:t>
      </w:r>
      <w:r>
        <w:rPr>
          <w:rFonts w:ascii="Times New Roman" w:cs="Times New Roman" w:eastAsia="Times New Roman" w:hAnsi="Times New Roman"/>
          <w:sz w:val="18"/>
          <w:szCs w:val="18"/>
          <w:color w:val="auto"/>
        </w:rPr>
        <w:t>. Unless the Committee provides otherwise, vesting of Awards granted hereunder shall be suspended during any unpaid leave of absence, other than in the case of any (i) leave of absence which was pre-approved by the Company explicitly for purposes of continuing the vesting of Awards, or (ii) transfers between locations of the Company or any of its Affiliates, or between the Company and any of its Affiliates, or any respective successor thereof. For clarity, for purposes of this Plan, military leave, statutory maternity or paternity leave or sick leave are not deemed unpaid leave of absence, unless otherwise determined by the Committee.</w:t>
      </w:r>
    </w:p>
    <w:p>
      <w:pPr>
        <w:spacing w:after="0" w:line="186" w:lineRule="exact"/>
        <w:rPr>
          <w:sz w:val="20"/>
          <w:szCs w:val="20"/>
          <w:color w:val="auto"/>
        </w:rPr>
      </w:pPr>
    </w:p>
    <w:p>
      <w:pPr>
        <w:ind w:firstLine="640"/>
        <w:spacing w:after="0" w:line="266" w:lineRule="auto"/>
        <w:rPr>
          <w:sz w:val="20"/>
          <w:szCs w:val="20"/>
          <w:color w:val="auto"/>
        </w:rPr>
      </w:pPr>
      <w:r>
        <w:rPr>
          <w:rFonts w:ascii="Times New Roman" w:cs="Times New Roman" w:eastAsia="Times New Roman" w:hAnsi="Times New Roman"/>
          <w:sz w:val="17"/>
          <w:szCs w:val="17"/>
          <w:color w:val="auto"/>
        </w:rPr>
        <w:t xml:space="preserve">6.9. </w:t>
      </w:r>
      <w:r>
        <w:rPr>
          <w:rFonts w:ascii="Times New Roman" w:cs="Times New Roman" w:eastAsia="Times New Roman" w:hAnsi="Times New Roman"/>
          <w:sz w:val="17"/>
          <w:szCs w:val="17"/>
          <w:u w:val="single" w:color="auto"/>
          <w:color w:val="auto"/>
        </w:rPr>
        <w:t>Securities Law Restrictions</w:t>
      </w:r>
      <w:r>
        <w:rPr>
          <w:rFonts w:ascii="Times New Roman" w:cs="Times New Roman" w:eastAsia="Times New Roman" w:hAnsi="Times New Roman"/>
          <w:sz w:val="17"/>
          <w:szCs w:val="17"/>
          <w:color w:val="auto"/>
        </w:rPr>
        <w:t>. Except as otherwise provided in the applicable Award Agreement or other agreement between the Service Provider and the Company, if the exercise of an Award following the termination of the Service Provider’s employment or service (other than for Cause) would be prohibited at any time solely because the issuance of Shares would violate the registration requirements under the Securities Act or equivalent requirements under equivalent laws of other applicable jurisdictions, then the Award shall remain exercisable and terminate on the earlier of (i) the expiration of a period of three (3) months (or such longer period of time as determined by the Committee, in its discretion) after the termination of the Service Provider’s employment or service during which the exercise of the Award would not be in such violation, or (ii) the expiration of the term of the Award as set forth in the Award Agreement or pursuant to this Plan. In addition, unless otherwise provided in a Grantee’s Award Agreement, if the sale of any Shares received upon exercise or (if applicable) vesting of an Award following the termination of the Grantee’s employment or service (other than for Cause) would violate the Company’s insider trading policy, then the Award shall terminate on the earlier of (i) the expiration of a period equal to the applicable post-termination exercise period after the termination of the Grantee’s employment or service during which the exercise of the Award would not be in violation of the Company’s insider trading policy, or (ii) the expiration of the term of the Award as set forth in the applicable Award Agreement or pursuant to this Plan.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ind w:right="300" w:firstLine="640"/>
        <w:spacing w:after="0" w:line="257"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Other Provisions</w:t>
      </w:r>
      <w:r>
        <w:rPr>
          <w:rFonts w:ascii="Times New Roman" w:cs="Times New Roman" w:eastAsia="Times New Roman" w:hAnsi="Times New Roman"/>
          <w:sz w:val="18"/>
          <w:szCs w:val="18"/>
          <w:color w:val="auto"/>
        </w:rPr>
        <w:t>. The Award Agreement evidencing Awards under this Plan shall contain such other terms and conditions not inconsistent with this Plan as the Committee may determine, at or after the date of grant, including provisions in connection with the restrictions on transferring the Awards or Shares covered by such Awards, which shall be binding upon the Grantees and any purchaser, assignee or transferee of any Awards, and other terms and conditions as the Committee shall deem appropriate.</w:t>
      </w:r>
    </w:p>
    <w:p>
      <w:pPr>
        <w:spacing w:after="0" w:line="177" w:lineRule="exact"/>
        <w:rPr>
          <w:sz w:val="20"/>
          <w:szCs w:val="20"/>
          <w:color w:val="auto"/>
        </w:rPr>
      </w:pPr>
    </w:p>
    <w:p>
      <w:pPr>
        <w:ind w:left="640" w:hanging="633"/>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NONQUALIFIED STOCK OPTIONS</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ind w:right="120" w:firstLine="640"/>
        <w:spacing w:after="0" w:line="257" w:lineRule="auto"/>
        <w:rPr>
          <w:sz w:val="20"/>
          <w:szCs w:val="20"/>
          <w:color w:val="auto"/>
        </w:rPr>
      </w:pPr>
      <w:r>
        <w:rPr>
          <w:rFonts w:ascii="Times New Roman" w:cs="Times New Roman" w:eastAsia="Times New Roman" w:hAnsi="Times New Roman"/>
          <w:sz w:val="18"/>
          <w:szCs w:val="18"/>
          <w:color w:val="auto"/>
        </w:rPr>
        <w:t>Awards granted pursuant to this Section 7 are intended to constitute Nonqualified Stock Options and shall be subject to the general terms and conditions specified in Section 6 hereof and other provisions of this Plan, except for any provisions of this Plan applying to Awards under different tax laws or regulations. In the event of any inconsistency or contradictions between the provisions of this Section 7 and the other terms of this Plan, this Section 7 shall prevail.</w:t>
      </w:r>
    </w:p>
    <w:p>
      <w:pPr>
        <w:spacing w:after="0" w:line="181" w:lineRule="exact"/>
        <w:rPr>
          <w:sz w:val="20"/>
          <w:szCs w:val="20"/>
          <w:color w:val="auto"/>
        </w:rPr>
      </w:pPr>
    </w:p>
    <w:p>
      <w:pPr>
        <w:ind w:right="20" w:firstLine="640"/>
        <w:spacing w:after="0" w:line="257"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Certain Limitations on Eligibility for Nonqualified Stock Options</w:t>
      </w:r>
      <w:r>
        <w:rPr>
          <w:rFonts w:ascii="Times New Roman" w:cs="Times New Roman" w:eastAsia="Times New Roman" w:hAnsi="Times New Roman"/>
          <w:sz w:val="18"/>
          <w:szCs w:val="18"/>
          <w:color w:val="auto"/>
        </w:rPr>
        <w:t>. Nonqualified Stock Options may not be granted to a Service Provider who is deemed to be a resident of the United States for purposes of taxation or who is otherwise subject to United States federal income tax unless the Shares underlying such Options constitute “service recipient stock” under Section 409A of the Code or unless such Options comply with the payment requirements of Section 409A of the Code.</w:t>
      </w:r>
    </w:p>
    <w:p>
      <w:pPr>
        <w:spacing w:after="0" w:line="181" w:lineRule="exact"/>
        <w:rPr>
          <w:sz w:val="20"/>
          <w:szCs w:val="20"/>
          <w:color w:val="auto"/>
        </w:rPr>
      </w:pPr>
    </w:p>
    <w:p>
      <w:pPr>
        <w:ind w:firstLine="640"/>
        <w:spacing w:after="0" w:line="254"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of a Nonqualified Stock Option shall not be less than 100% of the Fair Market Value of a Share on the date of grant of such Option unless the Committee specifically indicates that the Awards will have a lower Exercise Price and the Award complies with Section 409A of the Code. Notwithstanding the foregoing, a Nonqualified Stock Option may be granted with an exercise price lower than the minimum exercise price set forth above if such Award is granted pursuant to an assumption or substitution for another option in a manner qualifying under the provisions of that complies with Section 424(a) of the Code 1.409A-1(b)(5)(v)(D) of the U.S. Treasury Regulations or any successor guidance.</w:t>
      </w:r>
    </w:p>
    <w:p>
      <w:pPr>
        <w:spacing w:after="0" w:line="182" w:lineRule="exact"/>
        <w:rPr>
          <w:sz w:val="20"/>
          <w:szCs w:val="20"/>
          <w:color w:val="auto"/>
        </w:rPr>
      </w:pPr>
    </w:p>
    <w:p>
      <w:pPr>
        <w:ind w:left="640" w:hanging="633"/>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INCENTIVE STOCK OPTIONS</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ind w:firstLine="640"/>
        <w:spacing w:after="0" w:line="252" w:lineRule="auto"/>
        <w:rPr>
          <w:sz w:val="20"/>
          <w:szCs w:val="20"/>
          <w:color w:val="auto"/>
        </w:rPr>
      </w:pPr>
      <w:r>
        <w:rPr>
          <w:rFonts w:ascii="Times New Roman" w:cs="Times New Roman" w:eastAsia="Times New Roman" w:hAnsi="Times New Roman"/>
          <w:sz w:val="18"/>
          <w:szCs w:val="18"/>
          <w:color w:val="auto"/>
        </w:rPr>
        <w:t>Awards granted pursuant to this Section 8 are intended to constitute Incentive Stock Options and shall be granted subject to the following special terms and conditions, the general terms and conditions specified in Section 6 hereof and other provisions of this Plan, except for any provisions of this Plan applying to Awards under different tax laws or regulations. In the event of any inconsistency or contradictions between the provisions of this Section 8 and the other terms of this Plan, this Section 8 shall prevail. However, if for any reason any Award granted pursuant to this Section 8 (or portion thereof) does not qualify as an Incentive Stock Option, then, to the extent of such non-qualification, such Option (or portion thereof) shall be regarded as a Nonqualified Stock Option granted under this Plan. In no event will the Board, the Company or any Parent or Subsidiary or any of their respective employees or directors have any liability to Grantee (or any other person) due to the failure of the Option to qualify for any reason as an Incentive Stock Option.</w:t>
      </w:r>
    </w:p>
    <w:p>
      <w:pPr>
        <w:spacing w:after="0" w:line="187" w:lineRule="exact"/>
        <w:rPr>
          <w:sz w:val="20"/>
          <w:szCs w:val="20"/>
          <w:color w:val="auto"/>
        </w:rPr>
      </w:pPr>
    </w:p>
    <w:p>
      <w:pPr>
        <w:ind w:right="20" w:firstLine="640"/>
        <w:spacing w:after="0" w:line="257"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Eligibility for Incentive Stock Options</w:t>
      </w:r>
      <w:r>
        <w:rPr>
          <w:rFonts w:ascii="Times New Roman" w:cs="Times New Roman" w:eastAsia="Times New Roman" w:hAnsi="Times New Roman"/>
          <w:sz w:val="18"/>
          <w:szCs w:val="18"/>
          <w:color w:val="auto"/>
        </w:rPr>
        <w:t>. Incentive Stock Options may be granted only to Employees of the Company, or to Employees of a Parent or Subsidiary, determined as of the date of grant of such Options. An Incentive Stock Option granted to a prospective Employee upon the condition that such person become an Employee shall be deemed granted effective on the date such person commences employment, with an exercise price determined as of such date in accordance with Section 8.2.</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21" w:name="page22"/>
    <w:bookmarkEnd w:id="21"/>
    <w:p>
      <w:pPr>
        <w:ind w:right="140" w:firstLine="640"/>
        <w:spacing w:after="0" w:line="257"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of an Incentive Stock Option shall not be less than one hundred percent (100%) of the Fair Market Value of the Shares covered by the Awards on the date of grant of such Option or such other price as may be determined pursuant to the Code. Notwithstanding the foregoing, an Incentive Stock Option may be granted with an exercise price lower than the minimum exercise price set forth above if such Award is granted pursuant to an assumption or substitution for another option in a manner that complies with the provisions of Section 424(a) of the Code.</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xml:space="preserve">8.3. </w:t>
      </w:r>
      <w:r>
        <w:rPr>
          <w:rFonts w:ascii="Times New Roman" w:cs="Times New Roman" w:eastAsia="Times New Roman" w:hAnsi="Times New Roman"/>
          <w:sz w:val="17"/>
          <w:szCs w:val="17"/>
          <w:u w:val="single" w:color="auto"/>
          <w:color w:val="auto"/>
        </w:rPr>
        <w:t>Date of Grant</w:t>
      </w:r>
      <w:r>
        <w:rPr>
          <w:rFonts w:ascii="Times New Roman" w:cs="Times New Roman" w:eastAsia="Times New Roman" w:hAnsi="Times New Roman"/>
          <w:sz w:val="17"/>
          <w:szCs w:val="17"/>
          <w:color w:val="auto"/>
        </w:rPr>
        <w:t>. Notwithstanding any other provision of this Plan to the contrary, no Incentive Stock Option may be granted under this Plan after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years from the date this Plan is adopted, or the date this Plan is approved by the shareholders, whichever is earlier.</w:t>
      </w:r>
    </w:p>
    <w:p>
      <w:pPr>
        <w:spacing w:after="0" w:line="201" w:lineRule="exact"/>
        <w:rPr>
          <w:sz w:val="20"/>
          <w:szCs w:val="20"/>
          <w:color w:val="auto"/>
        </w:rPr>
      </w:pPr>
    </w:p>
    <w:p>
      <w:pPr>
        <w:ind w:right="80" w:firstLine="640"/>
        <w:spacing w:after="0" w:line="262"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Exercise Period</w:t>
      </w:r>
      <w:r>
        <w:rPr>
          <w:rFonts w:ascii="Times New Roman" w:cs="Times New Roman" w:eastAsia="Times New Roman" w:hAnsi="Times New Roman"/>
          <w:sz w:val="18"/>
          <w:szCs w:val="18"/>
          <w:color w:val="auto"/>
        </w:rPr>
        <w:t>. No Incentive Stock Option shall be exercisable after the expiration of ten (10) years after the effective date of grant of such Award, subject to Section 8.6. No Incentive Stock Option granted to a prospective Employee may become exercisable prior to the date on which such person commences employment.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xml:space="preserve">8.5. </w:t>
      </w:r>
      <w:r>
        <w:rPr>
          <w:rFonts w:ascii="Times New Roman" w:cs="Times New Roman" w:eastAsia="Times New Roman" w:hAnsi="Times New Roman"/>
          <w:sz w:val="17"/>
          <w:szCs w:val="17"/>
          <w:u w:val="single" w:color="auto"/>
          <w:color w:val="auto"/>
        </w:rPr>
        <w:t>$100,000 Per Year Limitation</w:t>
      </w:r>
      <w:r>
        <w:rPr>
          <w:rFonts w:ascii="Times New Roman" w:cs="Times New Roman" w:eastAsia="Times New Roman" w:hAnsi="Times New Roman"/>
          <w:sz w:val="17"/>
          <w:szCs w:val="17"/>
          <w:color w:val="auto"/>
        </w:rPr>
        <w:t>. The aggregate Fair Market Value (determined as of the date the Incentive Stock Option is granted) of the Shares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which all Incentive Stock Options granted under this Plan and all other “incentive stock option” plans of the Company, or of any Parent 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become exercisable for the first time by each Grantee during any calendar year shall not exceed one hundred thousand United States dollars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($100,000) with respect to such Grantee. To the extent that the aggregate Fair Market Value of Shares with respect to which such Incentive Stock Options 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other such incentive stock options are exercisable for the first time by any Grantee during any calendar year exceeds one hundred thousand United States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($100,000), such options shall be treated as Nonqualified Stock Options. The foregoing shall be applied by taking options into account in the order in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they were granted. If the Code is amended to provide for a different limitation from that set forth in this Section 8.5, such different limitation shall be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deemed incorporated herein effective as of the date and with respect to such Awards as required or permitted by such amendment to the Code. If an Option is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treated as an Incentive Stock Option in part and as a Nonqualified Stock Option in part by reason of the limitation set forth in this Section 8.5, the Grantee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designate which portion of such Option the Grantee is exercising. In the absence of such designation, the Grantee shall be deemed to have exercised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 Stock Option portion of the Option first. Separate certificates representing each such portion may be issued upon the exercise of the Option.</w:t>
      </w:r>
    </w:p>
    <w:p>
      <w:pPr>
        <w:spacing w:after="0" w:line="201" w:lineRule="exact"/>
        <w:rPr>
          <w:sz w:val="20"/>
          <w:szCs w:val="20"/>
          <w:color w:val="auto"/>
        </w:rPr>
      </w:pPr>
    </w:p>
    <w:p>
      <w:pPr>
        <w:ind w:right="160" w:firstLine="640"/>
        <w:spacing w:after="0" w:line="257"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Ten Percent Shareholder</w:t>
      </w:r>
      <w:r>
        <w:rPr>
          <w:rFonts w:ascii="Times New Roman" w:cs="Times New Roman" w:eastAsia="Times New Roman" w:hAnsi="Times New Roman"/>
          <w:sz w:val="18"/>
          <w:szCs w:val="18"/>
          <w:color w:val="auto"/>
        </w:rPr>
        <w:t>. In the case of an Incentive Stock Option granted to a Ten Percent Shareholder, notwithstanding the foregoing provisions of this Section 8, (i) the Exercise Price shall not be less than one hundred and ten percent (110%) of the Fair Market Value of a Share on the date of grant of such Incentive Stock Option, and (ii) the Exercise Period shall not exceed five (5) years from the effective date of grant of such Incentive Stock Option.</w:t>
      </w:r>
    </w:p>
    <w:p>
      <w:pPr>
        <w:spacing w:after="0" w:line="181" w:lineRule="exact"/>
        <w:rPr>
          <w:sz w:val="20"/>
          <w:szCs w:val="20"/>
          <w:color w:val="auto"/>
        </w:rPr>
      </w:pPr>
    </w:p>
    <w:p>
      <w:pPr>
        <w:ind w:right="420" w:firstLine="640"/>
        <w:spacing w:after="0" w:line="277"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Payment of Exercise Price</w:t>
      </w:r>
      <w:r>
        <w:rPr>
          <w:rFonts w:ascii="Times New Roman" w:cs="Times New Roman" w:eastAsia="Times New Roman" w:hAnsi="Times New Roman"/>
          <w:sz w:val="18"/>
          <w:szCs w:val="18"/>
          <w:color w:val="auto"/>
        </w:rPr>
        <w:t>. Each Award Agreement evidencing an Incentive Stock Option shall state each alternative method by which the Exercise Price thereof may be paid.</w:t>
      </w:r>
    </w:p>
    <w:p>
      <w:pPr>
        <w:spacing w:after="0" w:line="163" w:lineRule="exact"/>
        <w:rPr>
          <w:sz w:val="20"/>
          <w:szCs w:val="20"/>
          <w:color w:val="auto"/>
        </w:rPr>
      </w:pPr>
    </w:p>
    <w:p>
      <w:pPr>
        <w:ind w:right="60" w:firstLine="640"/>
        <w:spacing w:after="0" w:line="277"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Leave of Absence</w:t>
      </w:r>
      <w:r>
        <w:rPr>
          <w:rFonts w:ascii="Times New Roman" w:cs="Times New Roman" w:eastAsia="Times New Roman" w:hAnsi="Times New Roman"/>
          <w:sz w:val="18"/>
          <w:szCs w:val="18"/>
          <w:color w:val="auto"/>
        </w:rPr>
        <w:t>. Notwithstanding Section 6.8, a Grantee’s employment shall not be deemed to have terminated if the Grantee takes any leave as set forth in Section 6.8(i) or as otherwise permitted by the Administrator.</w:t>
      </w:r>
    </w:p>
    <w:p>
      <w:pPr>
        <w:spacing w:after="0" w:line="163" w:lineRule="exact"/>
        <w:rPr>
          <w:sz w:val="20"/>
          <w:szCs w:val="20"/>
          <w:color w:val="auto"/>
        </w:rPr>
      </w:pPr>
    </w:p>
    <w:p>
      <w:pPr>
        <w:ind w:right="100" w:firstLine="640"/>
        <w:spacing w:after="0" w:line="269" w:lineRule="auto"/>
        <w:rPr>
          <w:sz w:val="20"/>
          <w:szCs w:val="20"/>
          <w:color w:val="auto"/>
        </w:rPr>
      </w:pPr>
      <w:r>
        <w:rPr>
          <w:rFonts w:ascii="Times New Roman" w:cs="Times New Roman" w:eastAsia="Times New Roman" w:hAnsi="Times New Roman"/>
          <w:sz w:val="17"/>
          <w:szCs w:val="17"/>
          <w:color w:val="auto"/>
        </w:rPr>
        <w:t xml:space="preserve">8.9. </w:t>
      </w:r>
      <w:r>
        <w:rPr>
          <w:rFonts w:ascii="Times New Roman" w:cs="Times New Roman" w:eastAsia="Times New Roman" w:hAnsi="Times New Roman"/>
          <w:sz w:val="17"/>
          <w:szCs w:val="17"/>
          <w:u w:val="single" w:color="auto"/>
          <w:color w:val="auto"/>
        </w:rPr>
        <w:t>Exercise Following Termination</w:t>
      </w:r>
      <w:r>
        <w:rPr>
          <w:rFonts w:ascii="Times New Roman" w:cs="Times New Roman" w:eastAsia="Times New Roman" w:hAnsi="Times New Roman"/>
          <w:sz w:val="17"/>
          <w:szCs w:val="17"/>
          <w:color w:val="auto"/>
        </w:rPr>
        <w:t>. Notwithstanding anything else in this Plan to the contrary, Incentive Stock Options that are not exercised within three (3) months following termination of the Grantee’s employment with the Company or its Parent or Subsidiary or with a corporation (or a parent or subsidiary of such corporation) issuing or assuming an Option of such Grantee in a transaction to which Section 424(a) of the Code applies, or within one</w:t>
      </w:r>
    </w:p>
    <w:p>
      <w:pPr>
        <w:spacing w:after="0" w:line="2" w:lineRule="exact"/>
        <w:rPr>
          <w:sz w:val="20"/>
          <w:szCs w:val="20"/>
          <w:color w:val="auto"/>
        </w:rPr>
      </w:pPr>
    </w:p>
    <w:p>
      <w:pPr>
        <w:ind w:right="120" w:firstLine="7"/>
        <w:spacing w:after="0" w:line="255" w:lineRule="auto"/>
        <w:tabs>
          <w:tab w:leader="none" w:pos="252" w:val="left"/>
        </w:tabs>
        <w:numPr>
          <w:ilvl w:val="0"/>
          <w:numId w:val="2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year in case of termination of the Grantee’s employment with the Company or its Parent or Subsidiary due to a Disability (within the meaning of Section 22(e)(3) of the Code), shall be deemed to be Nonqualified Stock Options.</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u w:val="single" w:color="auto"/>
          <w:color w:val="auto"/>
        </w:rPr>
        <w:t>Notice to Company of Disqualifying Disposition</w:t>
      </w:r>
      <w:r>
        <w:rPr>
          <w:rFonts w:ascii="Times New Roman" w:cs="Times New Roman" w:eastAsia="Times New Roman" w:hAnsi="Times New Roman"/>
          <w:sz w:val="18"/>
          <w:szCs w:val="18"/>
          <w:color w:val="auto"/>
        </w:rPr>
        <w:t>. Each Grantee who receives an Incentive Stock Option must agree to notify the Company in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writing immediately after the Grantee makes a Disqualifying Disposition of any Shares received pursuant to the exercise of Incentive Stock Options. 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Disqualifying Disposition</w:t>
      </w:r>
      <w:r>
        <w:rPr>
          <w:rFonts w:ascii="Times New Roman" w:cs="Times New Roman" w:eastAsia="Times New Roman" w:hAnsi="Times New Roman"/>
          <w:sz w:val="18"/>
          <w:szCs w:val="18"/>
          <w:color w:val="auto"/>
        </w:rPr>
        <w:t>” is any disposition (including any sale) of such Shares before the later of (i) two years after the date the Grantee was granted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 Stock Option, or (ii) one year after the date the Grantee acquired Shares by exercising the Incentive Stock Option. If the Grantee dies before such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are sold, these holding period requirements do not apply and no disposition of the Shares will be deemed a Disqualifying Disposition.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ind w:left="640" w:hanging="633"/>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102 AWARDS</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ind w:right="60" w:firstLine="640"/>
        <w:spacing w:after="0" w:line="257" w:lineRule="auto"/>
        <w:rPr>
          <w:sz w:val="20"/>
          <w:szCs w:val="20"/>
          <w:color w:val="auto"/>
        </w:rPr>
      </w:pPr>
      <w:r>
        <w:rPr>
          <w:rFonts w:ascii="Times New Roman" w:cs="Times New Roman" w:eastAsia="Times New Roman" w:hAnsi="Times New Roman"/>
          <w:sz w:val="18"/>
          <w:szCs w:val="18"/>
          <w:color w:val="auto"/>
        </w:rPr>
        <w:t>Awards granted pursuant to this Section 9 are intended to constitute 102 Awards and shall be granted subject to the following special terms and conditions, the general terms and conditions specified in Section 6 hereof and other provisions of this Plan, except for any provisions of this Plan applying to Awards under different tax laws or regulations. In the event of any inconsistency or contradictions between the provisions of this Section 9 and the other terms of this Plan, this Section 9 shall prevail.</w:t>
      </w:r>
    </w:p>
    <w:p>
      <w:pPr>
        <w:spacing w:after="0" w:line="181" w:lineRule="exact"/>
        <w:rPr>
          <w:sz w:val="20"/>
          <w:szCs w:val="20"/>
          <w:color w:val="auto"/>
        </w:rPr>
      </w:pPr>
    </w:p>
    <w:p>
      <w:pPr>
        <w:ind w:right="60" w:firstLine="640"/>
        <w:spacing w:after="0" w:line="254"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Tracks</w:t>
      </w:r>
      <w:r>
        <w:rPr>
          <w:rFonts w:ascii="Times New Roman" w:cs="Times New Roman" w:eastAsia="Times New Roman" w:hAnsi="Times New Roman"/>
          <w:sz w:val="18"/>
          <w:szCs w:val="18"/>
          <w:color w:val="auto"/>
        </w:rPr>
        <w:t>. Awards granted pursuant to this Section 9 are intended to be granted pursuant to Section 102 of the Ordinance pursuant to either (i) Section 102(b)(2) or (3) thereof (as applicable), under the capital gain track (“</w:t>
      </w:r>
      <w:r>
        <w:rPr>
          <w:rFonts w:ascii="Times New Roman" w:cs="Times New Roman" w:eastAsia="Times New Roman" w:hAnsi="Times New Roman"/>
          <w:sz w:val="18"/>
          <w:szCs w:val="18"/>
          <w:u w:val="single" w:color="auto"/>
          <w:color w:val="auto"/>
        </w:rPr>
        <w:t>102 Capital Gain Track Awards</w:t>
      </w:r>
      <w:r>
        <w:rPr>
          <w:rFonts w:ascii="Times New Roman" w:cs="Times New Roman" w:eastAsia="Times New Roman" w:hAnsi="Times New Roman"/>
          <w:sz w:val="18"/>
          <w:szCs w:val="18"/>
          <w:color w:val="auto"/>
        </w:rPr>
        <w:t>”), or (ii) Section 102(b)(1) thereof under the ordinary income track (“</w:t>
      </w:r>
      <w:r>
        <w:rPr>
          <w:rFonts w:ascii="Times New Roman" w:cs="Times New Roman" w:eastAsia="Times New Roman" w:hAnsi="Times New Roman"/>
          <w:sz w:val="18"/>
          <w:szCs w:val="18"/>
          <w:u w:val="single" w:color="auto"/>
          <w:color w:val="auto"/>
        </w:rPr>
        <w:t>102 Ordinary Income Track Awards</w:t>
      </w:r>
      <w:r>
        <w:rPr>
          <w:rFonts w:ascii="Times New Roman" w:cs="Times New Roman" w:eastAsia="Times New Roman" w:hAnsi="Times New Roman"/>
          <w:sz w:val="18"/>
          <w:szCs w:val="18"/>
          <w:color w:val="auto"/>
        </w:rPr>
        <w:t>”, and together with 102 Capital Gain Track Awards, “</w:t>
      </w:r>
      <w:r>
        <w:rPr>
          <w:rFonts w:ascii="Times New Roman" w:cs="Times New Roman" w:eastAsia="Times New Roman" w:hAnsi="Times New Roman"/>
          <w:sz w:val="18"/>
          <w:szCs w:val="18"/>
          <w:u w:val="single" w:color="auto"/>
          <w:color w:val="auto"/>
        </w:rPr>
        <w:t>102 Trustee Awards</w:t>
      </w:r>
      <w:r>
        <w:rPr>
          <w:rFonts w:ascii="Times New Roman" w:cs="Times New Roman" w:eastAsia="Times New Roman" w:hAnsi="Times New Roman"/>
          <w:sz w:val="18"/>
          <w:szCs w:val="18"/>
          <w:color w:val="auto"/>
        </w:rPr>
        <w:t>”). 102 Trustee Awards shall be granted subject to the special terms and conditions contained in this Section 9, the general terms and conditions specified in Section 6 hereof and other provisions of this Plan, except for any provisions of this Plan applying to Options under different tax laws or regulations.</w:t>
      </w:r>
    </w:p>
    <w:p>
      <w:pPr>
        <w:spacing w:after="0" w:line="186" w:lineRule="exact"/>
        <w:rPr>
          <w:sz w:val="20"/>
          <w:szCs w:val="20"/>
          <w:color w:val="auto"/>
        </w:rPr>
      </w:pPr>
    </w:p>
    <w:p>
      <w:pPr>
        <w:ind w:right="80" w:firstLine="640"/>
        <w:spacing w:after="0" w:line="25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Election of Track</w:t>
      </w:r>
      <w:r>
        <w:rPr>
          <w:rFonts w:ascii="Times New Roman" w:cs="Times New Roman" w:eastAsia="Times New Roman" w:hAnsi="Times New Roman"/>
          <w:sz w:val="18"/>
          <w:szCs w:val="18"/>
          <w:color w:val="auto"/>
        </w:rPr>
        <w:t>. Subject to Applicable Law, the Company may grant only one type of 102 Trustee Awards at any given time to all Grantees who are to be granted 102 Trustee Awards pursuant to this Plan, and shall file an election with the ITA regarding the type of 102 Trustee Awards it elects to grant before the date of grant of any 102 Trustee Awards (the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Such Election shall also apply to any other securities, including bonus shares, received by any Grantee as a result of holding the 102 Trustee Awards. The Company may change the type of 102 Trustee Awards that it elects to grant only after the expiration of at least 12 months from the end of the year in which the first grant was made in accordance with the previous Election, or as otherwise provided by Applicable Law. Any Election shall not prevent the Company from granting Awards, pursuant to Section 102(c) of the Ordinance without a Trustee (“</w:t>
      </w:r>
      <w:r>
        <w:rPr>
          <w:rFonts w:ascii="Times New Roman" w:cs="Times New Roman" w:eastAsia="Times New Roman" w:hAnsi="Times New Roman"/>
          <w:sz w:val="18"/>
          <w:szCs w:val="18"/>
          <w:u w:val="single" w:color="auto"/>
          <w:color w:val="auto"/>
        </w:rPr>
        <w:t>102 Non- Trustee Awards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Eligibility for Awards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firstLine="640"/>
        <w:spacing w:after="0" w:line="254" w:lineRule="auto"/>
        <w:rPr>
          <w:sz w:val="20"/>
          <w:szCs w:val="20"/>
          <w:color w:val="auto"/>
        </w:rPr>
      </w:pPr>
      <w:r>
        <w:rPr>
          <w:rFonts w:ascii="Times New Roman" w:cs="Times New Roman" w:eastAsia="Times New Roman" w:hAnsi="Times New Roman"/>
          <w:sz w:val="18"/>
          <w:szCs w:val="18"/>
          <w:color w:val="auto"/>
        </w:rPr>
        <w:t>9.3.1 Subject to Applicable Law, 102 Awards may only be granted to an “employee” within the meaning of Section 102(a) of the Ordinance (which as of the date of the adoption of this Plan means (i) individuals employed by an Israeli company being the Company or any of its Affiliates, and (ii) individuals who are serving and are engaged personally ( and not through an entity) as “office holders” by such an Israeli company), but may not be granted to a Controlling Shareholder (“</w:t>
      </w:r>
      <w:r>
        <w:rPr>
          <w:rFonts w:ascii="Times New Roman" w:cs="Times New Roman" w:eastAsia="Times New Roman" w:hAnsi="Times New Roman"/>
          <w:sz w:val="18"/>
          <w:szCs w:val="18"/>
          <w:u w:val="single" w:color="auto"/>
          <w:color w:val="auto"/>
        </w:rPr>
        <w:t>Eligible 102 Grantees</w:t>
      </w:r>
      <w:r>
        <w:rPr>
          <w:rFonts w:ascii="Times New Roman" w:cs="Times New Roman" w:eastAsia="Times New Roman" w:hAnsi="Times New Roman"/>
          <w:sz w:val="18"/>
          <w:szCs w:val="18"/>
          <w:color w:val="auto"/>
        </w:rPr>
        <w:t>”). Eligible 102 Grantees may receive only 102 Awards, which may either be granted to a Trustee or granted under Section 102 of the Ordinance without a Trustee.</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102 Award Grant Date</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firstLine="640"/>
        <w:spacing w:after="0" w:line="269" w:lineRule="auto"/>
        <w:rPr>
          <w:sz w:val="20"/>
          <w:szCs w:val="20"/>
          <w:color w:val="auto"/>
        </w:rPr>
      </w:pPr>
      <w:r>
        <w:rPr>
          <w:rFonts w:ascii="Times New Roman" w:cs="Times New Roman" w:eastAsia="Times New Roman" w:hAnsi="Times New Roman"/>
          <w:sz w:val="17"/>
          <w:szCs w:val="17"/>
          <w:color w:val="auto"/>
        </w:rPr>
        <w:t xml:space="preserve">9.4.1 Each 102 Award will be deemed granted on the date determined by the Committee, subject to Section 9.4.2,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the Grantee has signed all documents required by the Company or pursuant to Applicable Law, and (ii) with respect to 102 Trustee Award, the Company has provided all applicable documents to the Trustee in accordance with the guidelines published by the ITA, and if an agreement is not signed and delivered by the Grantee within 90 days from the date determined by the Committee (subject to Section 9.4.2), then such 102 Trustee Award shall be deemed granted on such later date as such agreement is signed and delivered and on which the Company has provided all applicable documents to the Trustee in accordance with the guidelines published by the ITA. In the case of any contradiction, this provision and the date of grant determined pursuant hereto shall supersede and be deemed to amend any date of grant indicated in any corporate resolution or Award Agreement.</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ind w:right="20" w:firstLine="640"/>
        <w:spacing w:after="0" w:line="251" w:lineRule="auto"/>
        <w:rPr>
          <w:sz w:val="20"/>
          <w:szCs w:val="20"/>
          <w:color w:val="auto"/>
        </w:rPr>
      </w:pPr>
      <w:r>
        <w:rPr>
          <w:rFonts w:ascii="Times New Roman" w:cs="Times New Roman" w:eastAsia="Times New Roman" w:hAnsi="Times New Roman"/>
          <w:sz w:val="18"/>
          <w:szCs w:val="18"/>
          <w:color w:val="auto"/>
        </w:rPr>
        <w:t>9.4.2 Unless otherwise permitted by the Ordinance, any grants of 102 Trustee Awards that are made on or after the date of the adoption of this Plan or an amendment to this Plan, as the case may be, that may become effective only at the expiration of thirty (30) days after the filing of this Plan or any amendment thereof (as the case may be) with the ITA in accordance with the Ordinance shall be conditional upon the expiration of such 30-day period, such condition shall be read and is incorporated by reference into any corporate resolutions approving such grants and into any Award Agreement evidencing such grants (whether or not explicitly referring to such condition), and the date of grant shall be at the expiration of such 30-day period, whether or not the date of grant indicated therein corresponds with this Section. In the case of any contradiction, this provision and the date of grant determined pursuant hereto shall supersede and be deemed to amend any date of grant indicated in any corporate resolution or Award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102 Trustee Awards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640"/>
        <w:spacing w:after="0" w:line="250" w:lineRule="auto"/>
        <w:rPr>
          <w:sz w:val="20"/>
          <w:szCs w:val="20"/>
          <w:color w:val="auto"/>
        </w:rPr>
      </w:pPr>
      <w:r>
        <w:rPr>
          <w:rFonts w:ascii="Times New Roman" w:cs="Times New Roman" w:eastAsia="Times New Roman" w:hAnsi="Times New Roman"/>
          <w:sz w:val="18"/>
          <w:szCs w:val="18"/>
          <w:color w:val="auto"/>
        </w:rPr>
        <w:t>9.5.1 Each 102 Trustee Award, each Share issued pursuant to the exercise of any 102 Trustee Award, and any rights granted thereunder, including bonus shares, shall be issued to and registered in the name of the Trustee and shall be held in trust for the benefit of the Grantee for the requisite period prescribed by the Ordinance (the “</w:t>
      </w:r>
      <w:r>
        <w:rPr>
          <w:rFonts w:ascii="Times New Roman" w:cs="Times New Roman" w:eastAsia="Times New Roman" w:hAnsi="Times New Roman"/>
          <w:sz w:val="18"/>
          <w:szCs w:val="18"/>
          <w:u w:val="single" w:color="auto"/>
          <w:color w:val="auto"/>
        </w:rPr>
        <w:t>Required Holding Period</w:t>
      </w:r>
      <w:r>
        <w:rPr>
          <w:rFonts w:ascii="Times New Roman" w:cs="Times New Roman" w:eastAsia="Times New Roman" w:hAnsi="Times New Roman"/>
          <w:sz w:val="18"/>
          <w:szCs w:val="18"/>
          <w:color w:val="auto"/>
        </w:rPr>
        <w:t xml:space="preserve">”). In the event that the requirements under Section 102 of the Ordinance to qualify an Award as a 102 Trustee Award are not met, then the Award may be treated as a 102 Non-Trustee Award or 3(9) Award, all in accordance with the provisions of the Ordinance. After expiration of the Required Holding Period, the Trustee may release such 102 Trustee Awards and any such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Trustee has received an acknowledgment from the ITA that the Grantee has paid any applicable taxes due pursuant to the Ordinance, or (ii) the Trustee and/or the Company and/or the Employer withholds all applicable taxes and compulsory payments due pursuant to the Ordinance arising from the 102 Trustee Awards and/or any Shares issued upon exercise or (if applicable) vesting of such 102 Trustee Awards. The Trustee shall not release any 102 Trustee Awards or Shares issued upon exercise or (if applicable) vesting thereof prior to the payment in full of the Grantee’s tax and compulsory payments arising from such 102 Trustee Awards and/or Shares or the withholding referred to in (ii) above.</w:t>
      </w:r>
    </w:p>
    <w:p>
      <w:pPr>
        <w:spacing w:after="0" w:line="190" w:lineRule="exact"/>
        <w:rPr>
          <w:sz w:val="20"/>
          <w:szCs w:val="20"/>
          <w:color w:val="auto"/>
        </w:rPr>
      </w:pPr>
    </w:p>
    <w:p>
      <w:pPr>
        <w:ind w:right="20" w:firstLine="640"/>
        <w:spacing w:after="0" w:line="269" w:lineRule="auto"/>
        <w:rPr>
          <w:sz w:val="20"/>
          <w:szCs w:val="20"/>
          <w:color w:val="auto"/>
        </w:rPr>
      </w:pPr>
      <w:r>
        <w:rPr>
          <w:rFonts w:ascii="Times New Roman" w:cs="Times New Roman" w:eastAsia="Times New Roman" w:hAnsi="Times New Roman"/>
          <w:sz w:val="17"/>
          <w:szCs w:val="17"/>
          <w:color w:val="auto"/>
        </w:rPr>
        <w:t>9.5.2 Each 102 Trustee Award shall be subject to the relevant terms of the Ordinance, the Rules and any determinations, rulings or approvals issued by the ITA, which shall be deemed an integral part of the 102 Trustee Awards and shall prevail over any term contained in this Plan or Award Agreement that is not consistent therewith. Any provision of the Ordinance, the Rules and any determinations, rulings or approvals by the ITA not expressly specified in this Plan or Award Agreement that are necessary to receive or maintain any tax benefit pursuant to Section 102 of the Ordinance shall be binding on the Grantee. Any Grantee granted a 102 Trustee Awards shall comply with the Ordinance and the terms and conditions of the trust agreement entered into between the Company and the Trustee. The Grantee shall execute any and all documents that the Company and/or its Affiliates and/or the Trustee determine from time to time to be necessary in order to comply with the Ordinance and the Rules.</w:t>
      </w:r>
    </w:p>
    <w:p>
      <w:pPr>
        <w:spacing w:after="0" w:line="174" w:lineRule="exact"/>
        <w:rPr>
          <w:sz w:val="20"/>
          <w:szCs w:val="20"/>
          <w:color w:val="auto"/>
        </w:rPr>
      </w:pPr>
    </w:p>
    <w:p>
      <w:pPr>
        <w:ind w:right="20" w:firstLine="640"/>
        <w:spacing w:after="0" w:line="250" w:lineRule="auto"/>
        <w:rPr>
          <w:sz w:val="20"/>
          <w:szCs w:val="20"/>
          <w:color w:val="auto"/>
        </w:rPr>
      </w:pPr>
      <w:r>
        <w:rPr>
          <w:rFonts w:ascii="Times New Roman" w:cs="Times New Roman" w:eastAsia="Times New Roman" w:hAnsi="Times New Roman"/>
          <w:sz w:val="18"/>
          <w:szCs w:val="18"/>
          <w:color w:val="auto"/>
        </w:rPr>
        <w:t xml:space="preserve">9.5.3 During the Required Holding Period, the Grantee shall not release from trust or sell, assign, transfer or give as collateral, the Shares issuable upon the exercise or (if applicable) vesting of a 102 Trustee Awards and/or any securities issued or distributed with respect thereto, until the expiration of the Required Holding Period. Notwithstanding the above, if any such sale, release or other action occurs during the Required Holding Period it may result in adverse tax consequences to the Grantee under Section 102 of the Ordinance and the Rules, which shall apply to and shall be borne solely by such Grantee. Subject to the foregoing, the Trustee may, pursuant to a written request from the Grantee, but subject to the terms of this Plan, release and transfer such Shares to a designated third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both of the following conditions have been fulfilled prior to such release or transfer: (i) payment has been made to the ITA of all taxes and compulsory payments required to be paid upon the release and transfer of the Shares, and confirmation of such payment has been received by the Trustee and the Company, and (ii) the Trustee has received written confirmation from the Company that all requirements for such release and transfer have been fulfilled according to the terms of the Company’s corporate documents, any agreement governing the Shares, this Plan, the Award Agreement and any Applicable Law.</w:t>
      </w:r>
    </w:p>
    <w:p>
      <w:pPr>
        <w:spacing w:after="0" w:line="200" w:lineRule="exact"/>
        <w:rPr>
          <w:sz w:val="20"/>
          <w:szCs w:val="20"/>
          <w:color w:val="auto"/>
        </w:rPr>
      </w:pPr>
    </w:p>
    <w:p>
      <w:pPr>
        <w:spacing w:after="0" w:line="20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600"/>
          </w:cols>
          <w:pgMar w:left="960" w:top="895" w:right="339" w:bottom="1440" w:gutter="0" w:footer="0" w:header="0"/>
        </w:sectPr>
      </w:pPr>
    </w:p>
    <w:bookmarkStart w:id="24" w:name="page25"/>
    <w:bookmarkEnd w:id="24"/>
    <w:p>
      <w:pPr>
        <w:ind w:left="640" w:right="200" w:firstLine="640"/>
        <w:spacing w:after="0" w:line="277" w:lineRule="auto"/>
        <w:rPr>
          <w:sz w:val="20"/>
          <w:szCs w:val="20"/>
          <w:color w:val="auto"/>
        </w:rPr>
      </w:pPr>
      <w:r>
        <w:rPr>
          <w:rFonts w:ascii="Times New Roman" w:cs="Times New Roman" w:eastAsia="Times New Roman" w:hAnsi="Times New Roman"/>
          <w:sz w:val="18"/>
          <w:szCs w:val="18"/>
          <w:color w:val="auto"/>
        </w:rPr>
        <w:t>9.5.4 If a 102 Trustee Award is exercised or (if applicable) vested, the Shares issued upon such exercise or (if applicable) vesting shall be issued in the name of the Trustee for the benefit of the Grantee.</w:t>
      </w:r>
    </w:p>
    <w:p>
      <w:pPr>
        <w:spacing w:after="0" w:line="163" w:lineRule="exact"/>
        <w:rPr>
          <w:sz w:val="20"/>
          <w:szCs w:val="20"/>
          <w:color w:val="auto"/>
        </w:rPr>
      </w:pPr>
    </w:p>
    <w:p>
      <w:pPr>
        <w:ind w:left="640" w:right="220" w:firstLine="640"/>
        <w:spacing w:after="0" w:line="262" w:lineRule="auto"/>
        <w:rPr>
          <w:sz w:val="20"/>
          <w:szCs w:val="20"/>
          <w:color w:val="auto"/>
        </w:rPr>
      </w:pPr>
      <w:r>
        <w:rPr>
          <w:rFonts w:ascii="Times New Roman" w:cs="Times New Roman" w:eastAsia="Times New Roman" w:hAnsi="Times New Roman"/>
          <w:sz w:val="18"/>
          <w:szCs w:val="18"/>
          <w:color w:val="auto"/>
        </w:rPr>
        <w:t>9.5.5 Upon or after receipt of a 102 Trustee Award, if required, the Grantee may be required to sign an undertaking to release the Trustee from any liability with respect to any action or decision duly taken and executed in good faith by the Trustee in relation to this Plan, or any 102 Trustee Awards or Share granted to such Grantee thereunder.</w:t>
      </w:r>
    </w:p>
    <w:p>
      <w:pPr>
        <w:spacing w:after="0" w:line="176" w:lineRule="exact"/>
        <w:rPr>
          <w:sz w:val="20"/>
          <w:szCs w:val="20"/>
          <w:color w:val="auto"/>
        </w:rPr>
      </w:pPr>
    </w:p>
    <w:p>
      <w:pPr>
        <w:ind w:right="20" w:firstLine="640"/>
        <w:spacing w:after="0" w:line="251"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102 Non-Trustee Awards</w:t>
      </w:r>
      <w:r>
        <w:rPr>
          <w:rFonts w:ascii="Times New Roman" w:cs="Times New Roman" w:eastAsia="Times New Roman" w:hAnsi="Times New Roman"/>
          <w:sz w:val="18"/>
          <w:szCs w:val="18"/>
          <w:color w:val="auto"/>
        </w:rPr>
        <w:t>. The foregoing provisions of this Section 9 relating to 102 Trustee Awards shall not apply with respect to 102 Non-Trustee Awards, which shall, however, be subject to the relevant provisions of Section 102 of the Ordinance and the applicable Rules. The Committee may determine that 102 Non-Trustee Awards, the Shares issuable upon the exercise or (if applicable) vesting of a 102 Non-Trustee Awards and/or any securities issued or distributed with respect thereto, shall be allocated or issued to the Trustee, who shall hold such 102 Non-Trustee Awards and all accrued rights thereon (if any), in trust for the benefit of the Grantee and/or the Company, as the case may be, until the full payment of tax arising from the 102 Non-Trustee Awards, the Shares issuable upon the exercise or (if applicable) vesting of a 102 Non-Trustee Awards and/or any securities issued or distributed with respect thereto. The Company may choose, alternatively, to force the Grantee to provide it with a guarantee or other security, to the satisfaction of each of the Trustee and the Company, until the full payment of the applicable taxes.</w:t>
      </w:r>
    </w:p>
    <w:p>
      <w:pPr>
        <w:spacing w:after="0" w:line="190" w:lineRule="exact"/>
        <w:rPr>
          <w:sz w:val="20"/>
          <w:szCs w:val="20"/>
          <w:color w:val="auto"/>
        </w:rPr>
      </w:pPr>
    </w:p>
    <w:p>
      <w:pPr>
        <w:ind w:firstLine="640"/>
        <w:spacing w:after="0" w:line="254"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Written Grantee Undertaking</w:t>
      </w:r>
      <w:r>
        <w:rPr>
          <w:rFonts w:ascii="Times New Roman" w:cs="Times New Roman" w:eastAsia="Times New Roman" w:hAnsi="Times New Roman"/>
          <w:sz w:val="18"/>
          <w:szCs w:val="18"/>
          <w:color w:val="auto"/>
        </w:rPr>
        <w:t>. To the extent and with respect to any 102 Trustee Award, and as required by Section 102 of the Ordinance and the Rules, by virtue of the receipt of such Award, the Grantee is deemed to have provided, undertaken and confirmed the following written undertaking (and such undertaking is deemed incorporated into any documents signed by the Grantee in connection with the employment or service of the Grantee and/or the grant of such Award), which undertaking shall be deemed to apply and relate to all 102 Trustee Awards granted to the Grantee, whether under this Plan or other plans maintained by the Company, and whether prior to or after the date hereof.</w:t>
      </w:r>
    </w:p>
    <w:p>
      <w:pPr>
        <w:spacing w:after="0" w:line="186" w:lineRule="exact"/>
        <w:rPr>
          <w:sz w:val="20"/>
          <w:szCs w:val="20"/>
          <w:color w:val="auto"/>
        </w:rPr>
      </w:pPr>
    </w:p>
    <w:p>
      <w:pPr>
        <w:jc w:val="both"/>
        <w:ind w:left="640" w:right="260" w:firstLine="640"/>
        <w:spacing w:after="0" w:line="262" w:lineRule="auto"/>
        <w:rPr>
          <w:sz w:val="20"/>
          <w:szCs w:val="20"/>
          <w:color w:val="auto"/>
        </w:rPr>
      </w:pPr>
      <w:r>
        <w:rPr>
          <w:rFonts w:ascii="Times New Roman" w:cs="Times New Roman" w:eastAsia="Times New Roman" w:hAnsi="Times New Roman"/>
          <w:sz w:val="18"/>
          <w:szCs w:val="18"/>
          <w:color w:val="auto"/>
        </w:rPr>
        <w:t>9.7.1 The Grantee shall comply with all terms and conditions set forth in Section 102 of the Ordinance with regard to the “Capital Gain Track” or the “Ordinary Income Track”, as applicable, and the applicable rules and regulations promulgated thereunder, as amended from time to time;</w:t>
      </w:r>
    </w:p>
    <w:p>
      <w:pPr>
        <w:spacing w:after="0" w:line="176" w:lineRule="exact"/>
        <w:rPr>
          <w:sz w:val="20"/>
          <w:szCs w:val="20"/>
          <w:color w:val="auto"/>
        </w:rPr>
      </w:pPr>
    </w:p>
    <w:p>
      <w:pPr>
        <w:ind w:left="640" w:right="40" w:firstLine="640"/>
        <w:spacing w:after="0" w:line="251" w:lineRule="auto"/>
        <w:rPr>
          <w:sz w:val="20"/>
          <w:szCs w:val="20"/>
          <w:color w:val="auto"/>
        </w:rPr>
      </w:pPr>
      <w:r>
        <w:rPr>
          <w:rFonts w:ascii="Times New Roman" w:cs="Times New Roman" w:eastAsia="Times New Roman" w:hAnsi="Times New Roman"/>
          <w:sz w:val="18"/>
          <w:szCs w:val="18"/>
          <w:color w:val="auto"/>
        </w:rPr>
        <w:t>9.7.2 The Grantee is familiar with, and understands the provisions of, Section 102 of the Ordinance in general, and the tax arrangement under the “Capital Gain Track” or the “Ordinary Income Track” in particular, and its tax consequences; the Grantee agrees that the 102 Trustee Awards and Shares that may be issued upon exercise or (if applicable) vesting of the 102 Trustee Awards (or otherwise in relation to the 102 Trustee Awards), will be held by the Trustee appointed pursuant to Section 102 of the Ordinance for at least the duration of the “Holding Period” (as such term is defined in Section 102) under the “Capital Gain Track” or the “Ordinary Income Track”, as applicable. The Grantee understands that any release of such 102 Trustee Awards or Shares from trust, or any sale of the Share prior to the termination of the Holding Period, as defined above, will result in taxation at marginal tax rate, in addition to deductions of appropriate social security, health tax contributions or other compulsory payments; and</w:t>
      </w:r>
    </w:p>
    <w:p>
      <w:pPr>
        <w:spacing w:after="0" w:line="19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9.7.3 The Grantee agrees to the trust agreement signed between the Company, the Employer and the Trustee appointed pursuant to Section</w:t>
      </w:r>
    </w:p>
    <w:p>
      <w:pPr>
        <w:spacing w:after="0" w:line="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102 of the Ordinance.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ind w:left="640" w:hanging="633"/>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3(I) AWARDS</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ind w:right="260" w:firstLine="640"/>
        <w:spacing w:after="0" w:line="257" w:lineRule="auto"/>
        <w:rPr>
          <w:sz w:val="20"/>
          <w:szCs w:val="20"/>
          <w:color w:val="auto"/>
        </w:rPr>
      </w:pPr>
      <w:r>
        <w:rPr>
          <w:rFonts w:ascii="Times New Roman" w:cs="Times New Roman" w:eastAsia="Times New Roman" w:hAnsi="Times New Roman"/>
          <w:sz w:val="18"/>
          <w:szCs w:val="18"/>
          <w:color w:val="auto"/>
        </w:rPr>
        <w:t>Awards granted pursuant to this Section 10 are intended to constitute 3(i) Awards and shall be granted subject to the general terms and conditions specified in Section 6 hereof and other provisions of this Plan, except for any provisions of this Plan applying to Awards under different tax laws or regulations. In the event of any inconsistency or contradictions between the provisions of this Section 10 and the other terms of this Plan, this Section 10 shall prevail.</w:t>
      </w:r>
    </w:p>
    <w:p>
      <w:pPr>
        <w:spacing w:after="0" w:line="181" w:lineRule="exact"/>
        <w:rPr>
          <w:sz w:val="20"/>
          <w:szCs w:val="20"/>
          <w:color w:val="auto"/>
        </w:rPr>
      </w:pPr>
    </w:p>
    <w:p>
      <w:pPr>
        <w:ind w:right="160" w:firstLine="640"/>
        <w:spacing w:after="0" w:line="251" w:lineRule="auto"/>
        <w:rPr>
          <w:sz w:val="20"/>
          <w:szCs w:val="20"/>
          <w:color w:val="auto"/>
        </w:rPr>
      </w:pPr>
      <w:r>
        <w:rPr>
          <w:rFonts w:ascii="Times New Roman" w:cs="Times New Roman" w:eastAsia="Times New Roman" w:hAnsi="Times New Roman"/>
          <w:sz w:val="18"/>
          <w:szCs w:val="18"/>
          <w:color w:val="auto"/>
        </w:rPr>
        <w:t>10.1. To the extent required by the Ordinance or the ITA or otherwise deemed by the Committee to be advisable, the 3(i) Awards and/or any shares or other securities issued or distributed with respect thereto granted pursuant to this Plan shall be issued to the Grantee and shall be supervised by a Trustee nominated by the Committee in accordance with the provisions of the Ordinance or the terms of a trust agreement, as applicable. In such event, the Trustee shall hold such Awards and or other securities issued or distributed with respect thereto in trust, until exercised or (if applicable) vested by the Grantee and the full payment of tax arising therefrom, pursuant to the Company’s instructions from time to time as set forth in a trust agreement, which will have been entered into between the Company and the Trustee. If determined by the Board or the Committee, and subject to such trust agreement, the Trustee shall be responsible for withholding any taxes to which a Grantee may become liable upon issuance of Shares, whether due to the exercise or (if applicable) vesting of Awards.</w:t>
      </w:r>
    </w:p>
    <w:p>
      <w:pPr>
        <w:spacing w:after="0" w:line="190" w:lineRule="exact"/>
        <w:rPr>
          <w:sz w:val="20"/>
          <w:szCs w:val="20"/>
          <w:color w:val="auto"/>
        </w:rPr>
      </w:pPr>
    </w:p>
    <w:p>
      <w:pPr>
        <w:ind w:right="360" w:firstLine="640"/>
        <w:spacing w:after="0" w:line="262" w:lineRule="auto"/>
        <w:rPr>
          <w:sz w:val="20"/>
          <w:szCs w:val="20"/>
          <w:color w:val="auto"/>
        </w:rPr>
      </w:pPr>
      <w:r>
        <w:rPr>
          <w:rFonts w:ascii="Times New Roman" w:cs="Times New Roman" w:eastAsia="Times New Roman" w:hAnsi="Times New Roman"/>
          <w:sz w:val="18"/>
          <w:szCs w:val="18"/>
          <w:color w:val="auto"/>
        </w:rPr>
        <w:t>10.2. Shares pursuant to a 3(I) Award shall not be issued, unless the Grantee delivers to the Company payment in cash or by bank check or such other form acceptable to the Committee of all withholding taxes due, if any, on account of the Grantee acquired Shares under the Award or gives other assurance satisfactory to the Committee of the payment of those withholding taxes.</w:t>
      </w:r>
    </w:p>
    <w:p>
      <w:pPr>
        <w:spacing w:after="0" w:line="172" w:lineRule="exact"/>
        <w:rPr>
          <w:sz w:val="20"/>
          <w:szCs w:val="20"/>
          <w:color w:val="auto"/>
        </w:rPr>
      </w:pPr>
    </w:p>
    <w:p>
      <w:pPr>
        <w:ind w:left="640" w:hanging="633"/>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RESTRICTED SHARES</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ind w:right="40" w:firstLine="640"/>
        <w:spacing w:after="0" w:line="252" w:lineRule="auto"/>
        <w:rPr>
          <w:sz w:val="20"/>
          <w:szCs w:val="20"/>
          <w:color w:val="auto"/>
        </w:rPr>
      </w:pPr>
      <w:r>
        <w:rPr>
          <w:rFonts w:ascii="Times New Roman" w:cs="Times New Roman" w:eastAsia="Times New Roman" w:hAnsi="Times New Roman"/>
          <w:sz w:val="18"/>
          <w:szCs w:val="18"/>
          <w:color w:val="auto"/>
        </w:rPr>
        <w:t>The Committee may award Restricted Shares to any eligible Grantee, including under Section 102 of the Ordinance. Each Award of Restricted Shares under this Plan shall be evidenced by a written agreement between the Company and the Grantee (the “</w:t>
      </w:r>
      <w:r>
        <w:rPr>
          <w:rFonts w:ascii="Times New Roman" w:cs="Times New Roman" w:eastAsia="Times New Roman" w:hAnsi="Times New Roman"/>
          <w:sz w:val="18"/>
          <w:szCs w:val="18"/>
          <w:u w:val="single" w:color="auto"/>
          <w:color w:val="auto"/>
        </w:rPr>
        <w:t>Restricted Share Agreement</w:t>
      </w:r>
      <w:r>
        <w:rPr>
          <w:rFonts w:ascii="Times New Roman" w:cs="Times New Roman" w:eastAsia="Times New Roman" w:hAnsi="Times New Roman"/>
          <w:sz w:val="18"/>
          <w:szCs w:val="18"/>
          <w:color w:val="auto"/>
        </w:rPr>
        <w:t>”), in such form as the Committee shall from time to time approve. The Restricted Shares shall be subject to all applicable terms of this Plan, which in the case of Restricted Shares granted under Section 102 of the Ordinance shall include Section 9 hereof, and may be subject to any other terms that are not inconsistent with this Plan. The provisions of the various Restricted Shares Agreements entered into under this Plan need not be identical with respect to any two Awards or Grantees. The Restricted Share Agreement shall comply with and be subject to Section 6 and the following terms and conditions, unless otherwise specifically provided in such Agreement and not inconsistent with this Plan or Applicable Law:</w:t>
      </w:r>
    </w:p>
    <w:p>
      <w:pPr>
        <w:spacing w:after="0" w:line="187" w:lineRule="exact"/>
        <w:rPr>
          <w:sz w:val="20"/>
          <w:szCs w:val="20"/>
          <w:color w:val="auto"/>
        </w:rPr>
      </w:pPr>
    </w:p>
    <w:p>
      <w:pPr>
        <w:ind w:firstLine="640"/>
        <w:spacing w:after="0" w:line="284" w:lineRule="auto"/>
        <w:rPr>
          <w:sz w:val="20"/>
          <w:szCs w:val="20"/>
          <w:color w:val="auto"/>
        </w:rPr>
      </w:pPr>
      <w:r>
        <w:rPr>
          <w:rFonts w:ascii="Times New Roman" w:cs="Times New Roman" w:eastAsia="Times New Roman" w:hAnsi="Times New Roman"/>
          <w:sz w:val="17"/>
          <w:szCs w:val="17"/>
          <w:color w:val="auto"/>
        </w:rPr>
        <w:t xml:space="preserve">11.1. </w:t>
      </w:r>
      <w:r>
        <w:rPr>
          <w:rFonts w:ascii="Times New Roman" w:cs="Times New Roman" w:eastAsia="Times New Roman" w:hAnsi="Times New Roman"/>
          <w:sz w:val="17"/>
          <w:szCs w:val="17"/>
          <w:u w:val="single" w:color="auto"/>
          <w:color w:val="auto"/>
        </w:rPr>
        <w:t>Purchase Price</w:t>
      </w:r>
      <w:r>
        <w:rPr>
          <w:rFonts w:ascii="Times New Roman" w:cs="Times New Roman" w:eastAsia="Times New Roman" w:hAnsi="Times New Roman"/>
          <w:sz w:val="17"/>
          <w:szCs w:val="17"/>
          <w:color w:val="auto"/>
        </w:rPr>
        <w:t>. Section 6.4 shall not apply. Each Restricted Share Agreement shall state an amount of Exercise Price to be paid by the Grantee, if any, in consideration for the issuance of the Restricted Shares and the terms of payment thereof, which may include payment in cash or, subject to the Committee’s approval, by issuance of promissory notes or other evidence of indebtedness on such terms and conditions as determined by the Committee.</w:t>
      </w:r>
    </w:p>
    <w:p>
      <w:pPr>
        <w:spacing w:after="0" w:line="160" w:lineRule="exact"/>
        <w:rPr>
          <w:sz w:val="20"/>
          <w:szCs w:val="20"/>
          <w:color w:val="auto"/>
        </w:rPr>
      </w:pPr>
    </w:p>
    <w:p>
      <w:pPr>
        <w:ind w:firstLine="640"/>
        <w:spacing w:after="0" w:line="249"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Restricted Shares may not be sold, assigned, transferred, pledged, hypothecated or otherwise disposed of, except by will or the laws of descent and distribution (in which case they shall be transferred subject to all restrictions then or thereafter applicable thereto), until such Restricted Shares shall have vested (the period from the date on which the Award is granted until the date of vesting of the Restricted Shares thereunder being referred to herein as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The Committee may also impose such additional or alternative restrictions and conditions on the Restricted Shares, as it deems appropriate, including the satisfaction of performance criteria (which, in case of 102 Trustee Awards, may be subject to obtaining a specific tax ruling or determination from the ITA). Such performance criteria may include, but are not limited to, sales, earnings before interest and taxes, return on investment, earnings per share, share trading price and performance hurdles, any combination of the foregoing or rate of growth of any of the foregoing, as determined by the Committee or pursuant to the provisions of any Company policy required under mandatory provisions of Applicable Law. Certificates for shares issued pursuant to Restricted Share Awards, if issued, shall bear an appropriate legend referring to such restrictions, and any attempt to dispose of any such shares in contravention of such restrictions shall be null and void and without effect. Such certificates may, if so determined by the Committee, be held in escrow by an escrow agent appointed by the Committee, or, if a Restricted Share Award is made pursuant to Section 102 of the Ordinance, by the Trustee. In determining the Restricted Period of an Award the Committee may provide that the foregoing restrictions shall lapse with respect to specified percentages of the awarded Restricted Shares on successive anniversaries of the date of such Award. To the extent required by the Ordinance or the ITA, the Restricted Shares issued pursuant to Section 102 of the Ordinance shall be issued to the Trustee in accordance with the provisions of the Ordinance and the Restricted Shares shall be held for the benefit of the Grantee for at least the Required Holding Period.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ind w:right="60" w:firstLine="640"/>
        <w:spacing w:after="0" w:line="253"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Forfeiture; Repurchase</w:t>
      </w:r>
      <w:r>
        <w:rPr>
          <w:rFonts w:ascii="Times New Roman" w:cs="Times New Roman" w:eastAsia="Times New Roman" w:hAnsi="Times New Roman"/>
          <w:sz w:val="18"/>
          <w:szCs w:val="18"/>
          <w:color w:val="auto"/>
        </w:rPr>
        <w:t>. Subject to such exceptions as may be determined by the Committee, if the Grantee’s continuous employment with or service to the Company or any Affiliate thereof shall terminate (such that Grantee is no longer a Service Provider of either the Company or any Affiliate thereof) for any reason prior to the expiration of the Restricted Period of an Award or prior to the timely payment in full of the Exercise Price of any Restricted Shares, any Restricted Shares remaining subject to vesting or with respect to which the purchase price has not been paid in full, shall thereupon be forfeited, transferred to, and redeemed, repurchased or cancelled by, as the case may be, in any manner as set forth in Section 6.6.2(i) through (v), subject to Applicable Law and the Grantee shall have no further rights with respect to such Restricted Shares.</w:t>
      </w:r>
    </w:p>
    <w:p>
      <w:pPr>
        <w:spacing w:after="0" w:line="185" w:lineRule="exact"/>
        <w:rPr>
          <w:sz w:val="20"/>
          <w:szCs w:val="20"/>
          <w:color w:val="auto"/>
        </w:rPr>
      </w:pPr>
    </w:p>
    <w:p>
      <w:pPr>
        <w:ind w:right="20" w:firstLine="640"/>
        <w:spacing w:after="0" w:line="252"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 During the Restricted Period the Grantee shall possess all incidents of ownership of such Restricted Shares, subject to Section 6.10 and Section 11.2, including the right to vote and receive dividends with respect to such Shares. All securities, if any, received by a Grantee with respect to Restricted Shares as a result of any stock split, stock dividend, combination of shares, or other similar transaction shall be subject to the restrictions applicable to the original Award. Notwithstanding anything to the contrary herein, dividends which are paid to the Company’s shareholders prior to the vesting date of any Restricted Shares shall only be paid to the Grantee of such Restricted Shares to the extent the vesting conditions applicable to such Restricted Shares are subsequently satisfied (and any such dividends will be paid no later than March 15 of the calendar year following the calendar year in which the right to the dividend payment becomes nonforfeitable)).</w:t>
      </w:r>
    </w:p>
    <w:p>
      <w:pPr>
        <w:spacing w:after="0" w:line="183" w:lineRule="exact"/>
        <w:rPr>
          <w:sz w:val="20"/>
          <w:szCs w:val="20"/>
          <w:color w:val="auto"/>
        </w:rPr>
      </w:pPr>
    </w:p>
    <w:p>
      <w:pPr>
        <w:ind w:left="640" w:hanging="633"/>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RESTRICTED SHARE UNITS</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ind w:firstLine="640"/>
        <w:spacing w:after="0" w:line="252" w:lineRule="auto"/>
        <w:rPr>
          <w:sz w:val="20"/>
          <w:szCs w:val="20"/>
          <w:color w:val="auto"/>
        </w:rPr>
      </w:pPr>
      <w:r>
        <w:rPr>
          <w:rFonts w:ascii="Times New Roman" w:cs="Times New Roman" w:eastAsia="Times New Roman" w:hAnsi="Times New Roman"/>
          <w:sz w:val="18"/>
          <w:szCs w:val="18"/>
          <w:color w:val="auto"/>
        </w:rPr>
        <w:t>An RSU is an Award covering a number of Shares that is settled, if vested and (if applicable) exercised, by issuance of those Shares or, in the discretion of the Committee, an amount of cash equal to the aggregate Fair Market Value of the Shares underlying the Award (other than with respect to 102 Trustee Awards). An RSU may be awarded to any eligible Grantee, including under Section 102 of the Ordinance. The Award Agreement relating to the grant of RSUs under this Plan (the “</w:t>
      </w:r>
      <w:r>
        <w:rPr>
          <w:rFonts w:ascii="Times New Roman" w:cs="Times New Roman" w:eastAsia="Times New Roman" w:hAnsi="Times New Roman"/>
          <w:sz w:val="18"/>
          <w:szCs w:val="18"/>
          <w:u w:val="single" w:color="auto"/>
          <w:color w:val="auto"/>
        </w:rPr>
        <w:t>Restricted Share Unit Agreement</w:t>
      </w:r>
      <w:r>
        <w:rPr>
          <w:rFonts w:ascii="Times New Roman" w:cs="Times New Roman" w:eastAsia="Times New Roman" w:hAnsi="Times New Roman"/>
          <w:sz w:val="18"/>
          <w:szCs w:val="18"/>
          <w:color w:val="auto"/>
        </w:rPr>
        <w:t>”), shall be in such form as the Committee shall from time to time approve. The RSUs shall be subject to all applicable terms of this Plan, which in the case of RSUs granted under Section 102 of the Ordinance shall include Section 9 hereof, and may be subject to any other terms that are not inconsistent with this Plan. The provisions of the various Restricted Share Unit Agreements entered into under this Plan need not be identical. RSUs may be granted in consideration of a reduction in the recipient’s other compensation.</w:t>
      </w:r>
    </w:p>
    <w:p>
      <w:pPr>
        <w:spacing w:after="0" w:line="187" w:lineRule="exact"/>
        <w:rPr>
          <w:sz w:val="20"/>
          <w:szCs w:val="20"/>
          <w:color w:val="auto"/>
        </w:rPr>
      </w:pPr>
    </w:p>
    <w:p>
      <w:pPr>
        <w:ind w:right="440" w:firstLine="640"/>
        <w:spacing w:after="0" w:line="277"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No payment of Exercise Price shall be required as consideration for RSUs, unless included in the Award Agreement or as required by Applicable Law (including, Section 304 of the Companies Law), and Section 6.4 shall apply, if applicable.</w:t>
      </w:r>
    </w:p>
    <w:p>
      <w:pPr>
        <w:spacing w:after="0" w:line="163" w:lineRule="exact"/>
        <w:rPr>
          <w:sz w:val="20"/>
          <w:szCs w:val="20"/>
          <w:color w:val="auto"/>
        </w:rPr>
      </w:pPr>
    </w:p>
    <w:p>
      <w:pPr>
        <w:ind w:right="620" w:firstLine="640"/>
        <w:spacing w:after="0" w:line="277"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Shareholders’ Rights</w:t>
      </w:r>
      <w:r>
        <w:rPr>
          <w:rFonts w:ascii="Times New Roman" w:cs="Times New Roman" w:eastAsia="Times New Roman" w:hAnsi="Times New Roman"/>
          <w:sz w:val="18"/>
          <w:szCs w:val="18"/>
          <w:color w:val="auto"/>
        </w:rPr>
        <w:t>. The Grantee shall not possess or own any ownership rights in the Shares underlying the RSUs and no rights as a shareholder shall exist prior to the actual issuance of Shares in the name of the Grantee.</w:t>
      </w:r>
    </w:p>
    <w:p>
      <w:pPr>
        <w:spacing w:after="0" w:line="163" w:lineRule="exact"/>
        <w:rPr>
          <w:sz w:val="20"/>
          <w:szCs w:val="20"/>
          <w:color w:val="auto"/>
        </w:rPr>
      </w:pPr>
    </w:p>
    <w:p>
      <w:pPr>
        <w:ind w:right="20" w:firstLine="640"/>
        <w:spacing w:after="0" w:line="257"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Settlements of Awards</w:t>
      </w:r>
      <w:r>
        <w:rPr>
          <w:rFonts w:ascii="Times New Roman" w:cs="Times New Roman" w:eastAsia="Times New Roman" w:hAnsi="Times New Roman"/>
          <w:sz w:val="18"/>
          <w:szCs w:val="18"/>
          <w:color w:val="auto"/>
        </w:rPr>
        <w:t>. Settlement of vested RSUs shall be made in the form of Shares or, in the discretion of the Committee, cash (other than with respect 102 Trustee Awards). Distribution to a Grantee of an amount (or amounts) from settlement of vested RSUs can be deferred to a date after vesting as determined by the Committee. The amount of a deferred distribution may be increased by an interest factor or by dividend equivalents. Until the grant of RSUs is settled, the number of Shares underlying such RSUs shall be subject to adjustment pursuant hereto.</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ind w:right="140" w:firstLine="640"/>
        <w:spacing w:after="0" w:line="254"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Section 409A Restrictions</w:t>
      </w:r>
      <w:r>
        <w:rPr>
          <w:rFonts w:ascii="Times New Roman" w:cs="Times New Roman" w:eastAsia="Times New Roman" w:hAnsi="Times New Roman"/>
          <w:sz w:val="18"/>
          <w:szCs w:val="18"/>
          <w:color w:val="auto"/>
        </w:rPr>
        <w:t>. Notwithstanding anything to the contrary set forth herein, any RSUs granted under this Plan that are not exempt from the requirements of Section 409A of the Code shall contain such restrictions or other provisions so that such RSUs will comply with the requirements of Section 409A of the Code, if applicable to the Grantee. Such restrictions, if any, shall be determined by the Committee and contained in the Restricted Share Unit Agreement evidencing such RSU. For example, such restrictions may include a requirement that any Shares that are to be issued in a year following the year in which the RSU vests must be issued in accordance with a fixed, pre-determined schedule.</w:t>
      </w:r>
    </w:p>
    <w:p>
      <w:pPr>
        <w:spacing w:after="0" w:line="182" w:lineRule="exact"/>
        <w:rPr>
          <w:sz w:val="20"/>
          <w:szCs w:val="20"/>
          <w:color w:val="auto"/>
        </w:rPr>
      </w:pPr>
    </w:p>
    <w:p>
      <w:pPr>
        <w:ind w:left="640" w:hanging="633"/>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OTHER SHARE OR SHARE-BASED AWARDS</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ind w:right="120" w:firstLine="640"/>
        <w:spacing w:after="0" w:line="262" w:lineRule="auto"/>
        <w:rPr>
          <w:sz w:val="20"/>
          <w:szCs w:val="20"/>
          <w:color w:val="auto"/>
        </w:rPr>
      </w:pPr>
      <w:r>
        <w:rPr>
          <w:rFonts w:ascii="Times New Roman" w:cs="Times New Roman" w:eastAsia="Times New Roman" w:hAnsi="Times New Roman"/>
          <w:sz w:val="18"/>
          <w:szCs w:val="18"/>
          <w:color w:val="auto"/>
        </w:rPr>
        <w:t>13.1. The Committee may grant other Awards under this Plan pursuant to which Shares (which may, but need not, be Restricted Shares pursuant to Section 11 hereof), cash (in settlement of Share-based Awards) or a combination thereof, are or may in the future be acquired or received, or Awards denominated in stock units, including units valued on the basis of measures other than market value.</w:t>
      </w:r>
    </w:p>
    <w:p>
      <w:pPr>
        <w:spacing w:after="0" w:line="176" w:lineRule="exact"/>
        <w:rPr>
          <w:sz w:val="20"/>
          <w:szCs w:val="20"/>
          <w:color w:val="auto"/>
        </w:rPr>
      </w:pPr>
    </w:p>
    <w:p>
      <w:pPr>
        <w:jc w:val="both"/>
        <w:ind w:right="40" w:firstLine="640"/>
        <w:spacing w:after="0" w:line="257" w:lineRule="auto"/>
        <w:rPr>
          <w:sz w:val="20"/>
          <w:szCs w:val="20"/>
          <w:color w:val="auto"/>
        </w:rPr>
      </w:pPr>
      <w:r>
        <w:rPr>
          <w:rFonts w:ascii="Times New Roman" w:cs="Times New Roman" w:eastAsia="Times New Roman" w:hAnsi="Times New Roman"/>
          <w:sz w:val="18"/>
          <w:szCs w:val="18"/>
          <w:color w:val="auto"/>
        </w:rPr>
        <w:t>13.2. The Committee may also grant stock appreciation rights without the grant of an accompanying option, which rights shall permit the Grantees to receive, at the time of any exercise of such rights, cash equal to the amount by which the Fair Market Value of the Shares in respect to which the right was granted is so exercised exceeds the exercise price thereof. The exercise price of any such stock appreciation right granted to a Grantee who is subject to U.S. federal income tax shall be determined in compliance with Section 7.2.</w:t>
      </w:r>
    </w:p>
    <w:p>
      <w:pPr>
        <w:spacing w:after="0" w:line="181" w:lineRule="exact"/>
        <w:rPr>
          <w:sz w:val="20"/>
          <w:szCs w:val="20"/>
          <w:color w:val="auto"/>
        </w:rPr>
      </w:pPr>
    </w:p>
    <w:p>
      <w:pPr>
        <w:ind w:right="160" w:firstLine="640"/>
        <w:spacing w:after="0" w:line="262" w:lineRule="auto"/>
        <w:rPr>
          <w:sz w:val="20"/>
          <w:szCs w:val="20"/>
          <w:color w:val="auto"/>
        </w:rPr>
      </w:pPr>
      <w:r>
        <w:rPr>
          <w:rFonts w:ascii="Times New Roman" w:cs="Times New Roman" w:eastAsia="Times New Roman" w:hAnsi="Times New Roman"/>
          <w:sz w:val="18"/>
          <w:szCs w:val="18"/>
          <w:color w:val="auto"/>
        </w:rPr>
        <w:t>13.3. Such other Share-based Awards as set forth above may be granted alone, in addition to, or in tandem with any Award of any type granted under this Plan (without any obligation or assurance that that such Share-based Awards will be entitled to tax benefits under Applicable Law or to the same tax treatment as other Awards under this Plan).</w:t>
      </w:r>
    </w:p>
    <w:p>
      <w:pPr>
        <w:spacing w:after="0" w:line="172" w:lineRule="exact"/>
        <w:rPr>
          <w:sz w:val="20"/>
          <w:szCs w:val="20"/>
          <w:color w:val="auto"/>
        </w:rPr>
      </w:pPr>
    </w:p>
    <w:p>
      <w:pPr>
        <w:ind w:left="640" w:hanging="633"/>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EFFECT OF CERTAIN CHANGES</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ind w:firstLine="640"/>
        <w:spacing w:after="0" w:line="249"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In the event of a division or subdivision of the outstanding share capital of the Company, any distribution of bonus shares (stock split), consolidation or combination of share capital of the Company (reverse stock split), reclassification with respect to the Shares or any similar recapitalization events (each, a “</w:t>
      </w:r>
      <w:r>
        <w:rPr>
          <w:rFonts w:ascii="Times New Roman" w:cs="Times New Roman" w:eastAsia="Times New Roman" w:hAnsi="Times New Roman"/>
          <w:sz w:val="18"/>
          <w:szCs w:val="18"/>
          <w:u w:val="single" w:color="auto"/>
          <w:color w:val="auto"/>
        </w:rPr>
        <w:t>Recapitalization</w:t>
      </w:r>
      <w:r>
        <w:rPr>
          <w:rFonts w:ascii="Times New Roman" w:cs="Times New Roman" w:eastAsia="Times New Roman" w:hAnsi="Times New Roman"/>
          <w:sz w:val="18"/>
          <w:szCs w:val="18"/>
          <w:color w:val="auto"/>
        </w:rPr>
        <w:t>”), a merger (including, a reverse merger and a reverse triangular merger), consolidation, amalgamation or like transaction of the Company with or into another corporation, a reorganization (which may include a combination or exchange of shares, spin-off or other corporate divestiture or division, or other similar occurrences, the Committee shall make, without the need for a consent of any holder of an Award, such adjustments as determined by the Committee to be appropriate, in its discretion, in order to adjust (i) the number and class of shares reserved and available for grants of Awards, (ii) the number and class of shares covered by outstanding Awards, (iii) the Exercise Price per share covered by any Award, (iv) the terms and conditions concerning vesting and exercisability and the term and duration of the outstanding Awards, (v) the type or class of security, asset or right underlying the Award (which need not be only that of the Company, and may be that of the surviving corporation or any affiliate thereof or such other entity party to any of the above transactions), and (vi) any other terms of the Award that in the opinion of the Committee should be adjusted. Subject to Applicable Law, any fractional shares resulting from such adjustment shall be treated as determined by the Committee, and in the absence of such determination shall be rounded to the nearest whole share, and the Company shall have no obligation to make any cash or other payment with respect to such fractional shares. No adjustment shall be made by reason of the distribution of subscription rights or rights offering to outstanding shares or other issuance of shares by the Company, unless the Committee determines otherwise. The adjustments determined pursuant to this Section 14.1 (including a determination that no adjustment is to be made) shall be final, binding and conclusive.</w:t>
      </w:r>
    </w:p>
    <w:p>
      <w:pPr>
        <w:spacing w:after="0" w:line="195" w:lineRule="exact"/>
        <w:rPr>
          <w:sz w:val="20"/>
          <w:szCs w:val="20"/>
          <w:color w:val="auto"/>
        </w:rPr>
      </w:pPr>
    </w:p>
    <w:p>
      <w:pPr>
        <w:jc w:val="both"/>
        <w:ind w:firstLine="640"/>
        <w:spacing w:after="0" w:line="271" w:lineRule="auto"/>
        <w:rPr>
          <w:sz w:val="20"/>
          <w:szCs w:val="20"/>
          <w:color w:val="auto"/>
        </w:rPr>
      </w:pPr>
      <w:r>
        <w:rPr>
          <w:rFonts w:ascii="Times New Roman" w:cs="Times New Roman" w:eastAsia="Times New Roman" w:hAnsi="Times New Roman"/>
          <w:sz w:val="17"/>
          <w:szCs w:val="17"/>
          <w:color w:val="auto"/>
        </w:rPr>
        <w:t>Notwithstanding anything to the contrary included herein, and subject to Applicable Law and the applicable accounting standards, in the event of a distribution of cash dividend by the Company to all holders of Shares, the Committee shall have the authority to determine, without the need for a consent of any holder of an Award, that the Exercise Price of any Award, which is outstanding and unexercised on the record date of such distribution, shall be reduced by an amount equal to the per Share gross dividend amount distributed by the Company, and the Committee may determine that the Exercise Price following such reduction shall be not less than the par value of a Share (if such Shares bear a par value). The application of this Section with respect to any 102 Awards shall be subject to obtaining a ruling from the ITA, to the extent required by applicable law and subject to the terms and conditions of any such ruling.</w:t>
      </w: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28" w:name="page29"/>
    <w:bookmarkEnd w:id="28"/>
    <w:p>
      <w:pPr>
        <w:ind w:right="40" w:firstLine="640"/>
        <w:spacing w:after="0" w:line="266" w:lineRule="auto"/>
        <w:rPr>
          <w:sz w:val="20"/>
          <w:szCs w:val="20"/>
          <w:color w:val="auto"/>
        </w:rPr>
      </w:pPr>
      <w:r>
        <w:rPr>
          <w:rFonts w:ascii="Times New Roman" w:cs="Times New Roman" w:eastAsia="Times New Roman" w:hAnsi="Times New Roman"/>
          <w:sz w:val="17"/>
          <w:szCs w:val="17"/>
          <w:color w:val="auto"/>
        </w:rPr>
        <w:t xml:space="preserve">14.2. </w:t>
      </w:r>
      <w:r>
        <w:rPr>
          <w:rFonts w:ascii="Times New Roman" w:cs="Times New Roman" w:eastAsia="Times New Roman" w:hAnsi="Times New Roman"/>
          <w:sz w:val="17"/>
          <w:szCs w:val="17"/>
          <w:u w:val="single" w:color="auto"/>
          <w:color w:val="auto"/>
        </w:rPr>
        <w:t>Merger/Sale of Company</w:t>
      </w:r>
      <w:r>
        <w:rPr>
          <w:rFonts w:ascii="Times New Roman" w:cs="Times New Roman" w:eastAsia="Times New Roman" w:hAnsi="Times New Roman"/>
          <w:sz w:val="17"/>
          <w:szCs w:val="17"/>
          <w:color w:val="auto"/>
        </w:rPr>
        <w:t>. In the event of (i) a sale of all or substantially all of the assets of the Company, or a sale (including an exchange) of all or substantially all of the shares of the Company, to any person, or a purchase by a shareholder of the Company or by an Affiliate of such shareholder, of all the shares of the Company held by all or substantially all other shareholders or by other shareholders who are not Affiliated with such acquiring party; (ii) a merger (including, a reverse merger and a reverse triangular merger), consolidation, amalgamation or like transaction of the Company with or into another corporation; (iii) a scheme of arrangement for the purpose of effecting such sale, merger, consolidation, amalgamation or other transaction; (iv) approval by the shareholders of the Company of a complete liquidation or dissolution of the Company, (v) Change in Board Event, or (vi) such other transaction or set of circumstances that is determined by the Board, in its discretion, to be a transaction subject to the provisions of this Section 14.2 excluding any of the foregoing transactions in clauses (i) through (iv) if the Board determines that such transaction should be excluded from the definition hereof and the applicability of this Section 14.2 (each of the foregoing transactions, a “</w:t>
      </w:r>
      <w:r>
        <w:rPr>
          <w:rFonts w:ascii="Times New Roman" w:cs="Times New Roman" w:eastAsia="Times New Roman" w:hAnsi="Times New Roman"/>
          <w:sz w:val="17"/>
          <w:szCs w:val="17"/>
          <w:u w:val="single" w:color="auto"/>
          <w:color w:val="auto"/>
        </w:rPr>
        <w:t>Merger/Sale</w:t>
      </w:r>
      <w:r>
        <w:rPr>
          <w:rFonts w:ascii="Times New Roman" w:cs="Times New Roman" w:eastAsia="Times New Roman" w:hAnsi="Times New Roman"/>
          <w:sz w:val="17"/>
          <w:szCs w:val="17"/>
          <w:color w:val="auto"/>
        </w:rPr>
        <w:t>”), then, without derogating from the general authority and power of the Board or the Committee under this Plan, without the Grantee’s consent and action and without any prior notice requirement, the Committee may make, in its sole and absolute discretion, any determination as to the treatment of Awards including, without limitation, as provided herein:</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14.2.1 Unless otherwise determined by the Committee, any Award then outstanding shall be assumed or be substituted by the Company, or</w:t>
      </w:r>
    </w:p>
    <w:p>
      <w:pPr>
        <w:spacing w:after="0" w:line="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by the successor corporation in such Merger/Sale or by any parent or Affiliate thereof, as determined by the Committee in its discretion (the</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Corporation</w:t>
      </w:r>
      <w:r>
        <w:rPr>
          <w:rFonts w:ascii="Times New Roman" w:cs="Times New Roman" w:eastAsia="Times New Roman" w:hAnsi="Times New Roman"/>
          <w:sz w:val="18"/>
          <w:szCs w:val="18"/>
          <w:color w:val="auto"/>
        </w:rPr>
        <w:t>”), under terms as determined by the Committee or the terms of this Plan applied by the Successor Corporation to such</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assumed or substituted Awards. For the purposes of this Section 14.2.1, the Award shall be considered assumed or substituted if, following a</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Merger/Sale, the Award confers on the holder thereof the right to purchase or receive, for each Share underlying an Award immediately prior to the</w:t>
      </w:r>
    </w:p>
    <w:p>
      <w:pPr>
        <w:spacing w:after="0" w:line="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Merger/Sale, either (i) the consideration (whether shares or other securities, cash or other property, or rights, or any combination thereof) distributed</w:t>
      </w:r>
    </w:p>
    <w:p>
      <w:pPr>
        <w:spacing w:after="0" w:line="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to or received by holders of Shares in the Merger/Sale for each Share held on the effective date of the Merger/Sale (and if holders were offered a</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choice or several types of consideration, the type of consideration as determined by the Committee, which need not be the same type for all</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Grantees), or (ii) regardless of the consideration received by the holders of Shares in the Merger/Sale, solely shares or any type of Awards (or their</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equivalent) of the Successor Corporation at a value to be determined by the Committee in its discretion, or a certain type of consideration (whether</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shares or other securities, cash or other property, or rights, or any combination thereof) as determined by the Committee. Any of the consideration</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referred to in the foregoing clauses (i) and (ii) shall be subject to the same vesting and expiration terms of the Awards applying immediately prior to</w:t>
      </w:r>
    </w:p>
    <w:p>
      <w:pPr>
        <w:spacing w:after="0" w:line="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Merger/Sale, unless determined by the Committee in its discretion that the consideration shall be subject to different vesting and expiration</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terms, or other terms, and the Committee may determine that it be subject to other or additional terms. The foregoing shall not limit the Committee’s</w:t>
      </w:r>
    </w:p>
    <w:p>
      <w:pPr>
        <w:spacing w:after="0" w:line="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authority to determine, that in lieu of such assumption or substitution of Awards for Awards of the Successor Corporation, such Award will be</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substituted for shares or other securities, cash or other property, or rights, or any combination thereof, including as set forth in Section 14.2.2 hereof.</w:t>
      </w: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14.2.2 Regardless of whether or not Awards are assumed or substituted, the Committee may (but shall not be obligated to):</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9" w:name="page30"/>
    <w:bookmarkEnd w:id="29"/>
    <w:p>
      <w:pPr>
        <w:ind w:left="640" w:right="40" w:firstLine="640"/>
        <w:spacing w:after="0" w:line="254" w:lineRule="auto"/>
        <w:rPr>
          <w:sz w:val="20"/>
          <w:szCs w:val="20"/>
          <w:color w:val="auto"/>
        </w:rPr>
      </w:pPr>
      <w:r>
        <w:rPr>
          <w:rFonts w:ascii="Times New Roman" w:cs="Times New Roman" w:eastAsia="Times New Roman" w:hAnsi="Times New Roman"/>
          <w:sz w:val="18"/>
          <w:szCs w:val="18"/>
          <w:color w:val="auto"/>
        </w:rPr>
        <w:t>14.2.3 provide for the Grantee to have the right to exercise the Award in respect of Shares covered by the Award which would otherwise be exercisable or vested, under such terms and conditions as the Committee shall determine, and the cancellation of all unexercised Awards (whether vested or unvested) upon or immediately prior to the closing of the Merger/Sale, unless the Committee provides for the Grantee to have the right to exercise the Award, or otherwise for the acceleration of vesting of such Award, as to all or part of the Shares covered by the Award which would not otherwise be exercisable or vested, under such terms and conditions as the Committee shall determine;</w:t>
      </w:r>
    </w:p>
    <w:p>
      <w:pPr>
        <w:spacing w:after="0" w:line="186" w:lineRule="exact"/>
        <w:rPr>
          <w:sz w:val="20"/>
          <w:szCs w:val="20"/>
          <w:color w:val="auto"/>
        </w:rPr>
      </w:pPr>
    </w:p>
    <w:p>
      <w:pPr>
        <w:ind w:left="640" w:firstLine="1281"/>
        <w:spacing w:after="0" w:line="251" w:lineRule="auto"/>
        <w:rPr>
          <w:sz w:val="20"/>
          <w:szCs w:val="20"/>
          <w:color w:val="auto"/>
        </w:rPr>
      </w:pPr>
      <w:r>
        <w:rPr>
          <w:rFonts w:ascii="Times New Roman" w:cs="Times New Roman" w:eastAsia="Times New Roman" w:hAnsi="Times New Roman"/>
          <w:sz w:val="18"/>
          <w:szCs w:val="18"/>
          <w:color w:val="auto"/>
        </w:rPr>
        <w:t xml:space="preserve">14.2.3.1. provide for the cancellation of each outstanding Award at or immediately prior to the closing of such Merger/Sale, and if and to what extent payment shall be made to the Grantee of an amount in, shares or other securities of the Company, the acquirer or of a corporation or other business entity which is a party to the Merger/Sale, in cash or other property, in rights, or in any combination thereof, as determined by the Committee to be fair in the circumstances, and subject to such terms and conditions as determined by the Committee. Subject to Applicable Law, the Committee shall have full authority to select the method for determining the payment (being the intrinsic (“spread”) value of the option, Black-Scholes model or any other method).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and without limitation of the following determination being made in other circumstances, the Committee’s determination may provide that payment shall be set to zero if the value of the Shares is determined to be less than the Exercise Price or in respect of Shares covered by the Award which would not otherwise be exercisable or vested, or that payment may be made only in excess of the Exercise Price; and/or</w:t>
      </w:r>
    </w:p>
    <w:p>
      <w:pPr>
        <w:spacing w:after="0" w:line="187" w:lineRule="exact"/>
        <w:rPr>
          <w:sz w:val="20"/>
          <w:szCs w:val="20"/>
          <w:color w:val="auto"/>
        </w:rPr>
      </w:pPr>
    </w:p>
    <w:p>
      <w:pPr>
        <w:ind w:left="640" w:right="780" w:firstLine="1281"/>
        <w:spacing w:after="0" w:line="277" w:lineRule="auto"/>
        <w:rPr>
          <w:sz w:val="20"/>
          <w:szCs w:val="20"/>
          <w:color w:val="auto"/>
        </w:rPr>
      </w:pPr>
      <w:r>
        <w:rPr>
          <w:rFonts w:ascii="Times New Roman" w:cs="Times New Roman" w:eastAsia="Times New Roman" w:hAnsi="Times New Roman"/>
          <w:sz w:val="18"/>
          <w:szCs w:val="18"/>
          <w:color w:val="auto"/>
        </w:rPr>
        <w:t>14.2.3.2. provide that the terms of any Award shall be otherwise amended, modified or terminated, as determined by the Committee to be fair in the circumstances.</w:t>
      </w:r>
    </w:p>
    <w:p>
      <w:pPr>
        <w:spacing w:after="0" w:line="163" w:lineRule="exact"/>
        <w:rPr>
          <w:sz w:val="20"/>
          <w:szCs w:val="20"/>
          <w:color w:val="auto"/>
        </w:rPr>
      </w:pPr>
    </w:p>
    <w:p>
      <w:pPr>
        <w:ind w:left="640" w:right="200" w:firstLine="640"/>
        <w:spacing w:after="0" w:line="251" w:lineRule="auto"/>
        <w:rPr>
          <w:sz w:val="20"/>
          <w:szCs w:val="20"/>
          <w:color w:val="auto"/>
        </w:rPr>
      </w:pPr>
      <w:r>
        <w:rPr>
          <w:rFonts w:ascii="Times New Roman" w:cs="Times New Roman" w:eastAsia="Times New Roman" w:hAnsi="Times New Roman"/>
          <w:sz w:val="18"/>
          <w:szCs w:val="18"/>
          <w:color w:val="auto"/>
        </w:rPr>
        <w:t>14.2.4 Subject to Applicable Law, the Committee may, determine: (i) that any payments made in respect of Awards shall be made or delayed to the same extent that payment of consideration to the holders of the Shares in connection with the Merger/Sale is made or delayed as a result of escrows, indemnification, earn outs, holdbacks or any other contingencies or conditions; (ii) the terms and conditions applying to the payment made or payable to the Grantees, including participation in escrow, indemnification, releases, earn-outs, holdbacks or any other contingencies; and (iii) that any terms and conditions applying under the applicable definitive transaction agreements shall apply to the Grantees (including, appointment and engagement of a shareholders or sellers representative, payment of fees or other costs and expenses associated with such services, indemnifying such representative, and authorization to such representative within the scope of such representative’s authority in the applicable definitive transaction agreements).</w:t>
      </w:r>
    </w:p>
    <w:p>
      <w:pPr>
        <w:spacing w:after="0" w:line="190" w:lineRule="exact"/>
        <w:rPr>
          <w:sz w:val="20"/>
          <w:szCs w:val="20"/>
          <w:color w:val="auto"/>
        </w:rPr>
      </w:pPr>
    </w:p>
    <w:p>
      <w:pPr>
        <w:ind w:left="640" w:right="80" w:firstLine="640"/>
        <w:spacing w:after="0" w:line="277" w:lineRule="auto"/>
        <w:rPr>
          <w:sz w:val="20"/>
          <w:szCs w:val="20"/>
          <w:color w:val="auto"/>
        </w:rPr>
      </w:pPr>
      <w:r>
        <w:rPr>
          <w:rFonts w:ascii="Times New Roman" w:cs="Times New Roman" w:eastAsia="Times New Roman" w:hAnsi="Times New Roman"/>
          <w:sz w:val="18"/>
          <w:szCs w:val="18"/>
          <w:color w:val="auto"/>
        </w:rPr>
        <w:t>14.2.5 The Committee may, determine to suspend the Grantee’s rights to exercise any vested portion of an Award for a period of time prior to the signing or consummation of a Merger/Sale transaction.</w:t>
      </w:r>
    </w:p>
    <w:p>
      <w:pPr>
        <w:spacing w:after="0" w:line="163" w:lineRule="exact"/>
        <w:rPr>
          <w:sz w:val="20"/>
          <w:szCs w:val="20"/>
          <w:color w:val="auto"/>
        </w:rPr>
      </w:pPr>
    </w:p>
    <w:p>
      <w:pPr>
        <w:ind w:firstLine="640"/>
        <w:spacing w:after="0" w:line="251" w:lineRule="auto"/>
        <w:rPr>
          <w:sz w:val="20"/>
          <w:szCs w:val="20"/>
          <w:color w:val="auto"/>
        </w:rPr>
      </w:pPr>
      <w:r>
        <w:rPr>
          <w:rFonts w:ascii="Times New Roman" w:cs="Times New Roman" w:eastAsia="Times New Roman" w:hAnsi="Times New Roman"/>
          <w:sz w:val="18"/>
          <w:szCs w:val="18"/>
          <w:color w:val="auto"/>
        </w:rPr>
        <w:t>14.3 Without limiting the generality of this Section 14, if the consideration in exchange for Awards in a Merger/Sale includes any securities and due receipt thereof by any Grantee (or by the Trustee for the benefit of such Grantee) may require under applicable law (i) the registration or qualification of such securities or of any person as a broker or dealer or agent with respect to such securities; or (ii) the provision to any Grantee of any information under the Securities Act or any other securities laws, then the Committee may determine that the Grantee shall be paid in lieu thereof, against surrender of the Shares or cancellation of any other Awards, an amount in cash or other property, or rights, or any combination thereof, as determined by the Committee to be fair in the circumstances, and subject to such terms and conditions as determined by the Committee. Nothing herein shall entitle any Grantee to receive any form of consideration that such Grantee would be ineligible to receive as a result of such Grantee’s failure to satisfy (in the Committee’s sole determination) any condition, requirement or limitation that is generally applicable to the Company’s shareholders, or that is otherwise applicable under the terms of the Merger/Sale, and in such case, the Committee shall determine the type of consideration and the terms applying to such Grantees.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ind w:right="20" w:firstLine="640"/>
        <w:spacing w:after="0" w:line="250" w:lineRule="auto"/>
        <w:rPr>
          <w:sz w:val="20"/>
          <w:szCs w:val="20"/>
          <w:color w:val="auto"/>
        </w:rPr>
      </w:pPr>
      <w:r>
        <w:rPr>
          <w:rFonts w:ascii="Times New Roman" w:cs="Times New Roman" w:eastAsia="Times New Roman" w:hAnsi="Times New Roman"/>
          <w:sz w:val="18"/>
          <w:szCs w:val="18"/>
          <w:color w:val="auto"/>
        </w:rPr>
        <w:t xml:space="preserve">14.4 Neither the authorities and powers of the Committee under this Section 14.2, nor the exercise or implementation thereof, shall (i) be restricted or limited in any way by any adverse consequences (tax or otherwise) that may result to any holder of an Award, and (ii) as,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being a feature of the Award upon its grant, be deemed to constitute a change or an amendment of the rights of such holder under this Plan, nor shall any such adverse consequences (as well as any adverse tax consequences that may result from any tax ruling or other approval or determination of any relevant tax authority) be deemed to constitute a change or an amendment of the rights of such holder under this Plan, and may be effected without consent of any Grantee and without any liability to the Company or its Affiliates or to its or their respective officers, directors, employees and representatives and the respective successors and assigns of any of the foregoing. The Committee need not take the same action with respect to all Awards or with respect to all Service Providers. The Committee may take different actions with respect to the vested and unvested portions of an Award. The Committee may determine an amount or type of consideration to be received or distributed in a Merger/Sale which may differ as among the Grantees, and as between the Grantees and any other holders of shares of the Company.</w:t>
      </w:r>
    </w:p>
    <w:p>
      <w:pPr>
        <w:spacing w:after="0" w:line="192" w:lineRule="exact"/>
        <w:rPr>
          <w:sz w:val="20"/>
          <w:szCs w:val="20"/>
          <w:color w:val="auto"/>
        </w:rPr>
      </w:pPr>
    </w:p>
    <w:p>
      <w:pPr>
        <w:ind w:right="340" w:firstLine="640"/>
        <w:spacing w:after="0" w:line="277" w:lineRule="auto"/>
        <w:rPr>
          <w:sz w:val="20"/>
          <w:szCs w:val="20"/>
          <w:color w:val="auto"/>
        </w:rPr>
      </w:pPr>
      <w:r>
        <w:rPr>
          <w:rFonts w:ascii="Times New Roman" w:cs="Times New Roman" w:eastAsia="Times New Roman" w:hAnsi="Times New Roman"/>
          <w:sz w:val="18"/>
          <w:szCs w:val="18"/>
          <w:color w:val="auto"/>
        </w:rPr>
        <w:t>14.5 The Committee may determine that upon a Merger/Sale any Shares held by Grantees (or for Grantee’s benefit) are sold in accordance with instructions issued by the Committee in connection with such Merger/Sale, which shall be final, conclusive and binding on all Grantees.</w:t>
      </w:r>
    </w:p>
    <w:p>
      <w:pPr>
        <w:spacing w:after="0" w:line="163" w:lineRule="exact"/>
        <w:rPr>
          <w:sz w:val="20"/>
          <w:szCs w:val="20"/>
          <w:color w:val="auto"/>
        </w:rPr>
      </w:pPr>
    </w:p>
    <w:p>
      <w:pPr>
        <w:ind w:firstLine="640"/>
        <w:spacing w:after="0" w:line="254" w:lineRule="auto"/>
        <w:rPr>
          <w:sz w:val="20"/>
          <w:szCs w:val="20"/>
          <w:color w:val="auto"/>
        </w:rPr>
      </w:pPr>
      <w:r>
        <w:rPr>
          <w:rFonts w:ascii="Times New Roman" w:cs="Times New Roman" w:eastAsia="Times New Roman" w:hAnsi="Times New Roman"/>
          <w:sz w:val="18"/>
          <w:szCs w:val="18"/>
          <w:color w:val="auto"/>
        </w:rPr>
        <w:t>14.6 All of the Committee’s determinations pursuant to this Section 14 shall be at its sole and absolute discretion, and shall be final, conclusive and binding on all Grantees (including, for clarity, as it relates to Shares issued upon exercise or vesting of any Awards or that are Awards, unless otherwise determined by the Committee) and without any liability to the Company or its Affiliates, or to their respective officers, directors, employees, shareholders and representatives, and the respective successors and assigns of any of the foregoing, in connection with the method of treatment, chosen course of action or determinations made hereunder.</w:t>
      </w:r>
    </w:p>
    <w:p>
      <w:pPr>
        <w:spacing w:after="0" w:line="186" w:lineRule="exact"/>
        <w:rPr>
          <w:sz w:val="20"/>
          <w:szCs w:val="20"/>
          <w:color w:val="auto"/>
        </w:rPr>
      </w:pPr>
    </w:p>
    <w:p>
      <w:pPr>
        <w:ind w:right="60" w:firstLine="640"/>
        <w:spacing w:after="0" w:line="250" w:lineRule="auto"/>
        <w:rPr>
          <w:sz w:val="20"/>
          <w:szCs w:val="20"/>
          <w:color w:val="auto"/>
        </w:rPr>
      </w:pPr>
      <w:r>
        <w:rPr>
          <w:rFonts w:ascii="Times New Roman" w:cs="Times New Roman" w:eastAsia="Times New Roman" w:hAnsi="Times New Roman"/>
          <w:sz w:val="18"/>
          <w:szCs w:val="18"/>
          <w:color w:val="auto"/>
        </w:rPr>
        <w:t>14.7 If determined by the Committee, the Grantees shall be subject to the definitive agreement(s) in connection with the Merger/Sale as applying to holders of Shares including, such terms, conditions, representations, undertakings, liabilities, limitations, releases, indemnities, appointing and indemnifying shareholders/sellers representative, participating in transaction expenses, shareholders/sellers representative expense fund and escrow arrangement, in each case as determined by the Committee. Each Grantee shall execute (and authorizes any person designated by the Company to so execute, as well as (if applicable) the Trustee holding any Shares for the Grantee’s behalf) such separate agreement(s) or instruments as may be requested by the Company, the Successor Corporation or the acquirer in connection with such in such Merger/Sale or otherwise under or for the purpose of implementing this Section 14, and in the form required by them. The execution of such separate agreement(s) may be a condition to the receipt of assumed or substituted Awards, payment in lieu of the Award, the exercise of any Award or otherwise to be entitled to benefit from shares or other securities, cash or other property, or rights, or any combination thereof, pursuant to this Section 14 (and the Company (and, if applicable, the Trustee) may exercise its authorization above and sign such agreement on behalf of the Grantee or subject the Grantee to the provisions of such agreements).</w:t>
      </w:r>
    </w:p>
    <w:p>
      <w:pPr>
        <w:spacing w:after="0" w:line="192" w:lineRule="exact"/>
        <w:rPr>
          <w:sz w:val="20"/>
          <w:szCs w:val="20"/>
          <w:color w:val="auto"/>
        </w:rPr>
      </w:pPr>
    </w:p>
    <w:p>
      <w:pPr>
        <w:ind w:right="20" w:firstLine="640"/>
        <w:spacing w:after="0" w:line="251" w:lineRule="auto"/>
        <w:rPr>
          <w:sz w:val="20"/>
          <w:szCs w:val="20"/>
          <w:color w:val="auto"/>
        </w:rPr>
      </w:pPr>
      <w:r>
        <w:rPr>
          <w:rFonts w:ascii="Times New Roman" w:cs="Times New Roman" w:eastAsia="Times New Roman" w:hAnsi="Times New Roman"/>
          <w:sz w:val="18"/>
          <w:szCs w:val="18"/>
          <w:color w:val="auto"/>
        </w:rPr>
        <w:t xml:space="preserve">14.8 </w:t>
      </w:r>
      <w:r>
        <w:rPr>
          <w:rFonts w:ascii="Times New Roman" w:cs="Times New Roman" w:eastAsia="Times New Roman" w:hAnsi="Times New Roman"/>
          <w:sz w:val="18"/>
          <w:szCs w:val="18"/>
          <w:u w:val="single" w:color="auto"/>
          <w:color w:val="auto"/>
        </w:rPr>
        <w:t>Reservation of Rights</w:t>
      </w:r>
      <w:r>
        <w:rPr>
          <w:rFonts w:ascii="Times New Roman" w:cs="Times New Roman" w:eastAsia="Times New Roman" w:hAnsi="Times New Roman"/>
          <w:sz w:val="18"/>
          <w:szCs w:val="18"/>
          <w:color w:val="auto"/>
        </w:rPr>
        <w:t>. Except as expressly provided in this Section 14 (if so provided), the Grantee of an Award hereunder shall have no rights by reason of any transaction or event referred to in this Section 14 (including, Recapitalization of shares of any class, any increase or decrease in the number of shares of any class, or any dissolution, liquidation, reorganization, business combination, exchange of shares, spin-off or other corporate divestiture or division, or other similar occurrences, or Merger/Sale). Any issue by the Company of shares of any class, or securities convertible into shares of stock of any class, shall not affect, and no adjustment by reason thereof shall be made with respect to, the number, type or price of shares subject to an Award. The grant of an Award pursuant to this Plan shall not affect in any way the right or power of the Company to make adjustments, reclassifications, reorganizations or changes of its capital or business structures or to merge or to consolidate or to dissolve, liquidate or sell, or transfer all or part of its business or assets or engage in any similar transactions.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31" w:name="page32"/>
    <w:bookmarkEnd w:id="31"/>
    <w:p>
      <w:pPr>
        <w:ind w:left="640" w:hanging="633"/>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NON-TRANSFERABILITY OF AWARDS; SURVIVING BENEFICIARY</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ind w:right="60" w:firstLine="640"/>
        <w:spacing w:after="0" w:line="249" w:lineRule="auto"/>
        <w:rPr>
          <w:sz w:val="20"/>
          <w:szCs w:val="20"/>
          <w:color w:val="auto"/>
        </w:rPr>
      </w:pPr>
      <w:r>
        <w:rPr>
          <w:rFonts w:ascii="Times New Roman" w:cs="Times New Roman" w:eastAsia="Times New Roman" w:hAnsi="Times New Roman"/>
          <w:sz w:val="18"/>
          <w:szCs w:val="18"/>
          <w:color w:val="auto"/>
        </w:rPr>
        <w:t>15.1. All Awards granted under this Plan by their terms shall not be transferable other than by will or by the laws of descent and distribution, unless otherwise determined by the Committee or under this Plan, provided that with respect to Shares issued upon exercise of Awards, Shares issued upon the vesting of Awards or Awards that are Shares, the restrictions on transfer shall be the restrictions referred to in Section 16 (Conditions upon Issuance of Shares) hereof. Subject to the above provisions, the terms of such Award, this Plan and any applicable Award Agreement shall be binding upon the beneficiaries, executors, administrators, heirs and successors of such Grantee. Awards may be exercised or otherwise realized, during the lifetime of the Grantee, only by the Grantee or by his guardian or legal representative, to the extent provided for herein. Any transfer of an Award not permitted hereunder (including transfers pursuant to any decree of divorce, dissolution or separate maintenance, any property settlement, any separation agreement or any other agreement with a spouse) and any grant of any interest in any Award to, or creation in any way of any direct or indirect interest in any Award by, any party other than the Grantee shall be null and void and shall not confer upon any party or person, other than the Grantee, any rights. A Grantee may file with the Committee a written designation of a beneficiary, who shall be permitted to exercise such Grantee’s Award or to whom any benefit under this Plan is to be paid, in each case, in the event of the Grantee’s death before he or she fully exercises his or her Award or receives any or all of such benefit, on such form as may be prescribed by the Committee and may, from time to time, amend or revoke such designation. If no designated beneficiary survives the Grantee, the executor or administrator of the Grantee’s estate shall be deemed to be the Grantee’s beneficiary. Notwithstanding the foregoing, upon the request of the Grantee and subject to Applicable Law, the Committee, at its sole discretion, may permit the Grantee to transfer the Award to a trust whose beneficiaries are the Grantee and/or the Grantee’s immediate family members (all or several of them).</w:t>
      </w:r>
    </w:p>
    <w:p>
      <w:pPr>
        <w:spacing w:after="0" w:line="195" w:lineRule="exact"/>
        <w:rPr>
          <w:sz w:val="20"/>
          <w:szCs w:val="20"/>
          <w:color w:val="auto"/>
        </w:rPr>
      </w:pPr>
    </w:p>
    <w:p>
      <w:pPr>
        <w:ind w:right="40" w:firstLine="640"/>
        <w:spacing w:after="0" w:line="262" w:lineRule="auto"/>
        <w:rPr>
          <w:sz w:val="20"/>
          <w:szCs w:val="20"/>
          <w:color w:val="auto"/>
        </w:rPr>
      </w:pPr>
      <w:r>
        <w:rPr>
          <w:rFonts w:ascii="Times New Roman" w:cs="Times New Roman" w:eastAsia="Times New Roman" w:hAnsi="Times New Roman"/>
          <w:sz w:val="18"/>
          <w:szCs w:val="18"/>
          <w:color w:val="auto"/>
        </w:rPr>
        <w:t>15.2. Notwithstanding any other provisions of the Plan to the contrary, no Incentive Stock Option may be sold, transferred, pledged, assigned or otherwise alienated or hypothecated, other than by will or by the laws of descent and distribution or in accordance with a beneficiary designation pursuant to Section 15.1. Further, all Incentive Stock Options granted to a Grantee shall be exercisable during his or her lifetime only by such Grantee.</w:t>
      </w:r>
    </w:p>
    <w:p>
      <w:pPr>
        <w:spacing w:after="0" w:line="176"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15.3. As long as the Shares are held by the Trustee in favor of the Grantee, all rights possessed by the Grantee over the Shares are personal, and may not be transferred, assigned, pledged or mortgaged, other than by will or laws of descent and distribution.</w:t>
      </w:r>
    </w:p>
    <w:p>
      <w:pPr>
        <w:spacing w:after="0" w:line="163" w:lineRule="exact"/>
        <w:rPr>
          <w:sz w:val="20"/>
          <w:szCs w:val="20"/>
          <w:color w:val="auto"/>
        </w:rPr>
      </w:pPr>
    </w:p>
    <w:p>
      <w:pPr>
        <w:ind w:right="20" w:firstLine="640"/>
        <w:spacing w:after="0" w:line="253" w:lineRule="auto"/>
        <w:rPr>
          <w:sz w:val="20"/>
          <w:szCs w:val="20"/>
          <w:color w:val="auto"/>
        </w:rPr>
      </w:pPr>
      <w:r>
        <w:rPr>
          <w:rFonts w:ascii="Times New Roman" w:cs="Times New Roman" w:eastAsia="Times New Roman" w:hAnsi="Times New Roman"/>
          <w:sz w:val="18"/>
          <w:szCs w:val="18"/>
          <w:color w:val="auto"/>
        </w:rPr>
        <w:t>15.4. If and to the extent a Grantee is entitled to transfer an Award and/or Shares underlying an Award in accordance with the terms of the Plan and any other applicable agreements, such transfer shall be subject (in addition, to any other conditions or terms applying thereto) to receipt by the Company from such proposed transferee of a written instrument, on a form reasonably acceptable to the Company, pursuant to which such proposed transferee agrees to be bound by all provisions of the Plan and any other applicable agreements, including without limitation, any restrictions on transfer of the Award and/or Shares set forth herein (however, failure to so deliver such instrument to the Company as set forth above shall not derogate from all such provisions applying on any transferee).</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15.5. The provisions of this Section 15 shall apply to the Grantee and to any purchaser, assignee or transferee of any Shares.</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32" w:name="page33"/>
    <w:bookmarkEnd w:id="32"/>
    <w:p>
      <w:pPr>
        <w:ind w:left="640" w:hanging="633"/>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CONDITIONS UPON ISSUANCE OF SHARES; GOVERNING PROVISIONS</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ind w:firstLine="640"/>
        <w:spacing w:after="0" w:line="249" w:lineRule="auto"/>
        <w:rPr>
          <w:sz w:val="20"/>
          <w:szCs w:val="20"/>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8"/>
          <w:szCs w:val="18"/>
          <w:u w:val="single" w:color="auto"/>
          <w:color w:val="auto"/>
        </w:rPr>
        <w:t>Legal Compliance</w:t>
      </w:r>
      <w:r>
        <w:rPr>
          <w:rFonts w:ascii="Times New Roman" w:cs="Times New Roman" w:eastAsia="Times New Roman" w:hAnsi="Times New Roman"/>
          <w:sz w:val="18"/>
          <w:szCs w:val="18"/>
          <w:color w:val="auto"/>
        </w:rPr>
        <w:t>. The grant of Awards and the issuance of Shares upon exercise or settlement of Awards shall be subject to compliance with all Applicable Law as determined by the Company, including, applicable requirements of federal, state and foreign law with respect to such securities. The Company shall have no obligations to issue Shares pursuant to the exercise or settlement of an Award and Awards may not be exercised or settled, if the issuance of Shares upon exercise or settlement would constitute a violation of any Applicable Law as determined by the Company, including, applicable federal, state or foreign securities laws or other law or regulations or the requirements of any stock exchange or market system upon which the Shares may then be listed. In addition, no Award may be exercised unless (i) a registration statement under the Securities Act or equivalent law in another jurisdiction shall at the time of exercise or settlement of the Award be in effect with respect to the shares issuable upon exercise of the Award, or (ii) in the opinion of legal counsel to the Company, the shares issuable upon exercise of the Award may be issued in accordance with the terms of an applicable exemption from the registration requirements of the Securities Act or equivalent law in another jurisdiction. The inability of the Company to obtain authority from any regulatory body having jurisdiction, if any, deemed by the Company to be necessary to the lawful issuance and sale of any Shares hereunder, and the inability to issue Shares hereunder due to non-compliance with any Company policies with respect to the sale of Shares, shall relieve the Company of any liability in respect of the failure to issue or sell such Shares as to which such requisite authority or compliance shall not have been obtained or achieved. As a condition to the exercise of an Award, the Company may require the person exercising such Award to satisfy any qualifications that may be necessary or appropriate, to evidence compliance with any Applicable Law or regulation and to make any representation or warranty with respect thereto as may be requested by the Company, including to represent and warrant at the time of any such exercise that the Shares are being purchased only for investment and without any present intention to sell or distribute such Shares, all in form and content specified by the Company.</w:t>
      </w:r>
    </w:p>
    <w:p>
      <w:pPr>
        <w:spacing w:after="0" w:line="193" w:lineRule="exact"/>
        <w:rPr>
          <w:sz w:val="20"/>
          <w:szCs w:val="20"/>
          <w:color w:val="auto"/>
        </w:rPr>
      </w:pPr>
    </w:p>
    <w:p>
      <w:pPr>
        <w:ind w:right="240" w:firstLine="640"/>
        <w:spacing w:after="0" w:line="262" w:lineRule="auto"/>
        <w:rPr>
          <w:sz w:val="20"/>
          <w:szCs w:val="20"/>
          <w:color w:val="auto"/>
        </w:rPr>
      </w:pPr>
      <w:r>
        <w:rPr>
          <w:rFonts w:ascii="Times New Roman" w:cs="Times New Roman" w:eastAsia="Times New Roman" w:hAnsi="Times New Roman"/>
          <w:sz w:val="18"/>
          <w:szCs w:val="18"/>
          <w:color w:val="auto"/>
        </w:rPr>
        <w:t xml:space="preserve">16.2. </w:t>
      </w:r>
      <w:r>
        <w:rPr>
          <w:rFonts w:ascii="Times New Roman" w:cs="Times New Roman" w:eastAsia="Times New Roman" w:hAnsi="Times New Roman"/>
          <w:sz w:val="18"/>
          <w:szCs w:val="18"/>
          <w:u w:val="single" w:color="auto"/>
          <w:color w:val="auto"/>
        </w:rPr>
        <w:t>Provisions Governing Shares</w:t>
      </w:r>
      <w:r>
        <w:rPr>
          <w:rFonts w:ascii="Times New Roman" w:cs="Times New Roman" w:eastAsia="Times New Roman" w:hAnsi="Times New Roman"/>
          <w:sz w:val="18"/>
          <w:szCs w:val="18"/>
          <w:color w:val="auto"/>
        </w:rPr>
        <w:t>. Shares issued pursuant to an Award shall be subject to this Plan and shall be subject to the Articles of Association of the Company, and any other governing documents of the Company and all policies, manuals and internal regulations of the Company, as in effect from time to time.</w:t>
      </w:r>
    </w:p>
    <w:p>
      <w:pPr>
        <w:spacing w:after="0" w:line="176" w:lineRule="exact"/>
        <w:rPr>
          <w:sz w:val="20"/>
          <w:szCs w:val="20"/>
          <w:color w:val="auto"/>
        </w:rPr>
      </w:pPr>
    </w:p>
    <w:p>
      <w:pPr>
        <w:ind w:firstLine="640"/>
        <w:spacing w:after="0" w:line="250" w:lineRule="auto"/>
        <w:rPr>
          <w:sz w:val="20"/>
          <w:szCs w:val="20"/>
          <w:color w:val="auto"/>
        </w:rPr>
      </w:pPr>
      <w:r>
        <w:rPr>
          <w:rFonts w:ascii="Times New Roman" w:cs="Times New Roman" w:eastAsia="Times New Roman" w:hAnsi="Times New Roman"/>
          <w:sz w:val="18"/>
          <w:szCs w:val="18"/>
          <w:color w:val="auto"/>
        </w:rPr>
        <w:t xml:space="preserve">16.3. </w:t>
      </w:r>
      <w:r>
        <w:rPr>
          <w:rFonts w:ascii="Times New Roman" w:cs="Times New Roman" w:eastAsia="Times New Roman" w:hAnsi="Times New Roman"/>
          <w:sz w:val="18"/>
          <w:szCs w:val="18"/>
          <w:u w:val="single" w:color="auto"/>
          <w:color w:val="auto"/>
        </w:rPr>
        <w:t>Share Purchase Transactions; Forced Sale</w:t>
      </w:r>
      <w:r>
        <w:rPr>
          <w:rFonts w:ascii="Times New Roman" w:cs="Times New Roman" w:eastAsia="Times New Roman" w:hAnsi="Times New Roman"/>
          <w:sz w:val="18"/>
          <w:szCs w:val="18"/>
          <w:color w:val="auto"/>
        </w:rPr>
        <w:t>. In the event that the Board approves a Merger/Sale effected by way of a forced or compulsory sale (whether pursuant to the Company’s Articles of Association or pursuant to Section 341 of the Companies Law or otherwise) or in the event of a transaction for the sale of all shares of the Company, then, without derogating from such provisions and in addition thereto, the Grantee shall be obligated, and shall be deemed to have agreed to the offer to effect the Merger/Sale (and the Shares held by or for the benefit of the Grantee shall be included in the shares of the Company approving the terms of such Merger/Sale for the purpose of satisfying the required majority), and shall sell all of the Shares held by or for the benefit of the Grantee on the terms and conditions applying to the holders of Shares, in accordance with the instructions then issued by the Board, whose determination shall be final. No Grantee shall contest, bring any claims or demands, or exercise any appraisal or dissenters’ rights related to any of the foregoing. Each Grantee shall execute (and authorizes any person designated by the Company to so execute, as well as (if applicable) the Trustee holding any Shares for the Grantee’s behalf) such documents and agreements, as may be requested by the Company relating to matters set forth in or otherwise for the purpose of implementing this Section 16.3. The execution of such separate agreement(s) may be a condition by the Company to the exercise of any Award and the Company (and, if applicable, the Trustee) may exercise its authorization above and sign such agreement on behalf of the Grantee or subject the Grantee to the provisions of such agreements.</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16.4. </w:t>
      </w:r>
      <w:r>
        <w:rPr>
          <w:rFonts w:ascii="Times New Roman" w:cs="Times New Roman" w:eastAsia="Times New Roman" w:hAnsi="Times New Roman"/>
          <w:sz w:val="18"/>
          <w:szCs w:val="18"/>
          <w:u w:val="single" w:color="auto"/>
          <w:color w:val="auto"/>
        </w:rPr>
        <w:t>Data Privacy; Data Transfer</w:t>
      </w:r>
      <w:r>
        <w:rPr>
          <w:rFonts w:ascii="Times New Roman" w:cs="Times New Roman" w:eastAsia="Times New Roman" w:hAnsi="Times New Roman"/>
          <w:sz w:val="18"/>
          <w:szCs w:val="18"/>
          <w:color w:val="auto"/>
        </w:rPr>
        <w:t>. Information related to Grantees and Awards hereunder, as shall be received from Grantee or others, and/or held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Company or its Affiliates from time to time, and which information may include sensitive and personal information related to Grantees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will be used by the Company or its Affiliates (or third parties appointed by any of them, including the Trustee) to comply with 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applicable legal requirement, or for administration of the Plan as they deems necessary or advisable, or for the respective business purposes of the Company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its Affiliates (including in connection with transactions related to any of them). The Company and its Affiliates shall be entitled to transfer the Information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the Company or its Affiliates, and to third parties for the purposes set forth above, which may include persons located abroad (including, any person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administering the Plan or providing services in respect of the Plan or in order to comply with legal requirements, or the Trustee, their respective officers,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directors, employees and representatives, and the respective successors and assigns of any of the foregoing), and any person so receiving Information shall be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entitled to transfer it for the purposes set forth above. The Company shall use commercially reasonable efforts to ensure that the transfer of such Information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shall be limited to the reasonable and necessary scope. By receiving an Award hereunder, Grantee acknowledges and agrees that the Information is provided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Grantee’s free will and Grantee consents to the storage and transfer of the Information as set forth above.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3" w:name="page34"/>
    <w:bookmarkEnd w:id="33"/>
    <w:p>
      <w:pPr>
        <w:ind w:firstLine="640"/>
        <w:spacing w:after="0" w:line="257" w:lineRule="auto"/>
        <w:rPr>
          <w:sz w:val="20"/>
          <w:szCs w:val="20"/>
          <w:color w:val="auto"/>
        </w:rPr>
      </w:pPr>
      <w:r>
        <w:rPr>
          <w:rFonts w:ascii="Times New Roman" w:cs="Times New Roman" w:eastAsia="Times New Roman" w:hAnsi="Times New Roman"/>
          <w:sz w:val="18"/>
          <w:szCs w:val="18"/>
          <w:color w:val="auto"/>
        </w:rPr>
        <w:t xml:space="preserve">16.5. </w:t>
      </w:r>
      <w:r>
        <w:rPr>
          <w:rFonts w:ascii="Times New Roman" w:cs="Times New Roman" w:eastAsia="Times New Roman" w:hAnsi="Times New Roman"/>
          <w:sz w:val="18"/>
          <w:szCs w:val="18"/>
          <w:u w:val="single" w:color="auto"/>
          <w:color w:val="auto"/>
        </w:rPr>
        <w:t>Prohibition on Executive Officer Loans</w:t>
      </w:r>
      <w:r>
        <w:rPr>
          <w:rFonts w:ascii="Times New Roman" w:cs="Times New Roman" w:eastAsia="Times New Roman" w:hAnsi="Times New Roman"/>
          <w:sz w:val="18"/>
          <w:szCs w:val="18"/>
          <w:color w:val="auto"/>
        </w:rPr>
        <w:t>. Notwithstanding any other provision of the Plan to the contrary, no Grantee who is a member of the Board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181" w:lineRule="exact"/>
        <w:rPr>
          <w:sz w:val="20"/>
          <w:szCs w:val="20"/>
          <w:color w:val="auto"/>
        </w:rPr>
      </w:pPr>
    </w:p>
    <w:p>
      <w:pPr>
        <w:ind w:right="180" w:firstLine="640"/>
        <w:spacing w:after="0" w:line="253" w:lineRule="auto"/>
        <w:rPr>
          <w:sz w:val="20"/>
          <w:szCs w:val="20"/>
          <w:color w:val="auto"/>
        </w:rPr>
      </w:pPr>
      <w:r>
        <w:rPr>
          <w:rFonts w:ascii="Times New Roman" w:cs="Times New Roman" w:eastAsia="Times New Roman" w:hAnsi="Times New Roman"/>
          <w:sz w:val="18"/>
          <w:szCs w:val="18"/>
          <w:color w:val="auto"/>
        </w:rPr>
        <w:t xml:space="preserve">16.6. </w:t>
      </w:r>
      <w:r>
        <w:rPr>
          <w:rFonts w:ascii="Times New Roman" w:cs="Times New Roman" w:eastAsia="Times New Roman" w:hAnsi="Times New Roman"/>
          <w:sz w:val="18"/>
          <w:szCs w:val="18"/>
          <w:u w:val="single" w:color="auto"/>
          <w:color w:val="auto"/>
        </w:rPr>
        <w:t>Clawback Provisions</w:t>
      </w:r>
      <w:r>
        <w:rPr>
          <w:rFonts w:ascii="Times New Roman" w:cs="Times New Roman" w:eastAsia="Times New Roman" w:hAnsi="Times New Roman"/>
          <w:sz w:val="18"/>
          <w:szCs w:val="18"/>
          <w:color w:val="auto"/>
        </w:rPr>
        <w:t>. All Awards (including the gross amount of any proceeds, gains or other economic benefit the Grantee actually or constructively receives upon receipt or exercise of any Award or the receipt or resale of any Shares underlying the Award) will be subject to recoupment by the Company to the extent required to comply with Applicable Law or any policy of the Company (subject to Applicable Law) providing for the reimbursement of incentive compensation, whether or not such policy was in place at the time of grant of an Award, including a clawback policy (as contemplated pursuant to Rule 10D-1 under the Securities and Exchange Act of 1934, as amended, which directs national securities exchanges to establish listing standards for purposes of complying with Rule 10D-1).</w:t>
      </w:r>
    </w:p>
    <w:p>
      <w:pPr>
        <w:spacing w:after="0" w:line="181" w:lineRule="exact"/>
        <w:rPr>
          <w:sz w:val="20"/>
          <w:szCs w:val="20"/>
          <w:color w:val="auto"/>
        </w:rPr>
      </w:pPr>
    </w:p>
    <w:p>
      <w:pPr>
        <w:ind w:left="640" w:hanging="633"/>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AGREEMENT REGARDING TAXES; DISCLAIMER</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ind w:right="120" w:firstLine="640"/>
        <w:spacing w:after="0" w:line="257" w:lineRule="auto"/>
        <w:rPr>
          <w:sz w:val="20"/>
          <w:szCs w:val="20"/>
          <w:color w:val="auto"/>
        </w:rPr>
      </w:pPr>
      <w:r>
        <w:rPr>
          <w:rFonts w:ascii="Times New Roman" w:cs="Times New Roman" w:eastAsia="Times New Roman" w:hAnsi="Times New Roman"/>
          <w:sz w:val="18"/>
          <w:szCs w:val="18"/>
          <w:color w:val="auto"/>
        </w:rPr>
        <w:t>17.1. If the Company shall so require, as a condition of exercise or (if applicable) vesting of an Award, the release of Shares by the Trustee or the vesting or settlement of an Award, a Grantee shall agree that, no later than the date of such occurrence, the Grantee will pay to the Company (or the Trustee, as applicable) or make arrangements satisfactory to the Company and the Trustee (if applicable) regarding payment of any applicable taxes and compulsory payments of any kind required by Applicable Law to be withheld or paid.</w:t>
      </w:r>
    </w:p>
    <w:p>
      <w:pPr>
        <w:spacing w:after="0" w:line="181" w:lineRule="exact"/>
        <w:rPr>
          <w:sz w:val="20"/>
          <w:szCs w:val="20"/>
          <w:color w:val="auto"/>
        </w:rPr>
      </w:pPr>
    </w:p>
    <w:p>
      <w:pPr>
        <w:ind w:right="20" w:firstLine="640"/>
        <w:spacing w:after="0" w:line="250" w:lineRule="auto"/>
        <w:rPr>
          <w:sz w:val="20"/>
          <w:szCs w:val="20"/>
          <w:color w:val="auto"/>
        </w:rPr>
      </w:pPr>
      <w:r>
        <w:rPr>
          <w:rFonts w:ascii="Times New Roman" w:cs="Times New Roman" w:eastAsia="Times New Roman" w:hAnsi="Times New Roman"/>
          <w:sz w:val="18"/>
          <w:szCs w:val="18"/>
          <w:color w:val="auto"/>
        </w:rPr>
        <w:t xml:space="preserve">17.2. </w:t>
      </w:r>
      <w:r>
        <w:rPr>
          <w:rFonts w:ascii="Times New Roman" w:cs="Times New Roman" w:eastAsia="Times New Roman" w:hAnsi="Times New Roman"/>
          <w:sz w:val="18"/>
          <w:szCs w:val="18"/>
          <w:u w:val="single" w:color="auto"/>
          <w:color w:val="auto"/>
        </w:rPr>
        <w:t>TAX LIABILITY</w:t>
      </w:r>
      <w:r>
        <w:rPr>
          <w:rFonts w:ascii="Times New Roman" w:cs="Times New Roman" w:eastAsia="Times New Roman" w:hAnsi="Times New Roman"/>
          <w:sz w:val="18"/>
          <w:szCs w:val="18"/>
          <w:color w:val="auto"/>
        </w:rPr>
        <w:t>. ALL TAX CONSEQUENCES UNDER ANY APPLICABLE LAW WHICH MAY ARISE FROM THE GRANT OF ANY AWARDS OR THE EXERCISE OR (IF APPLICABLE) VESTING THEREOF, THE SALE OR DISPOSITION OF ANY SHARES GRANTED HEREUNDER OR ISSUED UPON EXERCISE OR (IF APPLICABLE) THE VESTING OF ANY AWARD, THE ASSUMPTION, SUBSTITUTION, CANCELLATION OR PAYMENT IN LIEU OF AWARDS OR FROM ANY OTHER ACTION IN CONNECTION WITH THE FOREGOING (INCLUDING WITHOUT LIMITATION ANY TAXES AND COMPULSORY PAYMENTS, SUCH AS SOCIAL SECURITY OR HEALTH TAX PAYABLE BY THE GRANTEE OR THE COMPANY IN CONNECTION THEREWITH) SHALL BE BORNE AND PAID SOLELY BY THE GRANTEE, AND THE GRANTEE SHALL INDEMNIFY THE COMPANY, ITS SUBSIDIARIES AND AFFILIATES AND THE TRUSTEE, AND SHALL HOLD THEM HARMLESS AGAINST AND FROM ANY LIABILITY FOR ANY SUCH TAX OR PAYMENT OR ANY PENALTY, INTEREST OR INDEXATION THEREON. EACH GRANTEE AGREES TO, AND UNDERTAKES TO COMPLY WITH, ANY RULING, SETTLEMENT, CLOSING AGREEMENT OR OTHER SIMILAR AGREEMENT OR ARRANGEMENT WITH ANY TAX AUTHORITY IN CONNECTION WITH THE FOREGOING WHICH IS APPROVED BY THE COMPANY.</w:t>
      </w:r>
    </w:p>
    <w:p>
      <w:pPr>
        <w:spacing w:after="0" w:line="190" w:lineRule="exact"/>
        <w:rPr>
          <w:sz w:val="20"/>
          <w:szCs w:val="20"/>
          <w:color w:val="auto"/>
        </w:rPr>
      </w:pPr>
    </w:p>
    <w:p>
      <w:pPr>
        <w:ind w:right="500" w:firstLine="640"/>
        <w:spacing w:after="0" w:line="257" w:lineRule="auto"/>
        <w:rPr>
          <w:sz w:val="20"/>
          <w:szCs w:val="20"/>
          <w:color w:val="auto"/>
        </w:rPr>
      </w:pPr>
      <w:r>
        <w:rPr>
          <w:rFonts w:ascii="Times New Roman" w:cs="Times New Roman" w:eastAsia="Times New Roman" w:hAnsi="Times New Roman"/>
          <w:sz w:val="18"/>
          <w:szCs w:val="18"/>
          <w:color w:val="auto"/>
        </w:rPr>
        <w:t xml:space="preserve">17.3. </w:t>
      </w:r>
      <w:r>
        <w:rPr>
          <w:rFonts w:ascii="Times New Roman" w:cs="Times New Roman" w:eastAsia="Times New Roman" w:hAnsi="Times New Roman"/>
          <w:sz w:val="18"/>
          <w:szCs w:val="18"/>
          <w:u w:val="single" w:color="auto"/>
          <w:color w:val="auto"/>
        </w:rPr>
        <w:t>NO TAX ADVICE</w:t>
      </w:r>
      <w:r>
        <w:rPr>
          <w:rFonts w:ascii="Times New Roman" w:cs="Times New Roman" w:eastAsia="Times New Roman" w:hAnsi="Times New Roman"/>
          <w:sz w:val="18"/>
          <w:szCs w:val="18"/>
          <w:color w:val="auto"/>
        </w:rPr>
        <w:t>. THE GRANTEE IS ADVISED TO CONSULT WITH A TAX ADVISOR WITH RESPECT TO THE TAX CONSEQUENCES OF RECEIVING, EXERCISING OR DISPOSING OF AWARDS HEREUNDER. THE COMPANY DOES NOT ASSUME ANY RESPONSIBILITY TO ADVISE THE GRANTEE ON SUCH MATTERS, WHICH SHALL REMAIN SOLELY THE RESPONSIBILITY OF THE GRANTEE.</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4" w:name="page35"/>
    <w:bookmarkEnd w:id="34"/>
    <w:p>
      <w:pPr>
        <w:ind w:firstLine="640"/>
        <w:spacing w:after="0" w:line="264" w:lineRule="auto"/>
        <w:rPr>
          <w:sz w:val="20"/>
          <w:szCs w:val="20"/>
          <w:color w:val="auto"/>
        </w:rPr>
      </w:pPr>
      <w:r>
        <w:rPr>
          <w:rFonts w:ascii="Times New Roman" w:cs="Times New Roman" w:eastAsia="Times New Roman" w:hAnsi="Times New Roman"/>
          <w:sz w:val="17"/>
          <w:szCs w:val="17"/>
          <w:color w:val="auto"/>
        </w:rPr>
        <w:t xml:space="preserve">17.4. </w:t>
      </w:r>
      <w:r>
        <w:rPr>
          <w:rFonts w:ascii="Times New Roman" w:cs="Times New Roman" w:eastAsia="Times New Roman" w:hAnsi="Times New Roman"/>
          <w:sz w:val="17"/>
          <w:szCs w:val="17"/>
          <w:u w:val="single" w:color="auto"/>
          <w:color w:val="auto"/>
        </w:rPr>
        <w:t>TAX TREATMENT</w:t>
      </w:r>
      <w:r>
        <w:rPr>
          <w:rFonts w:ascii="Times New Roman" w:cs="Times New Roman" w:eastAsia="Times New Roman" w:hAnsi="Times New Roman"/>
          <w:sz w:val="17"/>
          <w:szCs w:val="17"/>
          <w:color w:val="auto"/>
        </w:rPr>
        <w:t>. THE COMPANY AND ITS AFFILIATES (INCLUDING THE EMPLOYER) DO NOT UNDERTAKE OR ASSUME ANY LIABILITY OR RESPONSIBILITY TO THE EFFECT THAT ANY AWARD SHALL QUALIFY WITH ANY PARTICULAR TAX REGIME OR RULES APPLYING TO PARTICULAR TAX TREATMENT, OR BENEFIT FROM ANY PARTICULAR TAX TREATMENT OR TAX ADVANTAGE OF ANY TYPE AND THE COMPANY AND ITS AFFILIATES (INCLUDING THE EMPLOYER) SHALL BEAR NO LIABILITY IN CONNECTION WITH THE MANNER IN WHICH ANY AWARD IS TREATED FOR TAX PURPOSES, REGARDLESS OF WHETHER THE AWARD WAS GRANTED OR WAS INTENDED TO QUALIFY UNDER ANY PARTICULAR TAX REGIME OR TREATMENT. THIS PROVISION SHALL SUPERSEDE ANY TYPE OF AWARDS OR TAX QUALIFICATION INDICATED IN ANY CORPORATE RESOLUTION OR AWARD AGREEMENT, WHICH SHALL AT ALL TIMES BE SUBJECT TO THE REQUIREMENTS OF APPLICABLE LAW. THE COMPANY AND ITS AFFILIATES (INCLUDING THE EMPLOYER) DO NOT UNDERTAKE AND SHALL NOT BE REQUIRED TO TAKE ANY ACTION IN ORDER TO QUALIFY ANY AWARD WITH THE REQUIREMENT OF ANY PARTICULAR TAX TREATMENT AND NO INDICATION IN ANY DOCUMENT TO THE EFFECT THAT ANY AWARD IS INTENDED TO QUALIFY FOR ANY TAX TREATMENT SHALL IMPLY SUCH AN UNDERTAKING. THE COMPANY AND ITS AFFILIATES (INCLUDING THE EMPLOYER) DO NOT UNDERTAKE TO REPORT FOR TAX PURPOSES ANY AWARD IN ANY PARTICULAR MANNER, INCLUDING IN ANY MANNER CONSISTENT WITH ANY PARTICULAR TAX TREATMENT. NO ASSURANCE IS MADE BY THE COMPANY OR ANY OF ITS AFFILIATES (INCLUDING THE EMPLOYER) THAT ANY PARTICULAR TAX TREATMENT ON THE DATE OF GRANT WILL CONTINUE TO EXIST OR THAT THE AWARD WOULD QUALIFY AT THE TIME OF EXERCISE, VESTING OR DISPOSITION THEREOF WITH ANY PARTICULAR TAX TREATMENT. THE COMPANY AND ITS AFFILIATES (INCLUDING THE EMPLOYER) SHALL NOT HAVE ANY LIABILITY OR OBLIGATION OF ANY NATURE IN THE EVENT THAT AN AWARD DOES NOT QUALIFY FOR ANY PARTICULAR TAX TREATMENT, REGARDLESS WHETHER THE COMPANY COULD HAVE OR SHOULD HAVE TAKEN ANY ACTION TO CAUSE SUCH QUALIFICATION TO BE MET AND SUCH QUALIFICATION REMAINS AT ALL TIMES AND UNDER ALL CIRCUMSTANCES AT THE RISK OF THE GRANTEE. THE COMPANY DOES NOT UNDERTAKE OR ASSUME ANY LIABILITY TO CONTEST A DETERMINATION OR INTERPRETATION (WHETHER WRITTEN OR UNWRITTEN) OF ANY TAX AUTHORITIES, INCLUDING IN RESPECT OF THE QUALIFICATION UNDER ANY PARTICULAR TAX REGIME OR RULES APPLYING TO PARTICULAR TAX TREATMENT. IF THE AWARDS DO NOT QUALIFY UNDER ANY PARTICULAR TAX TREATMENT IT COULD RESULT IN ADVERSE TAX CONSEQUENCES TO THE GRANTEE.</w:t>
      </w:r>
    </w:p>
    <w:p>
      <w:pPr>
        <w:spacing w:after="0" w:line="178" w:lineRule="exact"/>
        <w:rPr>
          <w:sz w:val="20"/>
          <w:szCs w:val="20"/>
          <w:color w:val="auto"/>
        </w:rPr>
      </w:pPr>
    </w:p>
    <w:p>
      <w:pPr>
        <w:ind w:right="20" w:firstLine="640"/>
        <w:spacing w:after="0" w:line="253" w:lineRule="auto"/>
        <w:rPr>
          <w:sz w:val="20"/>
          <w:szCs w:val="20"/>
          <w:color w:val="auto"/>
        </w:rPr>
      </w:pPr>
      <w:r>
        <w:rPr>
          <w:rFonts w:ascii="Times New Roman" w:cs="Times New Roman" w:eastAsia="Times New Roman" w:hAnsi="Times New Roman"/>
          <w:sz w:val="18"/>
          <w:szCs w:val="18"/>
          <w:color w:val="auto"/>
        </w:rPr>
        <w:t>17.5. The Company or any Subsidiary or other Affiliate thereof (including the Employer) may take such action as it may deem necessary or appropriate, in its discretion, for the purpose of or in connection with withholding of any taxes and compulsory payments which the Trustee, the Company or any Subsidiary or other Affiliate thereof (including the Employer) (or any applicable agent thereof) is required by any Applicable Law to withhold in connection with any Awards, including, without limitations, any income tax, social benefits, social insurance, health tax, pension, payroll tax, fringe benefits, excise tax, payment on account or other tax-related items related to the Grantee’s participation in the Plan and applicable by law to the Grantee (collectively, “</w:t>
      </w:r>
      <w:r>
        <w:rPr>
          <w:rFonts w:ascii="Times New Roman" w:cs="Times New Roman" w:eastAsia="Times New Roman" w:hAnsi="Times New Roman"/>
          <w:sz w:val="18"/>
          <w:szCs w:val="18"/>
          <w:u w:val="single" w:color="auto"/>
          <w:color w:val="auto"/>
        </w:rPr>
        <w:t>Withholding Obligations</w:t>
      </w:r>
      <w:r>
        <w:rPr>
          <w:rFonts w:ascii="Times New Roman" w:cs="Times New Roman" w:eastAsia="Times New Roman" w:hAnsi="Times New Roman"/>
          <w:sz w:val="18"/>
          <w:szCs w:val="18"/>
          <w:color w:val="auto"/>
        </w:rPr>
        <w:t>”). Such actions may include</w:t>
      </w:r>
    </w:p>
    <w:p>
      <w:pPr>
        <w:spacing w:after="0" w:line="185" w:lineRule="exact"/>
        <w:rPr>
          <w:sz w:val="20"/>
          <w:szCs w:val="20"/>
          <w:color w:val="auto"/>
        </w:rPr>
      </w:pPr>
    </w:p>
    <w:p>
      <w:pPr>
        <w:ind w:right="80" w:firstLine="967"/>
        <w:spacing w:after="0" w:line="262" w:lineRule="auto"/>
        <w:tabs>
          <w:tab w:leader="none" w:pos="117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Grantees to remit to the Company or the Employer in cash an amount sufficient to satisfy such Withholding Obligations and any other taxes and compulsory payments, payable by the Company or the Employer in connection with the Award or the exercise or (if applicable) the vesting thereof;</w:t>
      </w:r>
    </w:p>
    <w:p>
      <w:pPr>
        <w:spacing w:after="0" w:line="176" w:lineRule="exact"/>
        <w:rPr>
          <w:rFonts w:ascii="Times New Roman" w:cs="Times New Roman" w:eastAsia="Times New Roman" w:hAnsi="Times New Roman"/>
          <w:sz w:val="18"/>
          <w:szCs w:val="18"/>
          <w:color w:val="auto"/>
        </w:rPr>
      </w:pPr>
    </w:p>
    <w:p>
      <w:pPr>
        <w:ind w:right="180" w:firstLine="967"/>
        <w:spacing w:after="0" w:line="277" w:lineRule="auto"/>
        <w:tabs>
          <w:tab w:leader="none" w:pos="122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allowing the Grantees to surrender Shares to the Company, in an amount that at such time, reflects a value that the Committee determines to be sufficient to satisfy such Withholding Obligations;</w:t>
      </w:r>
    </w:p>
    <w:p>
      <w:pPr>
        <w:spacing w:after="0" w:line="162" w:lineRule="exact"/>
        <w:rPr>
          <w:rFonts w:ascii="Times New Roman" w:cs="Times New Roman" w:eastAsia="Times New Roman" w:hAnsi="Times New Roman"/>
          <w:sz w:val="18"/>
          <w:szCs w:val="18"/>
          <w:color w:val="auto"/>
        </w:rPr>
      </w:pPr>
    </w:p>
    <w:p>
      <w:pPr>
        <w:ind w:firstLine="967"/>
        <w:spacing w:after="0" w:line="254" w:lineRule="auto"/>
        <w:tabs>
          <w:tab w:leader="none" w:pos="127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Shares otherwise issuable upon the exercise of an Award at a value which is determined by the Company to be sufficient to satisfy such Withholding Obligations; (iv) allowing Grantees to satisfy all or part of the Withholding Obligations by the delivery (on a form prescribed by the Company) of an irrevocable direction to a securities broker approved by the Company to sell Shares and to deliver all or part of the sales proceeds to the Company or the Trustee; or (iv) any combination of the foregoing. The Company shall not be obligated to allow the exercise or vesting of any Award by or on behalf of a Grantee until all tax consequences arising therefrom are resolved in a manner acceptable to the Company.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5" w:name="page36"/>
    <w:bookmarkEnd w:id="35"/>
    <w:p>
      <w:pPr>
        <w:ind w:right="60" w:firstLine="640"/>
        <w:spacing w:after="0" w:line="253" w:lineRule="auto"/>
        <w:rPr>
          <w:sz w:val="20"/>
          <w:szCs w:val="20"/>
          <w:color w:val="auto"/>
        </w:rPr>
      </w:pPr>
      <w:r>
        <w:rPr>
          <w:rFonts w:ascii="Times New Roman" w:cs="Times New Roman" w:eastAsia="Times New Roman" w:hAnsi="Times New Roman"/>
          <w:sz w:val="18"/>
          <w:szCs w:val="18"/>
          <w:color w:val="auto"/>
        </w:rPr>
        <w:t>17.6. Each Grantee shall notify the Company in writing promptly and in any event within ten (10) days after the date on which such Grantee first obtains knowledge of any tax authority inquiry, audit, assertion, determination, investigation, or question relating in any manner to the Awards granted or received hereunder or Shares issued thereunder and shall continuously inform the Company of any developments, proceedings, discussions and negotiations relating to such matter, and shall allow the Company and its representatives to participate in any proceedings and discussions concerning such matters. Upon request, a Grantee shall provide to the Company any information or document relating to any matter described in the preceding sentence, which the Company, in its discretion, requires.</w:t>
      </w:r>
    </w:p>
    <w:p>
      <w:pPr>
        <w:spacing w:after="0" w:line="185" w:lineRule="exact"/>
        <w:rPr>
          <w:sz w:val="20"/>
          <w:szCs w:val="20"/>
          <w:color w:val="auto"/>
        </w:rPr>
      </w:pPr>
    </w:p>
    <w:p>
      <w:pPr>
        <w:ind w:right="20" w:firstLine="640"/>
        <w:spacing w:after="0" w:line="262" w:lineRule="auto"/>
        <w:rPr>
          <w:sz w:val="20"/>
          <w:szCs w:val="20"/>
          <w:color w:val="auto"/>
        </w:rPr>
      </w:pPr>
      <w:r>
        <w:rPr>
          <w:rFonts w:ascii="Times New Roman" w:cs="Times New Roman" w:eastAsia="Times New Roman" w:hAnsi="Times New Roman"/>
          <w:sz w:val="18"/>
          <w:szCs w:val="18"/>
          <w:color w:val="auto"/>
        </w:rPr>
        <w:t>17.7. With respect to 102 Non-Trustee Options, if the Grantee ceases to be employed by the Company, Parent, Subsidiary or any Affiliate (including the Employer), the Grantee shall extend to the Company and/or the Employer a security or guarantee for the payment of taxes due at the time of sale of Shares, all in accordance with the provisions of Section 102 of the Ordinance and the Rules.</w:t>
      </w:r>
    </w:p>
    <w:p>
      <w:pPr>
        <w:spacing w:after="0" w:line="176" w:lineRule="exact"/>
        <w:rPr>
          <w:sz w:val="20"/>
          <w:szCs w:val="20"/>
          <w:color w:val="auto"/>
        </w:rPr>
      </w:pPr>
    </w:p>
    <w:p>
      <w:pPr>
        <w:ind w:right="100" w:firstLine="640"/>
        <w:spacing w:after="0" w:line="254" w:lineRule="auto"/>
        <w:rPr>
          <w:sz w:val="20"/>
          <w:szCs w:val="20"/>
          <w:color w:val="auto"/>
        </w:rPr>
      </w:pPr>
      <w:r>
        <w:rPr>
          <w:rFonts w:ascii="Times New Roman" w:cs="Times New Roman" w:eastAsia="Times New Roman" w:hAnsi="Times New Roman"/>
          <w:sz w:val="18"/>
          <w:szCs w:val="18"/>
          <w:color w:val="auto"/>
        </w:rPr>
        <w:t>17.8. If a Grantee makes an election under Section 83(b) of the Code to be taxed with respect to an Award as of the date of transfer of Shares rather than as of the date or dates upon which the Grantee would otherwise be taxable under Section 83(a) of the Code, such Grantee shall deliver a copy of such election to the Company upon or prior to the filing such election with the U.S. Internal Revenue Service. Neither the Company nor any Affiliate (including the Employer) shall have any liability or responsibility relating to or arising out of the filing or not filing of any such election or any defects in its construction.</w:t>
      </w:r>
    </w:p>
    <w:p>
      <w:pPr>
        <w:spacing w:after="0" w:line="182" w:lineRule="exact"/>
        <w:rPr>
          <w:sz w:val="20"/>
          <w:szCs w:val="20"/>
          <w:color w:val="auto"/>
        </w:rPr>
      </w:pPr>
    </w:p>
    <w:p>
      <w:pPr>
        <w:ind w:left="640" w:hanging="633"/>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RIGHTS AS A SHAREHOLDER; VOTING AND DIVIDENDS</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ind w:firstLine="640"/>
        <w:spacing w:after="0" w:line="250" w:lineRule="auto"/>
        <w:rPr>
          <w:sz w:val="20"/>
          <w:szCs w:val="20"/>
          <w:color w:val="auto"/>
        </w:rPr>
      </w:pPr>
      <w:r>
        <w:rPr>
          <w:rFonts w:ascii="Times New Roman" w:cs="Times New Roman" w:eastAsia="Times New Roman" w:hAnsi="Times New Roman"/>
          <w:sz w:val="18"/>
          <w:szCs w:val="18"/>
          <w:color w:val="auto"/>
        </w:rPr>
        <w:t>18.1. Subject to Section 11.4, a Grantee shall have no rights as a shareholder of the Company with respect to any Shares covered by an Award until the Grantee shall have exercised or (as applicable) vests in the Award, paid any Exercise Price therefor and becomes the record holder of the subject Shares. In the case of 102 Awards, the Trustee shall have no rights as a shareholder of the Company with respect to the Shares covered by such Award until the Trustee becomes the record holder for such Shares for the Grantee’s benefit, and the Grantee shall not be deemed to be a shareholder and shall have no rights as a shareholder of the Company with respect to the Shares covered by the Award until the date of the release of such Shares from the Trustee to the Grantee and the transfer of record ownership of such Shares to the Grantee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Grantee shall be entitled to receive from the Trustee any cash dividend or distribution made on account of the Shares held by the Trustee for such Grantee’s benefit, subject to any tax withholding and compulsory payment). No adjustment shall be made for dividends (ordinary or extraordinary, whether in shares or other securities, cash or other property, or rights, or any combination thereof) or distribution of other rights for which the record date is prior to the date on which the Grantee or Trustee (as applicable) becomes the record holder of the Shares covered by an Award, except as provided in Section 14 hereof.</w:t>
      </w:r>
    </w:p>
    <w:p>
      <w:pPr>
        <w:spacing w:after="0" w:line="192" w:lineRule="exact"/>
        <w:rPr>
          <w:sz w:val="20"/>
          <w:szCs w:val="20"/>
          <w:color w:val="auto"/>
        </w:rPr>
      </w:pPr>
    </w:p>
    <w:p>
      <w:pPr>
        <w:jc w:val="both"/>
        <w:ind w:right="60" w:firstLine="640"/>
        <w:spacing w:after="0" w:line="284" w:lineRule="auto"/>
        <w:rPr>
          <w:sz w:val="20"/>
          <w:szCs w:val="20"/>
          <w:color w:val="auto"/>
        </w:rPr>
      </w:pPr>
      <w:r>
        <w:rPr>
          <w:rFonts w:ascii="Times New Roman" w:cs="Times New Roman" w:eastAsia="Times New Roman" w:hAnsi="Times New Roman"/>
          <w:sz w:val="17"/>
          <w:szCs w:val="17"/>
          <w:color w:val="auto"/>
        </w:rPr>
        <w:t>18.2. With respect to all Awards issued in the form of Shares hereunder or upon the exercise or (if applicable) the vesting of Awards hereunder, any and all voting rights attached to such Shares shall be subject to Section 18.1, and the Grantee shall be entitled to receive dividends distributed with respect to such Shares, subject to the provisions of the Company’s Articles of Association, as amended from time to time, and subject to any Applicable Law.</w:t>
      </w:r>
    </w:p>
    <w:p>
      <w:pPr>
        <w:spacing w:after="0" w:line="160" w:lineRule="exact"/>
        <w:rPr>
          <w:sz w:val="20"/>
          <w:szCs w:val="20"/>
          <w:color w:val="auto"/>
        </w:rPr>
      </w:pPr>
    </w:p>
    <w:p>
      <w:pPr>
        <w:ind w:right="660" w:firstLine="640"/>
        <w:spacing w:after="0" w:line="277" w:lineRule="auto"/>
        <w:rPr>
          <w:sz w:val="20"/>
          <w:szCs w:val="20"/>
          <w:color w:val="auto"/>
        </w:rPr>
      </w:pPr>
      <w:r>
        <w:rPr>
          <w:rFonts w:ascii="Times New Roman" w:cs="Times New Roman" w:eastAsia="Times New Roman" w:hAnsi="Times New Roman"/>
          <w:sz w:val="18"/>
          <w:szCs w:val="18"/>
          <w:color w:val="auto"/>
        </w:rPr>
        <w:t>18.3. The Company may, but shall not be obligated to, register or qualify the sale of Shares under any applicable securities law or any other Applicable Law.</w:t>
      </w:r>
    </w:p>
    <w:p>
      <w:pPr>
        <w:spacing w:after="0" w:line="159" w:lineRule="exact"/>
        <w:rPr>
          <w:sz w:val="20"/>
          <w:szCs w:val="20"/>
          <w:color w:val="auto"/>
        </w:rPr>
      </w:pPr>
    </w:p>
    <w:p>
      <w:pPr>
        <w:ind w:left="640" w:hanging="633"/>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REPRESENTATION BY COMPANY</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ind w:firstLine="640"/>
        <w:spacing w:after="0" w:line="254" w:lineRule="auto"/>
        <w:rPr>
          <w:sz w:val="20"/>
          <w:szCs w:val="20"/>
          <w:color w:val="auto"/>
        </w:rPr>
      </w:pPr>
      <w:r>
        <w:rPr>
          <w:rFonts w:ascii="Times New Roman" w:cs="Times New Roman" w:eastAsia="Times New Roman" w:hAnsi="Times New Roman"/>
          <w:sz w:val="18"/>
          <w:szCs w:val="18"/>
          <w:color w:val="auto"/>
        </w:rPr>
        <w:t>By granting the Awards, the Company is not, and shall not be deemed as, making any representation or warranties to the Grantee regarding the Company, its business affairs, its prospects or the future value of its Shares and such representations and warranties are hereby disclaimed. The Company shall not be required to provide to any Grantee any information, documents or material in connection with the Grantee’s considering an exercise of an Award. To the extent that any information, documents or materials are provided, the Company shall have no liability with respect thereto. Any decision by a Grantee to exercise an Award shall solely be at the risk of the Grantee.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6" w:name="page37"/>
    <w:bookmarkEnd w:id="36"/>
    <w:p>
      <w:pPr>
        <w:ind w:left="640" w:hanging="633"/>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RETENTION RIGHTS</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ind w:firstLine="640"/>
        <w:spacing w:after="0" w:line="250" w:lineRule="auto"/>
        <w:rPr>
          <w:sz w:val="20"/>
          <w:szCs w:val="20"/>
          <w:color w:val="auto"/>
        </w:rPr>
      </w:pPr>
      <w:r>
        <w:rPr>
          <w:rFonts w:ascii="Times New Roman" w:cs="Times New Roman" w:eastAsia="Times New Roman" w:hAnsi="Times New Roman"/>
          <w:sz w:val="18"/>
          <w:szCs w:val="18"/>
          <w:color w:val="auto"/>
        </w:rPr>
        <w:t>Nothing in this Plan, any Award Agreement or in any Award granted or agreement entered into pursuant hereto shall confer upon any Grantee the right to continue in the employ of, or be in the service of the Company or any Subsidiary or other Affiliate thereof as a Service Provider or to be entitled to any remuneration or benefits not set forth in this Plan or such agreement, or to interfere with or limit in any way the right of the Company or any such Subsidiary or other Affiliate thereof to terminate such Grantee’s employment or service (including, any right of the Company or any of its Affiliates to immediately cease the Grantee’s employment or service or to shorten all or part of the notice period, regardless of whether notice of termination was given by the Company or its Affiliates or by the Grantee). Awards granted under this Plan shall not be affected by any change in duties or position of a Grantee, subject to Sections 6.6 through 6.8. No Grantee shall be entitled to claim and the Grantee hereby waives any claim against the Company or any Subsidiary or other Affiliate thereof that he or she was prevented from continuing to vest Awards as of the date of termination of his or her employment with, or services to, the Company or any Subsidiary or other Affiliate thereof. No Grantee shall be entitled to any compensation in respect of the Awards which would have vested had such Grantee’s employment or engagement with the Company (or any Subsidiary or other Affiliate thereof) not been terminated.</w:t>
      </w:r>
    </w:p>
    <w:p>
      <w:pPr>
        <w:spacing w:after="0" w:line="188" w:lineRule="exact"/>
        <w:rPr>
          <w:sz w:val="20"/>
          <w:szCs w:val="20"/>
          <w:color w:val="auto"/>
        </w:rPr>
      </w:pPr>
    </w:p>
    <w:p>
      <w:pPr>
        <w:ind w:left="640" w:hanging="633"/>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PERIOD DURING WHICH AWARDS MAY BE GRANTED</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ind w:right="60" w:firstLine="640"/>
        <w:spacing w:after="0" w:line="257" w:lineRule="auto"/>
        <w:rPr>
          <w:sz w:val="20"/>
          <w:szCs w:val="20"/>
          <w:color w:val="auto"/>
        </w:rPr>
      </w:pPr>
      <w:r>
        <w:rPr>
          <w:rFonts w:ascii="Times New Roman" w:cs="Times New Roman" w:eastAsia="Times New Roman" w:hAnsi="Times New Roman"/>
          <w:sz w:val="18"/>
          <w:szCs w:val="18"/>
          <w:color w:val="auto"/>
        </w:rPr>
        <w:t>Awards may be granted pursuant to this Plan from time to time from the Effective Date and until this Plan is terminated by the Board, except that Incentive Stock Options shall not be granted following the ten (10) year anniversary of the earlier of the date this Plan was approved by (x) the Board or (y) the shareholders of the Company. From and after the date the Board terminates this Plan, no grants of Awards may be made and this Plan shall continue to be in full force and effect with respect to Awards or Shares issued thereunder that remain outstanding.</w:t>
      </w:r>
    </w:p>
    <w:p>
      <w:pPr>
        <w:spacing w:after="0" w:line="177" w:lineRule="exact"/>
        <w:rPr>
          <w:sz w:val="20"/>
          <w:szCs w:val="20"/>
          <w:color w:val="auto"/>
        </w:rPr>
      </w:pPr>
    </w:p>
    <w:p>
      <w:pPr>
        <w:ind w:left="640" w:hanging="633"/>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 OF THIS PLAN AND AWARDS</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ind w:right="120" w:firstLine="640"/>
        <w:spacing w:after="0" w:line="257" w:lineRule="auto"/>
        <w:rPr>
          <w:sz w:val="20"/>
          <w:szCs w:val="20"/>
          <w:color w:val="auto"/>
        </w:rPr>
      </w:pPr>
      <w:r>
        <w:rPr>
          <w:rFonts w:ascii="Times New Roman" w:cs="Times New Roman" w:eastAsia="Times New Roman" w:hAnsi="Times New Roman"/>
          <w:sz w:val="18"/>
          <w:szCs w:val="18"/>
          <w:color w:val="auto"/>
        </w:rPr>
        <w:t>22.1. The Board at any time and from time to time may suspend, terminate, modify or amend this Plan, whether retroactively or prospectively. Any amendment effected in accordance with this Section shall be binding upon all Grantees and all Awards, whether granted prior to or after the date of such amendment, and without the need to obtain the consent of any Grantee. No termination or amendment of this Plan shall affect any then outstanding Award unless expressly provided by the Board.</w:t>
      </w:r>
    </w:p>
    <w:p>
      <w:pPr>
        <w:spacing w:after="0" w:line="181" w:lineRule="exact"/>
        <w:rPr>
          <w:sz w:val="20"/>
          <w:szCs w:val="20"/>
          <w:color w:val="auto"/>
        </w:rPr>
      </w:pPr>
    </w:p>
    <w:p>
      <w:pPr>
        <w:ind w:firstLine="640"/>
        <w:spacing w:after="0" w:line="252" w:lineRule="auto"/>
        <w:rPr>
          <w:sz w:val="20"/>
          <w:szCs w:val="20"/>
          <w:color w:val="auto"/>
        </w:rPr>
      </w:pPr>
      <w:r>
        <w:rPr>
          <w:rFonts w:ascii="Times New Roman" w:cs="Times New Roman" w:eastAsia="Times New Roman" w:hAnsi="Times New Roman"/>
          <w:sz w:val="18"/>
          <w:szCs w:val="18"/>
          <w:color w:val="auto"/>
        </w:rPr>
        <w:t>22.2. Subject to changes in Applicable Law that would permit otherwise, there shall be (i) no increase in the maximum aggregate number of Shares that may be issued under this Plan as Incentive Stock Options (except by operation of the provisions of Section 14.1), (ii) no change in the class of persons eligible to receive Incentive Stock Options, and (iii) without consent of the shareholders no other amendment of this Plan that would require approval of the Company’s shareholders under any Applicable Law or the rules of the applicable stock market or exchange, if any, on which the Shares are principally quoted or traded. Unless not permitted by Applicable Law, if the grant of an Award is subject to approval by shareholders, the date of grant of the Award shall be determined as if the Award had not been subject to such approval. Failure to obtain approval by the shareholders shall not in any way derogate from the valid and binding effect of any grant of an Award that is not an Incentive Stock Option.</w:t>
      </w:r>
    </w:p>
    <w:p>
      <w:pPr>
        <w:spacing w:after="0" w:line="187" w:lineRule="exact"/>
        <w:rPr>
          <w:sz w:val="20"/>
          <w:szCs w:val="20"/>
          <w:color w:val="auto"/>
        </w:rPr>
      </w:pPr>
    </w:p>
    <w:p>
      <w:pPr>
        <w:ind w:right="320" w:firstLine="640"/>
        <w:spacing w:after="0" w:line="277" w:lineRule="auto"/>
        <w:rPr>
          <w:sz w:val="20"/>
          <w:szCs w:val="20"/>
          <w:color w:val="auto"/>
        </w:rPr>
      </w:pPr>
      <w:r>
        <w:rPr>
          <w:rFonts w:ascii="Times New Roman" w:cs="Times New Roman" w:eastAsia="Times New Roman" w:hAnsi="Times New Roman"/>
          <w:sz w:val="18"/>
          <w:szCs w:val="18"/>
          <w:color w:val="auto"/>
        </w:rPr>
        <w:t>22.3. The Board or the Committee at any time and from time to time may modify or amend any Award theretofore granted, including any Award Agreement, whether retroactively or prospectively.</w:t>
      </w:r>
    </w:p>
    <w:p>
      <w:pPr>
        <w:spacing w:after="0" w:line="159" w:lineRule="exact"/>
        <w:rPr>
          <w:sz w:val="20"/>
          <w:szCs w:val="20"/>
          <w:color w:val="auto"/>
        </w:rPr>
      </w:pPr>
    </w:p>
    <w:p>
      <w:pPr>
        <w:ind w:left="640" w:hanging="633"/>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APPROVAL</w:t>
      </w:r>
      <w:r>
        <w:rPr>
          <w:rFonts w:ascii="Times New Roman" w:cs="Times New Roman" w:eastAsia="Times New Roman" w:hAnsi="Times New Roman"/>
          <w:sz w:val="18"/>
          <w:szCs w:val="18"/>
          <w:b w:val="1"/>
          <w:bCs w:val="1"/>
          <w:color w:val="auto"/>
        </w:rPr>
        <w:t>.</w:t>
      </w:r>
    </w:p>
    <w:p>
      <w:pPr>
        <w:spacing w:after="0" w:line="223"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23.1. This Plan shall take effect upon its adoption by the Board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ind w:right="60" w:firstLine="640"/>
        <w:spacing w:after="0" w:line="277" w:lineRule="auto"/>
        <w:rPr>
          <w:sz w:val="20"/>
          <w:szCs w:val="20"/>
          <w:color w:val="auto"/>
        </w:rPr>
      </w:pPr>
      <w:r>
        <w:rPr>
          <w:rFonts w:ascii="Times New Roman" w:cs="Times New Roman" w:eastAsia="Times New Roman" w:hAnsi="Times New Roman"/>
          <w:sz w:val="18"/>
          <w:szCs w:val="18"/>
          <w:color w:val="auto"/>
        </w:rPr>
        <w:t>23.2. 102 Awards are conditional upon the filing with or approval by the ITA, if required, as set forth in Section 9.4. Failure to so file or obtain such approval shall not in any way derogate from the valid and binding effect of any grant of an Award, which is not a 102 Award.</w:t>
      </w:r>
    </w:p>
    <w:p>
      <w:pPr>
        <w:spacing w:after="0" w:line="159" w:lineRule="exact"/>
        <w:rPr>
          <w:sz w:val="20"/>
          <w:szCs w:val="20"/>
          <w:color w:val="auto"/>
        </w:rPr>
      </w:pPr>
    </w:p>
    <w:p>
      <w:pPr>
        <w:ind w:left="640" w:hanging="633"/>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RULES PARTICULAR TO SPECIFIC COUNTRIES; SECTION 409A</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ind w:firstLine="640"/>
        <w:spacing w:after="0" w:line="268" w:lineRule="auto"/>
        <w:rPr>
          <w:sz w:val="20"/>
          <w:szCs w:val="20"/>
          <w:color w:val="auto"/>
        </w:rPr>
      </w:pPr>
      <w:r>
        <w:rPr>
          <w:rFonts w:ascii="Times New Roman" w:cs="Times New Roman" w:eastAsia="Times New Roman" w:hAnsi="Times New Roman"/>
          <w:sz w:val="17"/>
          <w:szCs w:val="17"/>
          <w:color w:val="auto"/>
        </w:rPr>
        <w:t>24.1. Notwithstanding anything herein to the contrary, the terms and conditions of this Plan may be supplemented or amended with respect to a particular country or tax regime by means of a sub-plan or an appendix to this Plan, and to the extent that the terms and conditions set forth in any sub-plan or appendix conflict with any provisions of this Plan, the provisions of such sub-plan or appendix shall govern with respect to Awards made pursuant thereto. Terms and conditions set forth in such sub-plan or appendix shall apply only to Awards granted to Grantees under the jurisdiction of the specific country or such other tax regime that is the subject of such sub-plan or appendix and shall not apply to Awards issued to a Grantee not under the jurisdiction of such country or such other tax regime. The adoption of any such sub-plan or appendix shall be subject to the approval of the Board or the Committee, and if and to the extent determined by the Committee to be required by Applicable Law in connection with the application of certain tax treatment, pursuant to applicable stock exchange rules or regulations or otherwise, then also the approval of the shareholders of the Company at the required majority.</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24.2. This Section 24.2 shall only apply to Awards granted to Grantees who are subject to United States Federal income tax.</w:t>
      </w:r>
    </w:p>
    <w:p>
      <w:pPr>
        <w:spacing w:after="0" w:line="220" w:lineRule="exact"/>
        <w:rPr>
          <w:sz w:val="20"/>
          <w:szCs w:val="20"/>
          <w:color w:val="auto"/>
        </w:rPr>
      </w:pPr>
    </w:p>
    <w:p>
      <w:pPr>
        <w:ind w:left="640" w:right="140" w:firstLine="640"/>
        <w:spacing w:after="0" w:line="262" w:lineRule="auto"/>
        <w:rPr>
          <w:sz w:val="20"/>
          <w:szCs w:val="20"/>
          <w:color w:val="auto"/>
        </w:rPr>
      </w:pPr>
      <w:r>
        <w:rPr>
          <w:rFonts w:ascii="Times New Roman" w:cs="Times New Roman" w:eastAsia="Times New Roman" w:hAnsi="Times New Roman"/>
          <w:sz w:val="18"/>
          <w:szCs w:val="18"/>
          <w:color w:val="auto"/>
        </w:rPr>
        <w:t>24.2.1 It is the intention of the Company that no Award shall be deferred compensation subject to Section 409A of the Code unless and to the extent that the Committee specifically determines otherwise as provided in Section 24.2.2, and the Plan and the terms and conditions of all Awards shall be interpreted and administered accordingly.</w:t>
      </w:r>
    </w:p>
    <w:p>
      <w:pPr>
        <w:spacing w:after="0" w:line="176" w:lineRule="exact"/>
        <w:rPr>
          <w:sz w:val="20"/>
          <w:szCs w:val="20"/>
          <w:color w:val="auto"/>
        </w:rPr>
      </w:pPr>
    </w:p>
    <w:p>
      <w:pPr>
        <w:ind w:left="640" w:right="360" w:firstLine="640"/>
        <w:spacing w:after="0" w:line="254" w:lineRule="auto"/>
        <w:rPr>
          <w:sz w:val="20"/>
          <w:szCs w:val="20"/>
          <w:color w:val="auto"/>
        </w:rPr>
      </w:pPr>
      <w:r>
        <w:rPr>
          <w:rFonts w:ascii="Times New Roman" w:cs="Times New Roman" w:eastAsia="Times New Roman" w:hAnsi="Times New Roman"/>
          <w:sz w:val="18"/>
          <w:szCs w:val="18"/>
          <w:color w:val="auto"/>
        </w:rPr>
        <w:t>24.2.2 The terms and conditions governing any Awards that the Committee determines will be subject to Section 409A of the Code, including any rules for payment or elective or mandatory deferral of the payment or delivery of Shares or cash pursuant thereto, and any rules regarding treatment of such Awards in the event of a Merger/Sale, shall be set forth in the applicable Award Agreement and shall be intended to comply in all respects with Section 409A of the Code, and the Plan and the terms and conditions of such Awards shall be interpreted and administered accordingly.</w:t>
      </w:r>
    </w:p>
    <w:p>
      <w:pPr>
        <w:spacing w:after="0" w:line="186" w:lineRule="exact"/>
        <w:rPr>
          <w:sz w:val="20"/>
          <w:szCs w:val="20"/>
          <w:color w:val="auto"/>
        </w:rPr>
      </w:pPr>
    </w:p>
    <w:p>
      <w:pPr>
        <w:ind w:left="640" w:right="340" w:firstLine="640"/>
        <w:spacing w:after="0" w:line="265" w:lineRule="auto"/>
        <w:rPr>
          <w:sz w:val="20"/>
          <w:szCs w:val="20"/>
          <w:color w:val="auto"/>
        </w:rPr>
      </w:pPr>
      <w:r>
        <w:rPr>
          <w:rFonts w:ascii="Times New Roman" w:cs="Times New Roman" w:eastAsia="Times New Roman" w:hAnsi="Times New Roman"/>
          <w:sz w:val="17"/>
          <w:szCs w:val="17"/>
          <w:color w:val="auto"/>
        </w:rPr>
        <w:t>24.2.3 The Company shall have complete discretion to interpret and construe the Plan and any Award Agreement in any manner that establishes an exemption from (or compliance with) the requirements of Section 409A of the Code. If for any reason, such as imprecision in drafting, any provision of the Plan and/or any Award Agreement does not accurately reflect its intended establishment of an exemption from (or compliance with) Section 409A of the Code, as demonstrated by consistent interpretations or other evidence of intent, such provision shall be considered ambiguous as to its exemption from (or compliance with) Section 409A of the Code and shall be interpreted by the Company in a manner consistent with such intent, as determined in the discretion of the Company. If, notwithstanding the foregoing provisions of this Section</w:t>
      </w:r>
    </w:p>
    <w:p>
      <w:pPr>
        <w:spacing w:after="0" w:line="5" w:lineRule="exact"/>
        <w:rPr>
          <w:sz w:val="20"/>
          <w:szCs w:val="20"/>
          <w:color w:val="auto"/>
        </w:rPr>
      </w:pPr>
    </w:p>
    <w:p>
      <w:pPr>
        <w:ind w:left="640" w:right="80"/>
        <w:spacing w:after="0" w:line="249" w:lineRule="auto"/>
        <w:rPr>
          <w:sz w:val="20"/>
          <w:szCs w:val="20"/>
          <w:color w:val="auto"/>
        </w:rPr>
      </w:pPr>
      <w:r>
        <w:rPr>
          <w:rFonts w:ascii="Times New Roman" w:cs="Times New Roman" w:eastAsia="Times New Roman" w:hAnsi="Times New Roman"/>
          <w:sz w:val="18"/>
          <w:szCs w:val="18"/>
          <w:color w:val="auto"/>
        </w:rPr>
        <w:t xml:space="preserve">24.2.3, any provision of the Plan or any such agreement would cause a Grantee to incur any additional tax or interest under Section 409A of the Code, the Company may reform such provision in a manner intended to avoid the incurrence by such Grantee of any such additional tax or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maintain, to the extent reasonably practicable, the original intent and economic benefit to the Grantee of the applicable provision without violating the provisions of Section 409A of the Code. For the avoidance of doubt, no provision of this Plan shall be interpreted or construed to transfer any liability for failure to comply with the requirements of Section 409A from any Grantee or any other individual to the Company or any of its affiliates, employees or agents.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8" w:name="page39"/>
    <w:bookmarkEnd w:id="38"/>
    <w:p>
      <w:pPr>
        <w:ind w:left="640" w:right="140" w:firstLine="640"/>
        <w:spacing w:after="0" w:line="253" w:lineRule="auto"/>
        <w:rPr>
          <w:sz w:val="20"/>
          <w:szCs w:val="20"/>
          <w:color w:val="auto"/>
        </w:rPr>
      </w:pPr>
      <w:r>
        <w:rPr>
          <w:rFonts w:ascii="Times New Roman" w:cs="Times New Roman" w:eastAsia="Times New Roman" w:hAnsi="Times New Roman"/>
          <w:sz w:val="18"/>
          <w:szCs w:val="18"/>
          <w:color w:val="auto"/>
        </w:rPr>
        <w:t>24.2.4 Notwithstanding any other provision in the Plan, any Award Agreement, or any other written document establishing the terms and conditions of an Award, if any Grantee is a “specified employee,” within the meaning of Section 409A of the Code, as of the date of his or her “separation from service” (as defined under Section 409A of the Code), then, to the extent required by Treasury Regulation Section 1.409A-3(i)(2) (or any successor provision), any payment made to such Grantee on account of his or her separation from service shall not be made before a date that is six months after the date of his or her separation from service. The Committee may elect any of the methods of applying this rule that are permitted under Treasury Regulation Section 1.409A- 3(i)(2)(ii) (or any successor provision).</w:t>
      </w:r>
    </w:p>
    <w:p>
      <w:pPr>
        <w:spacing w:after="0" w:line="185" w:lineRule="exact"/>
        <w:rPr>
          <w:sz w:val="20"/>
          <w:szCs w:val="20"/>
          <w:color w:val="auto"/>
        </w:rPr>
      </w:pPr>
    </w:p>
    <w:p>
      <w:pPr>
        <w:ind w:left="640" w:right="100" w:firstLine="640"/>
        <w:spacing w:after="0" w:line="254" w:lineRule="auto"/>
        <w:rPr>
          <w:sz w:val="20"/>
          <w:szCs w:val="20"/>
          <w:color w:val="auto"/>
        </w:rPr>
      </w:pPr>
      <w:r>
        <w:rPr>
          <w:rFonts w:ascii="Times New Roman" w:cs="Times New Roman" w:eastAsia="Times New Roman" w:hAnsi="Times New Roman"/>
          <w:sz w:val="18"/>
          <w:szCs w:val="18"/>
          <w:color w:val="auto"/>
        </w:rPr>
        <w:t>24.2.5 Notwithstanding any other provision of this Section 24.2 to the contrary, although the Company intends to administer the Plan so that Awards will be exempt from, or will comply with, the requirements of Section 409A of the Code, the Company does not warrant that any Award under the Plan will qualify for favorable tax treatment under Section 409A of the Code or any other provision of federal, state, local, or non-United States law. The Company shall not be liable to any Grantee for any tax, interest, or penalties the Grantee might owe as a result of the grant, holding, vesting, exercise, or payment of any Award under the Plan.</w:t>
      </w:r>
    </w:p>
    <w:p>
      <w:pPr>
        <w:spacing w:after="0" w:line="182" w:lineRule="exact"/>
        <w:rPr>
          <w:sz w:val="20"/>
          <w:szCs w:val="20"/>
          <w:color w:val="auto"/>
        </w:rPr>
      </w:pPr>
    </w:p>
    <w:p>
      <w:pPr>
        <w:ind w:left="640" w:hanging="633"/>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 JURISDICTION</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ind w:firstLine="640"/>
        <w:spacing w:after="0" w:line="253" w:lineRule="auto"/>
        <w:rPr>
          <w:sz w:val="20"/>
          <w:szCs w:val="20"/>
          <w:color w:val="auto"/>
        </w:rPr>
      </w:pPr>
      <w:r>
        <w:rPr>
          <w:rFonts w:ascii="Times New Roman" w:cs="Times New Roman" w:eastAsia="Times New Roman" w:hAnsi="Times New Roman"/>
          <w:sz w:val="18"/>
          <w:szCs w:val="18"/>
          <w:color w:val="auto"/>
        </w:rPr>
        <w:t>This Plan and all determinations made and actions taken pursuant hereto shall be governed by the laws of the State of Israel, except with respect to matters that are subject to tax laws, regulations and rules of any specific jurisdiction, which shall be governed by the respective laws, regulations and rules of such jurisdiction. Certain definitions, which refer to laws other than the laws of such jurisdiction, shall be construed in accordance with such other laws. The competent courts located in Tel-Aviv-Jaffa, Israel shall have exclusive jurisdiction over any dispute arising out of or in connection with this Plan and any Award granted hereunder. By signing any Award Agreement or any other agreement relating to an Award, each Grantee irrevocably submits to such exclusive jurisdiction.</w:t>
      </w:r>
    </w:p>
    <w:p>
      <w:pPr>
        <w:spacing w:after="0" w:line="181" w:lineRule="exact"/>
        <w:rPr>
          <w:sz w:val="20"/>
          <w:szCs w:val="20"/>
          <w:color w:val="auto"/>
        </w:rPr>
      </w:pPr>
    </w:p>
    <w:p>
      <w:pPr>
        <w:ind w:left="640" w:hanging="633"/>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NON-EXCLUSIVITY OF THIS PLAN</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ind w:right="20" w:firstLine="640"/>
        <w:spacing w:after="0" w:line="254" w:lineRule="auto"/>
        <w:rPr>
          <w:sz w:val="20"/>
          <w:szCs w:val="20"/>
          <w:color w:val="auto"/>
        </w:rPr>
      </w:pPr>
      <w:r>
        <w:rPr>
          <w:rFonts w:ascii="Times New Roman" w:cs="Times New Roman" w:eastAsia="Times New Roman" w:hAnsi="Times New Roman"/>
          <w:sz w:val="18"/>
          <w:szCs w:val="18"/>
          <w:color w:val="auto"/>
        </w:rPr>
        <w:t>The adoption of this Plan shall not be construed as creating any limitations on the power or authority of the Company to adopt such other or additional incentive or other compensation arrangements of whatever nature as the Company may deem necessary or desirable or preclude or limit the continuation of any other plan, practice or arrangement for the payment of compensation or fringe benefits to employees generally, or to any class or group of employees, which the Company or any Affiliate now has or will lawfully put into effect, including any retirement, pension, savings and stock purchase plan, insurance, death and disability benefits and executive short-term or long-term incentive plans.</w:t>
      </w:r>
    </w:p>
    <w:p>
      <w:pPr>
        <w:spacing w:after="0" w:line="182" w:lineRule="exact"/>
        <w:rPr>
          <w:sz w:val="20"/>
          <w:szCs w:val="20"/>
          <w:color w:val="auto"/>
        </w:rPr>
      </w:pPr>
    </w:p>
    <w:p>
      <w:pPr>
        <w:ind w:left="640" w:hanging="633"/>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ind w:right="260" w:firstLine="640"/>
        <w:spacing w:after="0" w:line="262" w:lineRule="auto"/>
        <w:rPr>
          <w:sz w:val="20"/>
          <w:szCs w:val="20"/>
          <w:color w:val="auto"/>
        </w:rPr>
      </w:pPr>
      <w:r>
        <w:rPr>
          <w:rFonts w:ascii="Times New Roman" w:cs="Times New Roman" w:eastAsia="Times New Roman" w:hAnsi="Times New Roman"/>
          <w:sz w:val="18"/>
          <w:szCs w:val="18"/>
          <w:color w:val="auto"/>
        </w:rPr>
        <w:t xml:space="preserve">27.1.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Grantee shall be bound by and the Shares issued upon exercise or (if applicable) the vesting of any Awards granted hereunder shall remain subject to this Plan after the exercise or (if applicable) the vesting of Awards, in accordance with the terms of this Plan, whether or not the Grantee is then or at any time thereafter employed or engaged by the Company or any of its Affiliates.</w:t>
      </w:r>
    </w:p>
    <w:p>
      <w:pPr>
        <w:spacing w:after="0" w:line="176" w:lineRule="exact"/>
        <w:rPr>
          <w:sz w:val="20"/>
          <w:szCs w:val="20"/>
          <w:color w:val="auto"/>
        </w:rPr>
      </w:pPr>
    </w:p>
    <w:p>
      <w:pPr>
        <w:ind w:right="60" w:firstLine="640"/>
        <w:spacing w:after="0" w:line="277" w:lineRule="auto"/>
        <w:rPr>
          <w:sz w:val="20"/>
          <w:szCs w:val="20"/>
          <w:color w:val="auto"/>
        </w:rPr>
      </w:pPr>
      <w:r>
        <w:rPr>
          <w:rFonts w:ascii="Times New Roman" w:cs="Times New Roman" w:eastAsia="Times New Roman" w:hAnsi="Times New Roman"/>
          <w:sz w:val="18"/>
          <w:szCs w:val="18"/>
          <w:color w:val="auto"/>
        </w:rPr>
        <w:t xml:space="preserve">27.2. </w:t>
      </w:r>
      <w:r>
        <w:rPr>
          <w:rFonts w:ascii="Times New Roman" w:cs="Times New Roman" w:eastAsia="Times New Roman" w:hAnsi="Times New Roman"/>
          <w:sz w:val="18"/>
          <w:szCs w:val="18"/>
          <w:u w:val="single" w:color="auto"/>
          <w:color w:val="auto"/>
        </w:rPr>
        <w:t>Additional Terms</w:t>
      </w:r>
      <w:r>
        <w:rPr>
          <w:rFonts w:ascii="Times New Roman" w:cs="Times New Roman" w:eastAsia="Times New Roman" w:hAnsi="Times New Roman"/>
          <w:sz w:val="18"/>
          <w:szCs w:val="18"/>
          <w:color w:val="auto"/>
        </w:rPr>
        <w:t>. Each Award awarded under this Plan may contain such other terms and conditions not inconsistent with this Plan as may be determined by the Committee, in its sole discretion.</w:t>
      </w:r>
    </w:p>
    <w:p>
      <w:pPr>
        <w:spacing w:after="0" w:line="163" w:lineRule="exact"/>
        <w:rPr>
          <w:sz w:val="20"/>
          <w:szCs w:val="20"/>
          <w:color w:val="auto"/>
        </w:rPr>
      </w:pPr>
    </w:p>
    <w:p>
      <w:pPr>
        <w:ind w:right="140" w:firstLine="640"/>
        <w:spacing w:after="0" w:line="262" w:lineRule="auto"/>
        <w:rPr>
          <w:sz w:val="20"/>
          <w:szCs w:val="20"/>
          <w:color w:val="auto"/>
        </w:rPr>
      </w:pPr>
      <w:r>
        <w:rPr>
          <w:rFonts w:ascii="Times New Roman" w:cs="Times New Roman" w:eastAsia="Times New Roman" w:hAnsi="Times New Roman"/>
          <w:sz w:val="18"/>
          <w:szCs w:val="18"/>
          <w:color w:val="auto"/>
        </w:rPr>
        <w:t xml:space="preserve">27.3. </w:t>
      </w: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 shall be issuable upon exercise or vesting of any Award and the number of Shares to be issued shall be rounded down to the nearest whole Share (and the Company shall have liability to compensate for such fractional shares at any time), with in any Share remaining at the last vesting date due to such rounding to be issued upon exercise at such last vesting date.</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9" w:name="page40"/>
    <w:bookmarkEnd w:id="39"/>
    <w:p>
      <w:pPr>
        <w:ind w:right="60" w:firstLine="640"/>
        <w:spacing w:after="0" w:line="253" w:lineRule="auto"/>
        <w:rPr>
          <w:sz w:val="20"/>
          <w:szCs w:val="20"/>
          <w:color w:val="auto"/>
        </w:rPr>
      </w:pPr>
      <w:r>
        <w:rPr>
          <w:rFonts w:ascii="Times New Roman" w:cs="Times New Roman" w:eastAsia="Times New Roman" w:hAnsi="Times New Roman"/>
          <w:sz w:val="18"/>
          <w:szCs w:val="18"/>
          <w:color w:val="auto"/>
        </w:rPr>
        <w:t xml:space="preserve">27.4.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Plan, any Award Agreement or any other agreement entered into in connection with an Award shall be determined to be illegal or unenforceable by any court of law in any jurisdiction, the remaining provisions hereof and thereof shall be severable and enforceable in accordance with their terms, and all provisions shall remain enforceable in any other jurisdiction. In addition, if any particular provision contained in this Plan, any Award Agreement or any other agreement entered into in connection with an Award shall for any reason be held to be excessively broad as to duration, geographic scope, activity or subject, it shall be construed by limiting and reducing such provision as to such characteristic so that the provision is enforceable to fullest extent compatible with Applicable Law as it shall then appear.</w:t>
      </w:r>
    </w:p>
    <w:p>
      <w:pPr>
        <w:spacing w:after="0" w:line="185"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 xml:space="preserve">27.5. </w:t>
      </w:r>
      <w:r>
        <w:rPr>
          <w:rFonts w:ascii="Times New Roman" w:cs="Times New Roman" w:eastAsia="Times New Roman" w:hAnsi="Times New Roman"/>
          <w:sz w:val="18"/>
          <w:szCs w:val="18"/>
          <w:u w:val="single" w:color="auto"/>
          <w:color w:val="auto"/>
        </w:rPr>
        <w:t>Captions and Titles</w:t>
      </w:r>
      <w:r>
        <w:rPr>
          <w:rFonts w:ascii="Times New Roman" w:cs="Times New Roman" w:eastAsia="Times New Roman" w:hAnsi="Times New Roman"/>
          <w:sz w:val="18"/>
          <w:szCs w:val="18"/>
          <w:color w:val="auto"/>
        </w:rPr>
        <w:t>. The use of captions and titles in this Plan or any Award Agreement or any other agreement entered into in connection with an Award is for the convenience of reference only and shall not affect the meaning or interpretation of any provision of this Plan or such agreement.</w:t>
      </w:r>
    </w:p>
    <w:p>
      <w:pPr>
        <w:spacing w:after="0" w:line="159" w:lineRule="exact"/>
        <w:rPr>
          <w:sz w:val="20"/>
          <w:szCs w:val="20"/>
          <w:color w:val="auto"/>
        </w:rPr>
      </w:pPr>
    </w:p>
    <w:p>
      <w:pPr>
        <w:jc w:val="center"/>
        <w:ind w:right="-39"/>
        <w:spacing w:after="0"/>
        <w:tabs>
          <w:tab w:leader="none" w:pos="160" w:val="left"/>
          <w:tab w:leader="none" w:pos="160" w:val="left"/>
        </w:tabs>
        <w:rPr>
          <w:sz w:val="20"/>
          <w:szCs w:val="20"/>
          <w:color w:val="auto"/>
        </w:rPr>
      </w:pPr>
      <w:r>
        <w:rPr>
          <w:rFonts w:ascii="Times New Roman" w:cs="Times New Roman" w:eastAsia="Times New Roman" w:hAnsi="Times New Roman"/>
          <w:sz w:val="18"/>
          <w:szCs w:val="18"/>
          <w:b w:val="1"/>
          <w:bCs w:val="1"/>
          <w:color w:val="auto"/>
        </w:rPr>
        <w:t>*</w:t>
        <w:tab/>
        <w:t>*</w:t>
        <w:tab/>
        <w: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7196455" cy="1024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96455" cy="1024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Kornit Digital Ltd.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Ha’Amal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Rosh Ha’Ayin 4809246, Israel</w:t>
      </w: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27, 2025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Registration Statement on Form S-8</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16" w:lineRule="exact"/>
        <w:rPr>
          <w:sz w:val="20"/>
          <w:szCs w:val="20"/>
          <w:color w:val="auto"/>
        </w:rPr>
      </w:pPr>
    </w:p>
    <w:p>
      <w:pPr>
        <w:ind w:right="180" w:firstLine="620"/>
        <w:spacing w:after="0" w:line="258" w:lineRule="auto"/>
        <w:rPr>
          <w:sz w:val="20"/>
          <w:szCs w:val="20"/>
          <w:color w:val="auto"/>
        </w:rPr>
      </w:pPr>
      <w:r>
        <w:rPr>
          <w:rFonts w:ascii="Times New Roman" w:cs="Times New Roman" w:eastAsia="Times New Roman" w:hAnsi="Times New Roman"/>
          <w:sz w:val="18"/>
          <w:szCs w:val="18"/>
          <w:color w:val="auto"/>
        </w:rPr>
        <w:t>We have acted as Israeli counsel to Kornit Digital Ltd., a company organized under the laws of the State of Israel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its registration statement on Form S-8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with the Securities and Exchange Commission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covering up to 4,875,065 ordinary shares of the Company, par value New Israeli Shekel 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that are or may become available for issuance under the Kornit Digital Ltd. 2025 Share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right="560" w:firstLine="620"/>
        <w:spacing w:after="0" w:line="257" w:lineRule="auto"/>
        <w:rPr>
          <w:sz w:val="20"/>
          <w:szCs w:val="20"/>
          <w:color w:val="auto"/>
        </w:rPr>
      </w:pPr>
      <w:r>
        <w:rPr>
          <w:rFonts w:ascii="Times New Roman" w:cs="Times New Roman" w:eastAsia="Times New Roman" w:hAnsi="Times New Roman"/>
          <w:sz w:val="18"/>
          <w:szCs w:val="18"/>
          <w:color w:val="auto"/>
        </w:rPr>
        <w:t>In connection with this opinion, we have examined originals or copies, certified or otherwise identified to our satisfaction, of the Plan, the Registration Statement, the Company’s Articles of Association (as amended), and such other agreements, certificates, resolutions, minutes and other statements of corporate officers and other representatives of the Company and others and other documents provided to us by the Company as we have deemed necessary or appropriate as a basis for this opinion.</w:t>
      </w:r>
    </w:p>
    <w:p>
      <w:pPr>
        <w:spacing w:after="0" w:line="181" w:lineRule="exact"/>
        <w:rPr>
          <w:sz w:val="20"/>
          <w:szCs w:val="20"/>
          <w:color w:val="auto"/>
        </w:rPr>
      </w:pPr>
    </w:p>
    <w:p>
      <w:pPr>
        <w:ind w:right="120" w:firstLine="620"/>
        <w:spacing w:after="0" w:line="271" w:lineRule="auto"/>
        <w:rPr>
          <w:sz w:val="20"/>
          <w:szCs w:val="20"/>
          <w:color w:val="auto"/>
        </w:rPr>
      </w:pPr>
      <w:r>
        <w:rPr>
          <w:rFonts w:ascii="Times New Roman" w:cs="Times New Roman" w:eastAsia="Times New Roman" w:hAnsi="Times New Roman"/>
          <w:sz w:val="17"/>
          <w:szCs w:val="17"/>
          <w:color w:val="auto"/>
        </w:rPr>
        <w:t>In rendering an opinion on the matters hereinafter set forth, we have assumed the authenticity of all original documents submitted to us as certified, conformed or photographic copies thereof, the genuineness of all signatures and the due authenticity of all persons executing such documents. We have assumed the same to have been properly given and to be accurate. We have also assumed the truth of all facts communicated to us by the Company and that all consents, minutes and protocols of meetings of the Company’s board of directors which have been provided to us are true and accurate and have been properly prepared in accordance with the Company’s Articles of Association (as amended) and all applicable laws. In addition, we have assumed that the Company will receive the full consideration for the Shares (which may consist, in part or in full, of services performed for the Company).</w:t>
      </w:r>
    </w:p>
    <w:p>
      <w:pPr>
        <w:spacing w:after="0" w:line="170" w:lineRule="exact"/>
        <w:rPr>
          <w:sz w:val="20"/>
          <w:szCs w:val="20"/>
          <w:color w:val="auto"/>
        </w:rPr>
      </w:pPr>
    </w:p>
    <w:p>
      <w:pPr>
        <w:ind w:right="240" w:firstLine="620"/>
        <w:spacing w:after="0" w:line="277" w:lineRule="auto"/>
        <w:rPr>
          <w:sz w:val="20"/>
          <w:szCs w:val="20"/>
          <w:color w:val="auto"/>
        </w:rPr>
      </w:pPr>
      <w:r>
        <w:rPr>
          <w:rFonts w:ascii="Times New Roman" w:cs="Times New Roman" w:eastAsia="Times New Roman" w:hAnsi="Times New Roman"/>
          <w:sz w:val="18"/>
          <w:szCs w:val="18"/>
          <w:color w:val="auto"/>
        </w:rPr>
        <w:t>Members of our firm are admitted to the Bar in the State of Israel, and we do not express any opinion as to the laws of any other jurisdiction. This opinion is limited to the matters stated herein and no opinion is implied or may be inferred beyond the matters expressly stated.</w:t>
      </w:r>
    </w:p>
    <w:p>
      <w:pPr>
        <w:spacing w:after="0" w:line="163" w:lineRule="exact"/>
        <w:rPr>
          <w:sz w:val="20"/>
          <w:szCs w:val="20"/>
          <w:color w:val="auto"/>
        </w:rPr>
      </w:pPr>
    </w:p>
    <w:p>
      <w:pPr>
        <w:ind w:right="40" w:firstLine="620"/>
        <w:spacing w:after="0" w:line="277" w:lineRule="auto"/>
        <w:rPr>
          <w:sz w:val="20"/>
          <w:szCs w:val="20"/>
          <w:color w:val="auto"/>
        </w:rPr>
      </w:pPr>
      <w:r>
        <w:rPr>
          <w:rFonts w:ascii="Times New Roman" w:cs="Times New Roman" w:eastAsia="Times New Roman" w:hAnsi="Times New Roman"/>
          <w:sz w:val="18"/>
          <w:szCs w:val="18"/>
          <w:color w:val="auto"/>
        </w:rPr>
        <w:t>Based upon and subject to the foregoing, we are of the opinion that the Shares have been duly authorized and reserved for issuance and, when issued and paid for, will be legally issued, fully paid and non-assessable.</w:t>
      </w:r>
    </w:p>
    <w:p>
      <w:pPr>
        <w:spacing w:after="0" w:line="163" w:lineRule="exact"/>
        <w:rPr>
          <w:sz w:val="20"/>
          <w:szCs w:val="20"/>
          <w:color w:val="auto"/>
        </w:rPr>
      </w:pPr>
    </w:p>
    <w:p>
      <w:pPr>
        <w:jc w:val="both"/>
        <w:ind w:right="160" w:firstLine="620"/>
        <w:spacing w:after="0" w:line="262"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Registration Statement. In giving this opinion and such consent, we do not admit that we are within the category of persons whose consent is required under Section 7 of the Securities Act, the rules and regulations of the Securities and Exchange Commission promulgated thereunder or Item 509 of Regulation S-K promulgated under the Securities Act.</w:t>
      </w:r>
    </w:p>
    <w:p>
      <w:pPr>
        <w:spacing w:after="0" w:line="176" w:lineRule="exact"/>
        <w:rPr>
          <w:sz w:val="20"/>
          <w:szCs w:val="20"/>
          <w:color w:val="auto"/>
        </w:rPr>
      </w:pPr>
    </w:p>
    <w:p>
      <w:pPr>
        <w:ind w:right="280" w:firstLine="620"/>
        <w:spacing w:after="0" w:line="307" w:lineRule="auto"/>
        <w:rPr>
          <w:sz w:val="20"/>
          <w:szCs w:val="20"/>
          <w:color w:val="auto"/>
        </w:rPr>
      </w:pPr>
      <w:r>
        <w:rPr>
          <w:rFonts w:ascii="Times New Roman" w:cs="Times New Roman" w:eastAsia="Times New Roman" w:hAnsi="Times New Roman"/>
          <w:sz w:val="17"/>
          <w:szCs w:val="17"/>
          <w:color w:val="auto"/>
        </w:rPr>
        <w:t>This opinion letter is rendered as of the date hereof and we disclaim any obligation to advise you of facts, circumstances, events or developments that may be brought to our attention after the effective date of the Registration Statement that may alter, affect or modify the opinions expressed herein.</w:t>
      </w:r>
    </w:p>
    <w:p>
      <w:pPr>
        <w:spacing w:after="0" w:line="14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Meitar |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15875</wp:posOffset>
            </wp:positionV>
            <wp:extent cx="284670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2846705" cy="17145"/>
                    </a:xfrm>
                    <a:prstGeom prst="rect">
                      <a:avLst/>
                    </a:prstGeom>
                    <a:noFill/>
                  </pic:spPr>
                </pic:pic>
              </a:graphicData>
            </a:graphic>
          </wp:anchor>
        </w:drawing>
      </w:r>
    </w:p>
    <w:p>
      <w:pPr>
        <w:spacing w:after="0" w:line="1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Meitar | Law Offices</w:t>
      </w:r>
    </w:p>
    <w:p>
      <w:pPr>
        <w:sectPr>
          <w:pgSz w:w="11900" w:h="16838" w:orient="portrait"/>
          <w:cols w:equalWidth="0" w:num="1">
            <w:col w:w="11240"/>
          </w:cols>
          <w:pgMar w:left="320" w:top="11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ind w:right="80" w:firstLine="640"/>
        <w:spacing w:after="0" w:line="257"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2025 Share Incentive Plan of Kornit Digital Ltd. of our reports dated March 27, 2025, with respect to the consolidated financial statements and the effectiveness of internal control over financial reporting of Kornit Digital Ltd., included in its Annual Report (Form 20-F) for the year ended December 31, 2024, filed with the Securities and Exchange Commission.</w:t>
      </w:r>
    </w:p>
    <w:p>
      <w:pPr>
        <w:sectPr>
          <w:pgSz w:w="11900" w:h="16838" w:orient="portrait"/>
          <w:cols w:equalWidth="0" w:num="1">
            <w:col w:w="11240"/>
          </w:cols>
          <w:pgMar w:left="320" w:top="117" w:right="339" w:bottom="1440" w:gutter="0" w:footer="0" w:header="0"/>
        </w:sectPr>
      </w:pP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Tel-Aviv, Israel</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27, 2025</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color w:val="auto"/>
        </w:rPr>
        <w:t>/s/ KOST FORER GABBAY &amp; KASIERER</w:t>
      </w:r>
    </w:p>
    <w:p>
      <w:pPr>
        <w:spacing w:after="0" w:line="37"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A Member of EY Global</w:t>
      </w:r>
    </w:p>
    <w:p>
      <w:pPr>
        <w:sectPr>
          <w:pgSz w:w="11900" w:h="16838" w:orient="portrait"/>
          <w:cols w:equalWidth="0" w:num="2">
            <w:col w:w="6120" w:space="720"/>
            <w:col w:w="4400"/>
          </w:cols>
          <w:pgMar w:left="320" w:top="117" w:right="339" w:bottom="1440" w:gutter="0" w:footer="0" w:header="0"/>
          <w:type w:val="continuous"/>
        </w:sectPr>
      </w:pPr>
    </w:p>
    <w:bookmarkStart w:id="42" w:name="page43"/>
    <w:bookmarkEnd w:id="42"/>
    <w:p>
      <w:pPr>
        <w:jc w:val="right"/>
        <w:spacing w:after="0"/>
        <w:rPr>
          <w:sz w:val="20"/>
          <w:szCs w:val="20"/>
          <w:color w:val="auto"/>
        </w:rPr>
      </w:pPr>
      <w:r>
        <w:rPr>
          <w:rFonts w:ascii="Times New Roman" w:cs="Times New Roman" w:eastAsia="Times New Roman" w:hAnsi="Times New Roman"/>
          <w:sz w:val="21"/>
          <w:szCs w:val="21"/>
          <w:b w:val="1"/>
          <w:bCs w:val="1"/>
          <w:color w:val="auto"/>
        </w:rPr>
        <w:t>Ex-Filing Fees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CALCULATION OF FILING FEE TABLES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S-8</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Kornit Digital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154940</wp:posOffset>
            </wp:positionV>
            <wp:extent cx="71342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180340</wp:posOffset>
            </wp:positionV>
            <wp:extent cx="71342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and Carry Forward Securities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Proposed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Fee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Maximum</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7"/>
        </w:trPr>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2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Line Item Type</w:t>
            </w:r>
          </w:p>
        </w:tc>
        <w:tc>
          <w:tcPr>
            <w:tcW w:w="120" w:type="dxa"/>
            <w:vAlign w:val="bottom"/>
            <w:vMerge w:val="restart"/>
          </w:tcPr>
          <w:p>
            <w:pPr>
              <w:spacing w:after="0"/>
              <w:rPr>
                <w:sz w:val="12"/>
                <w:szCs w:val="12"/>
                <w:color w:val="auto"/>
              </w:rPr>
            </w:pPr>
          </w:p>
        </w:tc>
        <w:tc>
          <w:tcPr>
            <w:tcW w:w="146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00" w:type="dxa"/>
            <w:vAlign w:val="bottom"/>
          </w:tcPr>
          <w:p>
            <w:pPr>
              <w:spacing w:after="0"/>
              <w:rPr>
                <w:sz w:val="12"/>
                <w:szCs w:val="12"/>
                <w:color w:val="auto"/>
              </w:rPr>
            </w:pPr>
          </w:p>
        </w:tc>
        <w:tc>
          <w:tcPr>
            <w:tcW w:w="15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20" w:type="dxa"/>
            <w:vAlign w:val="bottom"/>
            <w:vMerge w:val="restart"/>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vMerge w:val="restart"/>
          </w:tcPr>
          <w:p>
            <w:pPr>
              <w:spacing w:after="0"/>
              <w:rPr>
                <w:sz w:val="12"/>
                <w:szCs w:val="12"/>
                <w:color w:val="auto"/>
              </w:rPr>
            </w:pPr>
          </w:p>
        </w:tc>
        <w:tc>
          <w:tcPr>
            <w:tcW w:w="780" w:type="dxa"/>
            <w:vAlign w:val="bottom"/>
          </w:tcPr>
          <w:p>
            <w:pPr>
              <w:jc w:val="center"/>
              <w:ind w:left="2"/>
              <w:spacing w:after="0" w:line="147"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74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60" w:type="dxa"/>
            <w:vAlign w:val="bottom"/>
          </w:tcPr>
          <w:p>
            <w:pPr>
              <w:spacing w:after="0"/>
              <w:rPr>
                <w:sz w:val="12"/>
                <w:szCs w:val="12"/>
                <w:color w:val="auto"/>
              </w:rPr>
            </w:pPr>
          </w:p>
        </w:tc>
        <w:tc>
          <w:tcPr>
            <w:tcW w:w="1320" w:type="dxa"/>
            <w:vAlign w:val="bottom"/>
            <w:gridSpan w:val="3"/>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Aggregate Offering</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1"/>
        </w:trPr>
        <w:tc>
          <w:tcPr>
            <w:tcW w:w="12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0" w:type="dxa"/>
            <w:vAlign w:val="bottom"/>
          </w:tcPr>
          <w:p>
            <w:pPr>
              <w:spacing w:after="0"/>
              <w:rPr>
                <w:sz w:val="1"/>
                <w:szCs w:val="1"/>
                <w:color w:val="auto"/>
              </w:rPr>
            </w:pPr>
          </w:p>
        </w:tc>
      </w:tr>
      <w:tr>
        <w:trPr>
          <w:trHeight w:val="274"/>
        </w:trPr>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20" w:type="dxa"/>
            <w:vAlign w:val="bottom"/>
            <w:gridSpan w:val="7"/>
          </w:tcPr>
          <w:p>
            <w:pPr>
              <w:jc w:val="right"/>
              <w:ind w:right="800"/>
              <w:spacing w:after="0"/>
              <w:rPr>
                <w:sz w:val="20"/>
                <w:szCs w:val="20"/>
                <w:color w:val="auto"/>
              </w:rPr>
            </w:pPr>
            <w:r>
              <w:rPr>
                <w:rFonts w:ascii="Times New Roman" w:cs="Times New Roman" w:eastAsia="Times New Roman" w:hAnsi="Times New Roman"/>
                <w:sz w:val="18"/>
                <w:szCs w:val="18"/>
                <w:i w:val="1"/>
                <w:iCs w:val="1"/>
                <w:color w:val="auto"/>
                <w:w w:val="98"/>
              </w:rPr>
              <w:t>Newly Registered Securities</w:t>
            </w: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ordinary shares, par</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2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4,106,824</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4"/>
              </w:rPr>
              <w:t>$ 21.5550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88,522,591.32</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0.0001531</w:t>
            </w:r>
          </w:p>
        </w:tc>
        <w:tc>
          <w:tcPr>
            <w:tcW w:w="120" w:type="dxa"/>
            <w:vAlign w:val="bottom"/>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13,552.81</w:t>
            </w:r>
          </w:p>
        </w:tc>
        <w:tc>
          <w:tcPr>
            <w:tcW w:w="0" w:type="dxa"/>
            <w:vAlign w:val="bottom"/>
          </w:tcPr>
          <w:p>
            <w:pPr>
              <w:spacing w:after="0"/>
              <w:rPr>
                <w:sz w:val="1"/>
                <w:szCs w:val="1"/>
                <w:color w:val="auto"/>
              </w:rPr>
            </w:pPr>
          </w:p>
        </w:tc>
      </w:tr>
      <w:tr>
        <w:trPr>
          <w:trHeight w:val="213"/>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value NIS 0.01 per</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share ("ordinary</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ordinary shares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2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768,241</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4"/>
              </w:rPr>
              <w:t>$ 21.5550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16,559,434.76</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0.0001531</w:t>
            </w:r>
          </w:p>
        </w:tc>
        <w:tc>
          <w:tcPr>
            <w:tcW w:w="120" w:type="dxa"/>
            <w:vAlign w:val="bottom"/>
          </w:tcPr>
          <w:p>
            <w:pPr>
              <w:spacing w:after="0"/>
              <w:rPr>
                <w:sz w:val="20"/>
                <w:szCs w:val="20"/>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2,535.25</w:t>
            </w:r>
          </w:p>
        </w:tc>
        <w:tc>
          <w:tcPr>
            <w:tcW w:w="0" w:type="dxa"/>
            <w:vAlign w:val="bottom"/>
          </w:tcPr>
          <w:p>
            <w:pPr>
              <w:spacing w:after="0"/>
              <w:rPr>
                <w:sz w:val="1"/>
                <w:szCs w:val="1"/>
                <w:color w:val="auto"/>
              </w:rPr>
            </w:pPr>
          </w:p>
        </w:tc>
      </w:tr>
      <w:tr>
        <w:trPr>
          <w:trHeight w:val="79"/>
        </w:trPr>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1980" w:type="dxa"/>
            <w:vAlign w:val="bottom"/>
            <w:gridSpan w:val="6"/>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Total Offering Amounts:</w:t>
            </w:r>
          </w:p>
        </w:tc>
        <w:tc>
          <w:tcPr>
            <w:tcW w:w="10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vMerge w:val="restart"/>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1980" w:type="dxa"/>
            <w:vAlign w:val="bottom"/>
            <w:gridSpan w:val="6"/>
            <w:vMerge w:val="continue"/>
          </w:tcPr>
          <w:p>
            <w:pPr>
              <w:spacing w:after="0"/>
              <w:rPr>
                <w:sz w:val="16"/>
                <w:szCs w:val="16"/>
                <w:color w:val="auto"/>
              </w:rPr>
            </w:pPr>
          </w:p>
        </w:tc>
        <w:tc>
          <w:tcPr>
            <w:tcW w:w="1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97"/>
              </w:rPr>
              <w:t>105,082,026.08</w:t>
            </w:r>
          </w:p>
        </w:tc>
        <w:tc>
          <w:tcPr>
            <w:tcW w:w="10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99"/>
              </w:rPr>
              <w:t>16,088.06</w:t>
            </w:r>
          </w:p>
        </w:tc>
        <w:tc>
          <w:tcPr>
            <w:tcW w:w="0" w:type="dxa"/>
            <w:vAlign w:val="bottom"/>
          </w:tcPr>
          <w:p>
            <w:pPr>
              <w:spacing w:after="0"/>
              <w:rPr>
                <w:sz w:val="1"/>
                <w:szCs w:val="1"/>
                <w:color w:val="auto"/>
              </w:rPr>
            </w:pPr>
          </w:p>
        </w:tc>
      </w:tr>
      <w:tr>
        <w:trPr>
          <w:trHeight w:val="213"/>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w w:val="96"/>
              </w:rPr>
              <w:t>Total Fees Previously Paid: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2"/>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Total Fee Offsets: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7"/>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Net Fee Due: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16,088.06</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Offering Note(s)</w:t>
      </w:r>
    </w:p>
    <w:p>
      <w:pPr>
        <w:spacing w:after="0" w:line="90" w:lineRule="exact"/>
        <w:rPr>
          <w:sz w:val="20"/>
          <w:szCs w:val="20"/>
          <w:color w:val="auto"/>
        </w:rPr>
      </w:pPr>
    </w:p>
    <w:p>
      <w:pPr>
        <w:jc w:val="both"/>
        <w:ind w:left="360" w:hanging="294"/>
        <w:spacing w:after="0" w:line="254" w:lineRule="auto"/>
        <w:tabs>
          <w:tab w:leader="none" w:pos="3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Rules 457(c) and 457(h) solely for the purpose of calculating the registration fee on the basis of $21.555 per share, which represents the average of the high ($22.08) and low ($21.03) prices of the ordinary shares as reported on the Nasdaq Global Select Market on March 21, 2025. Ordinary shares appearing in this row are available for issuance pursuant to potential future grants under the 2025 Plan, including due to the roll-over of ordinary shares from the Kornit Digital Ltd. 2015 Incentive Compensation Plan (the “2015 Plan”) and the Kornit Digital Ltd. 2012 Share Incentive Plan (the “2012 Plan”), upon cancelation of awards under the 2015 Plan and/or 2012 Plan.</w:t>
      </w:r>
    </w:p>
    <w:p>
      <w:pPr>
        <w:spacing w:after="0" w:line="78" w:lineRule="exact"/>
        <w:rPr>
          <w:rFonts w:ascii="Times New Roman" w:cs="Times New Roman" w:eastAsia="Times New Roman" w:hAnsi="Times New Roman"/>
          <w:sz w:val="18"/>
          <w:szCs w:val="18"/>
          <w:color w:val="auto"/>
        </w:rPr>
      </w:pPr>
    </w:p>
    <w:p>
      <w:pPr>
        <w:jc w:val="both"/>
        <w:ind w:left="360" w:hanging="294"/>
        <w:spacing w:after="0" w:line="257" w:lineRule="auto"/>
        <w:tabs>
          <w:tab w:leader="none" w:pos="3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Rules 457(c) and 457(h) solely for the purpose of calculating the registration fee on the basis of $21.555 per share, which represents the average of the high ($22.08) and low ($21.03) prices of the ordinary shares as reported on the Nasdaq Global Select Market on March 21, 2025. Ordinary shares appearing in this row are issuable upon vesting and settlement of Restricted Shares Units (RSUs) that are outstanding under the 2025 Plan.</w:t>
      </w:r>
    </w:p>
    <w:p>
      <w:pPr>
        <w:spacing w:after="0" w:line="180" w:lineRule="exact"/>
        <w:rPr>
          <w:rFonts w:ascii="Times New Roman" w:cs="Times New Roman" w:eastAsia="Times New Roman" w:hAnsi="Times New Roman"/>
          <w:sz w:val="18"/>
          <w:szCs w:val="18"/>
          <w:color w:val="auto"/>
        </w:rPr>
      </w:pPr>
    </w:p>
    <w:p>
      <w:pPr>
        <w:jc w:val="both"/>
        <w:ind w:left="36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Pursuant to Rule 416(a) under the Securities Act of 1933, as amended, this Registration Statement shall also cover any additional ordinary shares that become issuable under the Kornit Digital Ltd. 2025 Share Incentive Plan (the “2025 Plan”) to prevent dilution resulting from any share dividend, share split, recapitalization or other similar transaction effected without the receipt of consideration that increases the number of outstanding ordinary shares.</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lowerLetter"/>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1"/>
      <w:numFmt w:val="decimal"/>
      <w:start w:val="24"/>
    </w:lvl>
  </w:abstractNum>
  <w:abstractNum w:abstractNumId="5">
    <w:nsid w:val="189A769B"/>
    <w:multiLevelType w:val="hybridMultilevel"/>
    <w:lvl w:ilvl="0">
      <w:lvlJc w:val="left"/>
      <w:lvlText w:val="%1"/>
      <w:numFmt w:val="decimal"/>
      <w:start w:val="107"/>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
    <w:nsid w:val="836C40E"/>
    <w:multiLevelType w:val="hybridMultilevel"/>
    <w:lvl w:ilvl="0">
      <w:lvlJc w:val="left"/>
      <w:lvlText w:val="(%1)"/>
      <w:numFmt w:val="decimal"/>
      <w:start w:val="2"/>
    </w:lvl>
    <w:lvl w:ilvl="1">
      <w:lvlJc w:val="left"/>
      <w:lvlText w:val="(%2)"/>
      <w:numFmt w:val="decimal"/>
    </w:lvl>
  </w:abstractNum>
  <w:abstractNum w:abstractNumId="10">
    <w:nsid w:val="2901D82"/>
    <w:multiLevelType w:val="hybridMultilevel"/>
    <w:lvl w:ilvl="0">
      <w:lvlJc w:val="left"/>
      <w:lvlText w:val="(%1)"/>
      <w:numFmt w:val="decimal"/>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1)"/>
      <w:numFmt w:val="lowerRoman"/>
      <w:start w:val="1"/>
    </w:lvl>
  </w:abstractNum>
  <w:abstractNum w:abstractNumId="13">
    <w:nsid w:val="1E7FF521"/>
    <w:multiLevelType w:val="hybridMultilevel"/>
    <w:lvl w:ilvl="0">
      <w:lvlJc w:val="left"/>
      <w:lvlText w:val="%1."/>
      <w:numFmt w:val="decimal"/>
      <w:start w:val="2"/>
    </w:lvl>
  </w:abstractNum>
  <w:abstractNum w:abstractNumId="14">
    <w:nsid w:val="7C3DBD3D"/>
    <w:multiLevelType w:val="hybridMultilevel"/>
    <w:lvl w:ilvl="0">
      <w:lvlJc w:val="left"/>
      <w:lvlText w:val="(%1)"/>
      <w:numFmt w:val="lowerRoman"/>
      <w:start w:val="4"/>
    </w:lvl>
  </w:abstractNum>
  <w:abstractNum w:abstractNumId="15">
    <w:nsid w:val="737B8DDC"/>
    <w:multiLevelType w:val="hybridMultilevel"/>
    <w:lvl w:ilvl="0">
      <w:lvlJc w:val="left"/>
      <w:lvlText w:val="%1."/>
      <w:numFmt w:val="decimal"/>
      <w:start w:val="3"/>
    </w:lvl>
  </w:abstractNum>
  <w:abstractNum w:abstractNumId="16">
    <w:nsid w:val="6CEAF087"/>
    <w:multiLevelType w:val="hybridMultilevel"/>
    <w:lvl w:ilvl="0">
      <w:lvlJc w:val="left"/>
      <w:lvlText w:val="(%1)"/>
      <w:numFmt w:val="lowerRoman"/>
      <w:start w:val="1"/>
    </w:lvl>
  </w:abstractNum>
  <w:abstractNum w:abstractNumId="17">
    <w:nsid w:val="22221A70"/>
    <w:multiLevelType w:val="hybridMultilevel"/>
    <w:lvl w:ilvl="0">
      <w:lvlJc w:val="left"/>
      <w:lvlText w:val="(%1)"/>
      <w:numFmt w:val="lowerRoman"/>
      <w:start w:val="9"/>
    </w:lvl>
  </w:abstractNum>
  <w:abstractNum w:abstractNumId="18">
    <w:nsid w:val="4516DDE9"/>
    <w:multiLevelType w:val="hybridMultilevel"/>
    <w:lvl w:ilvl="0">
      <w:lvlJc w:val="left"/>
      <w:lvlText w:val="%1."/>
      <w:numFmt w:val="decimal"/>
      <w:start w:val="4"/>
    </w:lvl>
  </w:abstractNum>
  <w:abstractNum w:abstractNumId="19">
    <w:nsid w:val="3006C83E"/>
    <w:multiLevelType w:val="hybridMultilevel"/>
    <w:lvl w:ilvl="0">
      <w:lvlJc w:val="left"/>
      <w:lvlText w:val="%1."/>
      <w:numFmt w:val="decimal"/>
      <w:start w:val="5"/>
    </w:lvl>
  </w:abstractNum>
  <w:abstractNum w:abstractNumId="20">
    <w:nsid w:val="614FD4A1"/>
    <w:multiLevelType w:val="hybridMultilevel"/>
    <w:lvl w:ilvl="0">
      <w:lvlJc w:val="left"/>
      <w:lvlText w:val="%1."/>
      <w:numFmt w:val="decimal"/>
      <w:start w:val="6"/>
    </w:lvl>
  </w:abstractNum>
  <w:abstractNum w:abstractNumId="21">
    <w:nsid w:val="419AC241"/>
    <w:multiLevelType w:val="hybridMultilevel"/>
    <w:lvl w:ilvl="0">
      <w:lvlJc w:val="left"/>
      <w:lvlText w:val="(%1)"/>
      <w:numFmt w:val="decimal"/>
      <w:start w:val="3"/>
    </w:lvl>
  </w:abstractNum>
  <w:abstractNum w:abstractNumId="22">
    <w:nsid w:val="5577F8E1"/>
    <w:multiLevelType w:val="hybridMultilevel"/>
    <w:lvl w:ilvl="0">
      <w:lvlJc w:val="left"/>
      <w:lvlText w:val="(%1)"/>
      <w:numFmt w:val="lowerRoman"/>
      <w:start w:val="1"/>
    </w:lvl>
  </w:abstractNum>
  <w:abstractNum w:abstractNumId="23">
    <w:nsid w:val="440BADFC"/>
    <w:multiLevelType w:val="hybridMultilevel"/>
    <w:lvl w:ilvl="0">
      <w:lvlJc w:val="left"/>
      <w:lvlText w:val="%1."/>
      <w:numFmt w:val="decimal"/>
      <w:start w:val="7"/>
    </w:lvl>
  </w:abstractNum>
  <w:abstractNum w:abstractNumId="24">
    <w:nsid w:val="5072367"/>
    <w:multiLevelType w:val="hybridMultilevel"/>
    <w:lvl w:ilvl="0">
      <w:lvlJc w:val="left"/>
      <w:lvlText w:val="%1."/>
      <w:numFmt w:val="decimal"/>
      <w:start w:val="8"/>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1."/>
      <w:numFmt w:val="decimal"/>
      <w:start w:val="9"/>
    </w:lvl>
  </w:abstractNum>
  <w:abstractNum w:abstractNumId="27">
    <w:nsid w:val="7724C67E"/>
    <w:multiLevelType w:val="hybridMultilevel"/>
    <w:lvl w:ilvl="0">
      <w:lvlJc w:val="left"/>
      <w:lvlText w:val="%1."/>
      <w:numFmt w:val="decimal"/>
      <w:start w:val="10"/>
    </w:lvl>
  </w:abstractNum>
  <w:abstractNum w:abstractNumId="28">
    <w:nsid w:val="5C482A97"/>
    <w:multiLevelType w:val="hybridMultilevel"/>
    <w:lvl w:ilvl="0">
      <w:lvlJc w:val="left"/>
      <w:lvlText w:val="%1."/>
      <w:numFmt w:val="decimal"/>
      <w:start w:val="11"/>
    </w:lvl>
  </w:abstractNum>
  <w:abstractNum w:abstractNumId="29">
    <w:nsid w:val="2463B9EA"/>
    <w:multiLevelType w:val="hybridMultilevel"/>
    <w:lvl w:ilvl="0">
      <w:lvlJc w:val="left"/>
      <w:lvlText w:val="%1."/>
      <w:numFmt w:val="decimal"/>
      <w:start w:val="12"/>
    </w:lvl>
  </w:abstractNum>
  <w:abstractNum w:abstractNumId="30">
    <w:nsid w:val="5E884ADC"/>
    <w:multiLevelType w:val="hybridMultilevel"/>
    <w:lvl w:ilvl="0">
      <w:lvlJc w:val="left"/>
      <w:lvlText w:val="%1."/>
      <w:numFmt w:val="decimal"/>
      <w:start w:val="13"/>
    </w:lvl>
  </w:abstractNum>
  <w:abstractNum w:abstractNumId="31">
    <w:nsid w:val="51EAD36B"/>
    <w:multiLevelType w:val="hybridMultilevel"/>
    <w:lvl w:ilvl="0">
      <w:lvlJc w:val="left"/>
      <w:lvlText w:val="%1."/>
      <w:numFmt w:val="decimal"/>
      <w:start w:val="14"/>
    </w:lvl>
  </w:abstractNum>
  <w:abstractNum w:abstractNumId="32">
    <w:nsid w:val="2D517796"/>
    <w:multiLevelType w:val="hybridMultilevel"/>
    <w:lvl w:ilvl="0">
      <w:lvlJc w:val="left"/>
      <w:lvlText w:val="%1."/>
      <w:numFmt w:val="decimal"/>
      <w:start w:val="15"/>
    </w:lvl>
  </w:abstractNum>
  <w:abstractNum w:abstractNumId="33">
    <w:nsid w:val="580BD78F"/>
    <w:multiLevelType w:val="hybridMultilevel"/>
    <w:lvl w:ilvl="0">
      <w:lvlJc w:val="left"/>
      <w:lvlText w:val="%1."/>
      <w:numFmt w:val="decimal"/>
      <w:start w:val="16"/>
    </w:lvl>
  </w:abstractNum>
  <w:abstractNum w:abstractNumId="34">
    <w:nsid w:val="153EA438"/>
    <w:multiLevelType w:val="hybridMultilevel"/>
    <w:lvl w:ilvl="0">
      <w:lvlJc w:val="left"/>
      <w:lvlText w:val="%1."/>
      <w:numFmt w:val="decimal"/>
      <w:start w:val="17"/>
    </w:lvl>
  </w:abstractNum>
  <w:abstractNum w:abstractNumId="35">
    <w:nsid w:val="3855585C"/>
    <w:multiLevelType w:val="hybridMultilevel"/>
    <w:lvl w:ilvl="0">
      <w:lvlJc w:val="left"/>
      <w:lvlText w:val="(%1)"/>
      <w:numFmt w:val="lowerRoman"/>
      <w:start w:val="1"/>
    </w:lvl>
  </w:abstractNum>
  <w:abstractNum w:abstractNumId="36">
    <w:nsid w:val="70A64E2A"/>
    <w:multiLevelType w:val="hybridMultilevel"/>
    <w:lvl w:ilvl="0">
      <w:lvlJc w:val="left"/>
      <w:lvlText w:val="%1."/>
      <w:numFmt w:val="decimal"/>
      <w:start w:val="18"/>
    </w:lvl>
  </w:abstractNum>
  <w:abstractNum w:abstractNumId="37">
    <w:nsid w:val="6A2342EC"/>
    <w:multiLevelType w:val="hybridMultilevel"/>
    <w:lvl w:ilvl="0">
      <w:lvlJc w:val="left"/>
      <w:lvlText w:val="%1."/>
      <w:numFmt w:val="decimal"/>
      <w:start w:val="19"/>
    </w:lvl>
  </w:abstractNum>
  <w:abstractNum w:abstractNumId="38">
    <w:nsid w:val="2A487CB0"/>
    <w:multiLevelType w:val="hybridMultilevel"/>
    <w:lvl w:ilvl="0">
      <w:lvlJc w:val="left"/>
      <w:lvlText w:val="%1."/>
      <w:numFmt w:val="decimal"/>
      <w:start w:val="20"/>
    </w:lvl>
  </w:abstractNum>
  <w:abstractNum w:abstractNumId="39">
    <w:nsid w:val="1D4ED43B"/>
    <w:multiLevelType w:val="hybridMultilevel"/>
    <w:lvl w:ilvl="0">
      <w:lvlJc w:val="left"/>
      <w:lvlText w:val="%1."/>
      <w:numFmt w:val="decimal"/>
      <w:start w:val="21"/>
    </w:lvl>
  </w:abstractNum>
  <w:abstractNum w:abstractNumId="40">
    <w:nsid w:val="725A06FB"/>
    <w:multiLevelType w:val="hybridMultilevel"/>
    <w:lvl w:ilvl="0">
      <w:lvlJc w:val="left"/>
      <w:lvlText w:val="%1."/>
      <w:numFmt w:val="decimal"/>
      <w:start w:val="22"/>
    </w:lvl>
  </w:abstractNum>
  <w:abstractNum w:abstractNumId="41">
    <w:nsid w:val="2CD89A32"/>
    <w:multiLevelType w:val="hybridMultilevel"/>
    <w:lvl w:ilvl="0">
      <w:lvlJc w:val="left"/>
      <w:lvlText w:val="%1."/>
      <w:numFmt w:val="decimal"/>
      <w:start w:val="23"/>
    </w:lvl>
  </w:abstractNum>
  <w:abstractNum w:abstractNumId="42">
    <w:nsid w:val="57E4CCAF"/>
    <w:multiLevelType w:val="hybridMultilevel"/>
    <w:lvl w:ilvl="0">
      <w:lvlJc w:val="left"/>
      <w:lvlText w:val="%1."/>
      <w:numFmt w:val="decimal"/>
      <w:start w:val="24"/>
    </w:lvl>
  </w:abstractNum>
  <w:abstractNum w:abstractNumId="43">
    <w:nsid w:val="7A6D8D3C"/>
    <w:multiLevelType w:val="hybridMultilevel"/>
    <w:lvl w:ilvl="0">
      <w:lvlJc w:val="left"/>
      <w:lvlText w:val="%1."/>
      <w:numFmt w:val="decimal"/>
      <w:start w:val="25"/>
    </w:lvl>
  </w:abstractNum>
  <w:abstractNum w:abstractNumId="44">
    <w:nsid w:val="4B588F54"/>
    <w:multiLevelType w:val="hybridMultilevel"/>
    <w:lvl w:ilvl="0">
      <w:lvlJc w:val="left"/>
      <w:lvlText w:val="%1."/>
      <w:numFmt w:val="decimal"/>
      <w:start w:val="26"/>
    </w:lvl>
  </w:abstractNum>
  <w:abstractNum w:abstractNumId="45">
    <w:nsid w:val="542289EC"/>
    <w:multiLevelType w:val="hybridMultilevel"/>
    <w:lvl w:ilvl="0">
      <w:lvlJc w:val="left"/>
      <w:lvlText w:val="%1."/>
      <w:numFmt w:val="decimal"/>
      <w:start w:val="27"/>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3"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jpe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jpe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16" Type="http://schemas.openxmlformats.org/officeDocument/2006/relationships/hyperlink" Target="https://www.sec.gov/ix?doc=/Archives/edgar/data/1625791/000101376225003018/ea0234152-20f_kornit.htm" TargetMode="External"/><Relationship Id="rId17" Type="http://schemas.openxmlformats.org/officeDocument/2006/relationships/hyperlink" Target="http://www.sec.gov/Archives/edgar/data/1625791/000121390025012502/ea0230811-6k_kornit.htm" TargetMode="External"/><Relationship Id="rId18" Type="http://schemas.openxmlformats.org/officeDocument/2006/relationships/hyperlink" Target="http://www.sec.gov/Archives/edgar/data/1625791/000161577415000604/s100918_8a12b.htm" TargetMode="External"/><Relationship Id="rId22" Type="http://schemas.openxmlformats.org/officeDocument/2006/relationships/hyperlink" Target="https://www.sec.gov/Archives/edgar/data/1625791/000121390021041996/ea145694ex99-1_kornitdigital.htm" TargetMode="External"/><Relationship Id="rId24" Type="http://schemas.openxmlformats.org/officeDocument/2006/relationships/hyperlink" Target="http://www.sec.gov/Archives/edgar/data/1625791/000161577415000434/s100824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2025-03-27T11:14:48Z</dcterms:created>
  <dcterms:modified xsi:type="dcterms:W3CDTF">2025-03-27T11:14:48Z</dcterms:modified>
</cp:coreProperties>
</file>