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1400" w:right="1179"/>
        <w:spacing w:after="0" w:line="298" w:lineRule="auto"/>
        <w:rPr>
          <w:sz w:val="20"/>
          <w:szCs w:val="20"/>
          <w:color w:val="auto"/>
        </w:rPr>
      </w:pPr>
      <w:r>
        <w:rPr>
          <w:rFonts w:ascii="Arial" w:cs="Arial" w:eastAsia="Arial" w:hAnsi="Arial"/>
          <w:sz w:val="15"/>
          <w:szCs w:val="15"/>
          <w:b w:val="1"/>
          <w:bCs w:val="1"/>
          <w:color w:val="auto"/>
        </w:rPr>
        <w:t>As confidentially submitted to the Securities and Exchange Commission on December 9, 2014 This draft registration statement has not been publicly filed with the Securities and Exchange Commission and all information herein remains strictly confidential</w:t>
      </w:r>
    </w:p>
    <w:p>
      <w:pPr>
        <w:jc w:val="right"/>
        <w:ind w:right="419"/>
        <w:spacing w:after="0"/>
        <w:rPr>
          <w:sz w:val="20"/>
          <w:szCs w:val="20"/>
          <w:color w:val="auto"/>
        </w:rPr>
      </w:pPr>
      <w:r>
        <w:rPr>
          <w:rFonts w:ascii="Arial" w:cs="Arial" w:eastAsia="Arial" w:hAnsi="Arial"/>
          <w:sz w:val="16"/>
          <w:szCs w:val="16"/>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161290</wp:posOffset>
            </wp:positionV>
            <wp:extent cx="53771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77180" cy="1714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F-1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9"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KORNIT DIGITAL LTD.</w:t>
      </w: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6"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ectPr>
          <w:pgSz w:w="11900" w:h="16838" w:orient="portrait"/>
          <w:cols w:equalWidth="0" w:num="1">
            <w:col w:w="9019"/>
          </w:cols>
          <w:pgMar w:left="1440" w:top="315" w:right="1440" w:bottom="535" w:gutter="0" w:footer="0" w:header="0"/>
        </w:sectPr>
      </w:pPr>
    </w:p>
    <w:p>
      <w:pPr>
        <w:spacing w:after="0" w:line="72" w:lineRule="exact"/>
        <w:rPr>
          <w:sz w:val="24"/>
          <w:szCs w:val="24"/>
          <w:color w:val="auto"/>
        </w:rPr>
      </w:pPr>
    </w:p>
    <w:p>
      <w:pPr>
        <w:jc w:val="center"/>
        <w:ind w:left="300"/>
        <w:spacing w:after="0"/>
        <w:rPr>
          <w:sz w:val="20"/>
          <w:szCs w:val="20"/>
          <w:color w:val="auto"/>
        </w:rPr>
      </w:pPr>
      <w:r>
        <w:rPr>
          <w:rFonts w:ascii="Arial" w:cs="Arial" w:eastAsia="Arial" w:hAnsi="Arial"/>
          <w:sz w:val="14"/>
          <w:szCs w:val="14"/>
          <w:b w:val="1"/>
          <w:bCs w:val="1"/>
          <w:color w:val="auto"/>
        </w:rPr>
        <w:t>State of Israel</w:t>
      </w:r>
    </w:p>
    <w:p>
      <w:pPr>
        <w:spacing w:after="0" w:line="3" w:lineRule="exact"/>
        <w:rPr>
          <w:sz w:val="24"/>
          <w:szCs w:val="24"/>
          <w:color w:val="auto"/>
        </w:rPr>
      </w:pPr>
    </w:p>
    <w:p>
      <w:pPr>
        <w:ind w:left="820"/>
        <w:spacing w:after="0"/>
        <w:rPr>
          <w:sz w:val="20"/>
          <w:szCs w:val="20"/>
          <w:color w:val="auto"/>
        </w:rPr>
      </w:pPr>
      <w:r>
        <w:rPr>
          <w:rFonts w:ascii="Arial" w:cs="Arial" w:eastAsia="Arial" w:hAnsi="Arial"/>
          <w:sz w:val="13"/>
          <w:szCs w:val="13"/>
          <w:i w:val="1"/>
          <w:iCs w:val="1"/>
          <w:color w:val="auto"/>
        </w:rPr>
        <w:t>(State or Other Jurisdiction of</w:t>
      </w:r>
    </w:p>
    <w:p>
      <w:pPr>
        <w:ind w:left="780"/>
        <w:spacing w:after="0"/>
        <w:rPr>
          <w:sz w:val="20"/>
          <w:szCs w:val="20"/>
          <w:color w:val="auto"/>
        </w:rPr>
      </w:pPr>
      <w:r>
        <w:rPr>
          <w:rFonts w:ascii="Arial" w:cs="Arial" w:eastAsia="Arial" w:hAnsi="Arial"/>
          <w:sz w:val="13"/>
          <w:szCs w:val="13"/>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400" w:type="dxa"/>
            <w:vAlign w:val="bottom"/>
          </w:tcPr>
          <w:p>
            <w:pPr>
              <w:jc w:val="right"/>
              <w:ind w:right="1368"/>
              <w:spacing w:after="0"/>
              <w:rPr>
                <w:sz w:val="20"/>
                <w:szCs w:val="20"/>
                <w:color w:val="auto"/>
              </w:rPr>
            </w:pPr>
            <w:r>
              <w:rPr>
                <w:rFonts w:ascii="Arial" w:cs="Arial" w:eastAsia="Arial" w:hAnsi="Arial"/>
                <w:sz w:val="14"/>
                <w:szCs w:val="14"/>
                <w:b w:val="1"/>
                <w:bCs w:val="1"/>
                <w:color w:val="auto"/>
              </w:rPr>
              <w:t>3555</w:t>
            </w:r>
          </w:p>
        </w:tc>
        <w:tc>
          <w:tcPr>
            <w:tcW w:w="1780" w:type="dxa"/>
            <w:vAlign w:val="bottom"/>
          </w:tcPr>
          <w:p>
            <w:pPr>
              <w:jc w:val="center"/>
              <w:ind w:left="670"/>
              <w:spacing w:after="0"/>
              <w:rPr>
                <w:sz w:val="20"/>
                <w:szCs w:val="20"/>
                <w:color w:val="auto"/>
              </w:rPr>
            </w:pPr>
            <w:r>
              <w:rPr>
                <w:rFonts w:ascii="Arial" w:cs="Arial" w:eastAsia="Arial" w:hAnsi="Arial"/>
                <w:sz w:val="14"/>
                <w:szCs w:val="14"/>
                <w:b w:val="1"/>
                <w:bCs w:val="1"/>
                <w:color w:val="auto"/>
                <w:w w:val="93"/>
              </w:rPr>
              <w:t>Not Applicable</w:t>
            </w: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(Primary Standard Industrial</w:t>
            </w:r>
          </w:p>
        </w:tc>
        <w:tc>
          <w:tcPr>
            <w:tcW w:w="1780" w:type="dxa"/>
            <w:vAlign w:val="bottom"/>
          </w:tcPr>
          <w:p>
            <w:pPr>
              <w:jc w:val="center"/>
              <w:ind w:left="670"/>
              <w:spacing w:after="0" w:line="116" w:lineRule="exact"/>
              <w:rPr>
                <w:sz w:val="20"/>
                <w:szCs w:val="20"/>
                <w:color w:val="auto"/>
              </w:rPr>
            </w:pPr>
            <w:r>
              <w:rPr>
                <w:rFonts w:ascii="Arial" w:cs="Arial" w:eastAsia="Arial" w:hAnsi="Arial"/>
                <w:sz w:val="13"/>
                <w:szCs w:val="13"/>
                <w:i w:val="1"/>
                <w:iCs w:val="1"/>
                <w:color w:val="auto"/>
              </w:rPr>
              <w:t>(I.R.S. Employer</w:t>
            </w: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vMerge w:val="restart"/>
          </w:tcPr>
          <w:p>
            <w:pPr>
              <w:jc w:val="center"/>
              <w:ind w:left="650"/>
              <w:spacing w:after="0"/>
              <w:rPr>
                <w:sz w:val="20"/>
                <w:szCs w:val="20"/>
                <w:color w:val="auto"/>
              </w:rPr>
            </w:pPr>
            <w:r>
              <w:rPr>
                <w:rFonts w:ascii="Arial" w:cs="Arial" w:eastAsia="Arial" w:hAnsi="Arial"/>
                <w:sz w:val="14"/>
                <w:szCs w:val="14"/>
                <w:i w:val="1"/>
                <w:iCs w:val="1"/>
                <w:color w:val="auto"/>
                <w:w w:val="97"/>
              </w:rPr>
              <w:t>Identification No.)</w:t>
            </w:r>
          </w:p>
        </w:tc>
        <w:tc>
          <w:tcPr>
            <w:tcW w:w="0" w:type="dxa"/>
            <w:vAlign w:val="bottom"/>
          </w:tcPr>
          <w:p>
            <w:pPr>
              <w:spacing w:after="0"/>
              <w:rPr>
                <w:sz w:val="1"/>
                <w:szCs w:val="1"/>
                <w:color w:val="auto"/>
              </w:rPr>
            </w:pPr>
          </w:p>
        </w:tc>
      </w:tr>
      <w:tr>
        <w:trPr>
          <w:trHeight w:val="115"/>
        </w:trPr>
        <w:tc>
          <w:tcPr>
            <w:tcW w:w="2400" w:type="dxa"/>
            <w:vAlign w:val="bottom"/>
            <w:vMerge w:val="restart"/>
          </w:tcPr>
          <w:p>
            <w:pPr>
              <w:spacing w:after="0"/>
              <w:rPr>
                <w:sz w:val="20"/>
                <w:szCs w:val="20"/>
                <w:color w:val="auto"/>
              </w:rPr>
            </w:pPr>
            <w:r>
              <w:rPr>
                <w:rFonts w:ascii="Arial" w:cs="Arial" w:eastAsia="Arial" w:hAnsi="Arial"/>
                <w:sz w:val="14"/>
                <w:szCs w:val="14"/>
                <w:i w:val="1"/>
                <w:iCs w:val="1"/>
                <w:color w:val="auto"/>
              </w:rPr>
              <w:t>Classification Code Number)</w:t>
            </w: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0" w:type="dxa"/>
            <w:vAlign w:val="bottom"/>
            <w:vMerge w:val="continue"/>
          </w:tcPr>
          <w:p>
            <w:pPr>
              <w:spacing w:after="0"/>
              <w:rPr>
                <w:sz w:val="5"/>
                <w:szCs w:val="5"/>
                <w:color w:val="auto"/>
              </w:rPr>
            </w:pPr>
          </w:p>
        </w:tc>
        <w:tc>
          <w:tcPr>
            <w:tcW w:w="1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3080" w:space="720"/>
            <w:col w:w="5219"/>
          </w:cols>
          <w:pgMar w:left="1440" w:top="315" w:right="1440" w:bottom="535" w:gutter="0" w:footer="0" w:header="0"/>
          <w:type w:val="continuous"/>
        </w:sectPr>
      </w:pPr>
    </w:p>
    <w:p>
      <w:pPr>
        <w:spacing w:after="0" w:line="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12 Ha`Amal Street, Afek Park,</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Rosh-Ha`Ayin 4809246, Israel</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 +972-3-908-5800</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Kornit Digital North America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10541-10601 North Commerce Street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Mequon, WI 53092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(262) 518-0200</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137"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Copies of all correspondence to:</w:t>
      </w:r>
    </w:p>
    <w:p>
      <w:pPr>
        <w:spacing w:after="0" w:line="255"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900" w:type="dxa"/>
            <w:vAlign w:val="bottom"/>
          </w:tcPr>
          <w:p>
            <w:pPr>
              <w:jc w:val="center"/>
              <w:ind w:right="68"/>
              <w:spacing w:after="0"/>
              <w:rPr>
                <w:sz w:val="20"/>
                <w:szCs w:val="20"/>
                <w:color w:val="auto"/>
              </w:rPr>
            </w:pPr>
            <w:r>
              <w:rPr>
                <w:rFonts w:ascii="Arial" w:cs="Arial" w:eastAsia="Arial" w:hAnsi="Arial"/>
                <w:sz w:val="14"/>
                <w:szCs w:val="14"/>
                <w:b w:val="1"/>
                <w:bCs w:val="1"/>
                <w:color w:val="auto"/>
                <w:w w:val="94"/>
              </w:rPr>
              <w:t>Colin J. Diamond, Esq</w:t>
            </w: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6"/>
              </w:rPr>
              <w:t>Clifford M. J. Felig, Adv.</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3"/>
              </w:rPr>
              <w:t>David Goldschmidt, Esq.</w:t>
            </w:r>
          </w:p>
        </w:tc>
        <w:tc>
          <w:tcPr>
            <w:tcW w:w="1920" w:type="dxa"/>
            <w:vAlign w:val="bottom"/>
          </w:tcPr>
          <w:p>
            <w:pPr>
              <w:jc w:val="center"/>
              <w:ind w:left="88"/>
              <w:spacing w:after="0"/>
              <w:rPr>
                <w:sz w:val="20"/>
                <w:szCs w:val="20"/>
                <w:color w:val="auto"/>
              </w:rPr>
            </w:pPr>
            <w:r>
              <w:rPr>
                <w:rFonts w:ascii="Arial" w:cs="Arial" w:eastAsia="Arial" w:hAnsi="Arial"/>
                <w:sz w:val="14"/>
                <w:szCs w:val="14"/>
                <w:b w:val="1"/>
                <w:bCs w:val="1"/>
                <w:color w:val="auto"/>
                <w:w w:val="93"/>
              </w:rPr>
              <w:t>Shachar Hadar, Adv.</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Joshua G. Kiernan, Esq.</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Aviv Avidan-Shalit, Adv.</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Phyllis G. Korff, Esq.</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Gross, Kleinhendler, Hodak,</w:t>
            </w:r>
          </w:p>
        </w:tc>
      </w:tr>
      <w:tr>
        <w:trPr>
          <w:trHeight w:val="149"/>
        </w:trPr>
        <w:tc>
          <w:tcPr>
            <w:tcW w:w="190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8"/>
              </w:rPr>
              <w:t>White &amp; Case LLP</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Meitar Liquornik Geva Leshem</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Skadden, Arps, Slate, Meagher &amp;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4"/>
              </w:rPr>
              <w:t>Halevy, Greenberg &amp; Co.</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1155 Avenue of the Americas</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Tal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Flom LLP</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5"/>
              </w:rPr>
              <w:t>One Azrieli Center</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16 Abba Hillel Silver Rd.</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4 Times Square</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Aviv 67021, Israel</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Tel: (212) 819-8200</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Ramat Gan 5250608, Israel</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New York, NY 10036</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Tel: +972-3-607-4444</w:t>
            </w:r>
          </w:p>
        </w:tc>
      </w:tr>
      <w:tr>
        <w:trPr>
          <w:trHeight w:val="149"/>
        </w:trPr>
        <w:tc>
          <w:tcPr>
            <w:tcW w:w="190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Fax: (212) 354-8113</w:t>
            </w:r>
          </w:p>
        </w:tc>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Tel: +972-3-610-3100</w:t>
            </w:r>
          </w:p>
        </w:tc>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Tel: (212) 735-3000</w:t>
            </w:r>
          </w:p>
        </w:tc>
        <w:tc>
          <w:tcPr>
            <w:tcW w:w="19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Fax: +972-3-607-4470</w:t>
            </w:r>
          </w:p>
        </w:tc>
      </w:tr>
      <w:tr>
        <w:trPr>
          <w:trHeight w:val="186"/>
        </w:trPr>
        <w:tc>
          <w:tcPr>
            <w:tcW w:w="1900" w:type="dxa"/>
            <w:vAlign w:val="bottom"/>
          </w:tcPr>
          <w:p>
            <w:pPr>
              <w:spacing w:after="0"/>
              <w:rPr>
                <w:sz w:val="16"/>
                <w:szCs w:val="16"/>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Fax: +972-3-610-3111</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Fax: (212) 735-2000</w:t>
            </w:r>
          </w:p>
        </w:tc>
        <w:tc>
          <w:tcPr>
            <w:tcW w:w="1920" w:type="dxa"/>
            <w:vAlign w:val="bottom"/>
          </w:tcPr>
          <w:p>
            <w:pPr>
              <w:spacing w:after="0"/>
              <w:rPr>
                <w:sz w:val="16"/>
                <w:szCs w:val="16"/>
                <w:color w:val="auto"/>
              </w:rPr>
            </w:pPr>
          </w:p>
        </w:tc>
      </w:tr>
    </w:tbl>
    <w:p>
      <w:pPr>
        <w:spacing w:after="0" w:line="34"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ind w:left="120" w:right="539"/>
        <w:spacing w:after="0" w:line="311" w:lineRule="auto"/>
        <w:rPr>
          <w:sz w:val="20"/>
          <w:szCs w:val="20"/>
          <w:color w:val="auto"/>
        </w:rPr>
      </w:pPr>
      <w:r>
        <w:rPr>
          <w:rFonts w:ascii="Arial" w:cs="Arial" w:eastAsia="Arial" w:hAnsi="Arial"/>
          <w:sz w:val="16"/>
          <w:szCs w:val="16"/>
          <w:color w:val="auto"/>
        </w:rPr>
        <w:t>Approximate date of commencement of proposed sale to the public: As soon as practicable after effectiveness of this registration statement.</w:t>
      </w:r>
    </w:p>
    <w:p>
      <w:pPr>
        <w:spacing w:after="0" w:line="36" w:lineRule="exact"/>
        <w:rPr>
          <w:sz w:val="24"/>
          <w:szCs w:val="24"/>
          <w:color w:val="auto"/>
        </w:rPr>
      </w:pPr>
    </w:p>
    <w:p>
      <w:pPr>
        <w:ind w:left="120" w:right="199"/>
        <w:spacing w:after="0" w:line="22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539"/>
        <w:spacing w:after="0" w:line="222"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52" w:lineRule="exact"/>
        <w:rPr>
          <w:sz w:val="24"/>
          <w:szCs w:val="24"/>
          <w:color w:val="auto"/>
        </w:rPr>
      </w:pPr>
    </w:p>
    <w:p>
      <w:pPr>
        <w:ind w:left="120" w:right="21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66" w:lineRule="exact"/>
        <w:rPr>
          <w:sz w:val="24"/>
          <w:szCs w:val="24"/>
          <w:color w:val="auto"/>
        </w:rPr>
      </w:pPr>
    </w:p>
    <w:p>
      <w:pPr>
        <w:ind w:left="120" w:right="199"/>
        <w:spacing w:after="0" w:line="224"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71"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4120" w:type="dxa"/>
            <w:vAlign w:val="bottom"/>
            <w:gridSpan w:val="3"/>
          </w:tcPr>
          <w:p>
            <w:pPr>
              <w:jc w:val="right"/>
              <w:ind w:right="1192"/>
              <w:spacing w:after="0"/>
              <w:rPr>
                <w:sz w:val="20"/>
                <w:szCs w:val="20"/>
                <w:color w:val="auto"/>
              </w:rPr>
            </w:pPr>
            <w:r>
              <w:rPr>
                <w:rFonts w:ascii="Arial" w:cs="Arial" w:eastAsia="Arial" w:hAnsi="Arial"/>
                <w:sz w:val="14"/>
                <w:szCs w:val="14"/>
                <w:b w:val="1"/>
                <w:bCs w:val="1"/>
                <w:color w:val="auto"/>
              </w:rPr>
              <w:t>CALCULATION OF REGISTRATION FEE</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aggregate offering</w:t>
            </w:r>
          </w:p>
        </w:tc>
        <w:tc>
          <w:tcPr>
            <w:tcW w:w="340" w:type="dxa"/>
            <w:vAlign w:val="bottom"/>
          </w:tcPr>
          <w:p>
            <w:pPr>
              <w:spacing w:after="0"/>
              <w:rPr>
                <w:sz w:val="14"/>
                <w:szCs w:val="14"/>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 of</w:t>
            </w:r>
          </w:p>
        </w:tc>
      </w:tr>
      <w:tr>
        <w:trPr>
          <w:trHeight w:val="188"/>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w w:val="91"/>
              </w:rPr>
              <w:t>Title of each class of securities to be registered</w:t>
            </w:r>
          </w:p>
        </w:tc>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Arial" w:cs="Arial" w:eastAsia="Arial" w:hAnsi="Arial"/>
                <w:sz w:val="21"/>
                <w:szCs w:val="21"/>
                <w:b w:val="1"/>
                <w:bCs w:val="1"/>
                <w:color w:val="auto"/>
                <w:vertAlign w:val="subscript"/>
              </w:rPr>
              <w:t>price</w:t>
            </w:r>
            <w:r>
              <w:rPr>
                <w:rFonts w:ascii="Arial" w:cs="Arial" w:eastAsia="Arial" w:hAnsi="Arial"/>
                <w:sz w:val="10"/>
                <w:szCs w:val="10"/>
                <w:b w:val="1"/>
                <w:bCs w:val="1"/>
                <w:color w:val="auto"/>
              </w:rPr>
              <w:t>(1)(2)</w:t>
            </w:r>
          </w:p>
        </w:tc>
        <w:tc>
          <w:tcPr>
            <w:tcW w:w="340" w:type="dxa"/>
            <w:vAlign w:val="bottom"/>
          </w:tcPr>
          <w:p>
            <w:pPr>
              <w:spacing w:after="0"/>
              <w:rPr>
                <w:sz w:val="16"/>
                <w:szCs w:val="16"/>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registration fee</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Ordinary shares, par value NIS 0.01 per share</w:t>
            </w:r>
          </w:p>
        </w:tc>
        <w:tc>
          <w:tcPr>
            <w:tcW w:w="2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9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b w:val="1"/>
                <w:bCs w:val="1"/>
                <w:color w:val="auto"/>
              </w:rPr>
              <w:t>_________________</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bl>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w:t>
      </w:r>
    </w:p>
    <w:p>
      <w:pPr>
        <w:spacing w:after="0" w:line="43" w:lineRule="exact"/>
        <w:rPr>
          <w:rFonts w:ascii="Arial" w:cs="Arial" w:eastAsia="Arial" w:hAnsi="Arial"/>
          <w:sz w:val="14"/>
          <w:szCs w:val="14"/>
          <w:color w:val="auto"/>
        </w:rPr>
      </w:pPr>
    </w:p>
    <w:p>
      <w:pPr>
        <w:ind w:left="400" w:hanging="275"/>
        <w:spacing w:after="0"/>
        <w:tabs>
          <w:tab w:leader="none" w:pos="4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ordinary shares that the underwriters may purchase pursuant to their option to purchase additional ordinary shares.</w:t>
      </w:r>
    </w:p>
    <w:p>
      <w:pPr>
        <w:spacing w:after="0" w:line="8"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_____________________________</w:t>
      </w:r>
    </w:p>
    <w:p>
      <w:pPr>
        <w:spacing w:after="0" w:line="174" w:lineRule="exact"/>
        <w:rPr>
          <w:sz w:val="24"/>
          <w:szCs w:val="24"/>
          <w:color w:val="auto"/>
        </w:rPr>
      </w:pPr>
    </w:p>
    <w:p>
      <w:pPr>
        <w:ind w:left="120" w:right="219"/>
        <w:spacing w:after="0" w:line="235"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83820</wp:posOffset>
            </wp:positionH>
            <wp:positionV relativeFrom="paragraph">
              <wp:posOffset>171450</wp:posOffset>
            </wp:positionV>
            <wp:extent cx="5574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15" w:right="1440" w:bottom="535" w:gutter="0" w:footer="0" w:header="0"/>
          <w:type w:val="continuous"/>
        </w:sectPr>
      </w:pPr>
    </w:p>
    <w:bookmarkStart w:id="1" w:name="page2"/>
    <w:bookmarkEnd w:id="1"/>
    <w:p>
      <w:pPr>
        <w:ind w:left="120" w:right="279"/>
        <w:spacing w:after="0" w:line="259" w:lineRule="auto"/>
        <w:rPr>
          <w:sz w:val="20"/>
          <w:szCs w:val="20"/>
          <w:color w:val="auto"/>
        </w:rPr>
      </w:pPr>
      <w:r>
        <w:rPr>
          <w:rFonts w:ascii="Arial" w:cs="Arial" w:eastAsia="Arial" w:hAnsi="Arial"/>
          <w:sz w:val="18"/>
          <w:szCs w:val="18"/>
          <w:color w:val="AF1D1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F1D1F"/>
        </w:rPr>
        <w:t>Subject to Completion, dated December 9, 2014</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Preliminary Prospectus</w:t>
      </w:r>
    </w:p>
    <w:p>
      <w:pPr>
        <w:spacing w:after="0" w:line="157" w:lineRule="exact"/>
        <w:rPr>
          <w:sz w:val="20"/>
          <w:szCs w:val="20"/>
          <w:color w:val="auto"/>
        </w:rPr>
      </w:pPr>
    </w:p>
    <w:p>
      <w:pPr>
        <w:ind w:left="44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211455</wp:posOffset>
            </wp:positionV>
            <wp:extent cx="2118360" cy="131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8360" cy="131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29"/>
          <w:szCs w:val="29"/>
          <w:b w:val="1"/>
          <w:bCs w:val="1"/>
          <w:color w:val="auto"/>
        </w:rPr>
        <w:t>Kornit Digital Ltd.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Ordinary Shares</w:t>
      </w:r>
    </w:p>
    <w:p>
      <w:pPr>
        <w:spacing w:after="0" w:line="15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_________________________</w:t>
      </w:r>
    </w:p>
    <w:p>
      <w:pPr>
        <w:sectPr>
          <w:pgSz w:w="11900" w:h="16838" w:orient="portrait"/>
          <w:cols w:equalWidth="0" w:num="1">
            <w:col w:w="9019"/>
          </w:cols>
          <w:pgMar w:left="1440" w:top="125" w:right="1440" w:bottom="1440" w:gutter="0" w:footer="0" w:header="0"/>
        </w:sectPr>
      </w:pP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This is Kornit Digital Ltd.’s initial public offering. We are selling</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of our ordinary shares.</w:t>
      </w:r>
    </w:p>
    <w:p>
      <w:pPr>
        <w:spacing w:after="0" w:line="211" w:lineRule="exact"/>
        <w:rPr>
          <w:sz w:val="20"/>
          <w:szCs w:val="20"/>
          <w:color w:val="auto"/>
        </w:rPr>
      </w:pPr>
    </w:p>
    <w:p>
      <w:pPr>
        <w:sectPr>
          <w:pgSz w:w="11900" w:h="16838" w:orient="portrait"/>
          <w:cols w:equalWidth="0" w:num="2">
            <w:col w:w="5220" w:space="720"/>
            <w:col w:w="3079"/>
          </w:cols>
          <w:pgMar w:left="1440" w:top="125" w:right="1440" w:bottom="1440" w:gutter="0" w:footer="0" w:header="0"/>
          <w:type w:val="continuous"/>
        </w:sectPr>
      </w:pPr>
    </w:p>
    <w:p>
      <w:pPr>
        <w:spacing w:after="0" w:line="37" w:lineRule="exact"/>
        <w:rPr>
          <w:sz w:val="20"/>
          <w:szCs w:val="20"/>
          <w:color w:val="auto"/>
        </w:rPr>
      </w:pPr>
    </w:p>
    <w:p>
      <w:pPr>
        <w:ind w:left="340"/>
        <w:spacing w:after="0"/>
        <w:tabs>
          <w:tab w:leader="none" w:pos="4360" w:val="left"/>
          <w:tab w:leader="none" w:pos="5100" w:val="left"/>
        </w:tabs>
        <w:rPr>
          <w:sz w:val="20"/>
          <w:szCs w:val="20"/>
          <w:color w:val="auto"/>
        </w:rPr>
      </w:pPr>
      <w:r>
        <w:rPr>
          <w:rFonts w:ascii="Arial" w:cs="Arial" w:eastAsia="Arial" w:hAnsi="Arial"/>
          <w:sz w:val="18"/>
          <w:szCs w:val="18"/>
          <w:color w:val="auto"/>
        </w:rPr>
        <w:t>We expect the public offering price to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per share. Prior to this offering, there has been no</w:t>
      </w:r>
    </w:p>
    <w:p>
      <w:pPr>
        <w:sectPr>
          <w:pgSz w:w="11900" w:h="16838" w:orient="portrait"/>
          <w:cols w:equalWidth="0" w:num="1">
            <w:col w:w="9019"/>
          </w:cols>
          <w:pgMar w:left="1440" w:top="125" w:right="1440" w:bottom="1440" w:gutter="0" w:footer="0" w:header="0"/>
          <w:type w:val="continuous"/>
        </w:sectPr>
      </w:pPr>
    </w:p>
    <w:p>
      <w:pPr>
        <w:spacing w:after="0" w:line="23" w:lineRule="exact"/>
        <w:rPr>
          <w:sz w:val="20"/>
          <w:szCs w:val="20"/>
          <w:color w:val="auto"/>
        </w:rPr>
      </w:pPr>
    </w:p>
    <w:p>
      <w:pPr>
        <w:ind w:left="120" w:right="519"/>
        <w:spacing w:after="0" w:line="261" w:lineRule="auto"/>
        <w:rPr>
          <w:sz w:val="20"/>
          <w:szCs w:val="20"/>
          <w:color w:val="auto"/>
        </w:rPr>
      </w:pPr>
      <w:r>
        <w:rPr>
          <w:rFonts w:ascii="Arial" w:cs="Arial" w:eastAsia="Arial" w:hAnsi="Arial"/>
          <w:sz w:val="18"/>
          <w:szCs w:val="18"/>
          <w:color w:val="auto"/>
        </w:rPr>
        <w:t>public market for our ordinary shares. We intend to apply to have the ordinary shares listed on the NASDAQ Global Market under the symbol “KRNT.”</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jc w:val="right"/>
              <w:ind w:right="202"/>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400" w:type="dxa"/>
            <w:vAlign w:val="bottom"/>
            <w:gridSpan w:val="2"/>
          </w:tcPr>
          <w:p>
            <w:pPr>
              <w:ind w:left="440"/>
              <w:spacing w:after="0"/>
              <w:rPr>
                <w:sz w:val="20"/>
                <w:szCs w:val="20"/>
                <w:color w:val="auto"/>
              </w:rPr>
            </w:pPr>
            <w:r>
              <w:rPr>
                <w:rFonts w:ascii="Arial" w:cs="Arial" w:eastAsia="Arial" w:hAnsi="Arial"/>
                <w:sz w:val="16"/>
                <w:szCs w:val="16"/>
                <w:b w:val="1"/>
                <w:bCs w:val="1"/>
                <w:color w:val="auto"/>
              </w:rPr>
              <w:t>Total</w:t>
            </w:r>
          </w:p>
        </w:tc>
      </w:tr>
      <w:tr>
        <w:trPr>
          <w:trHeight w:val="216"/>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460" w:type="dxa"/>
            <w:vAlign w:val="bottom"/>
          </w:tcPr>
          <w:p>
            <w:pPr>
              <w:spacing w:after="0" w:line="256"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9"/>
                <w:szCs w:val="29"/>
                <w:color w:val="auto"/>
                <w:vertAlign w:val="superscript"/>
              </w:rPr>
              <w:t>(1)</w:t>
            </w:r>
          </w:p>
        </w:tc>
        <w:tc>
          <w:tcPr>
            <w:tcW w:w="256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56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r>
    </w:tbl>
    <w:p>
      <w:pPr>
        <w:ind w:left="340"/>
        <w:spacing w:after="0"/>
        <w:rPr>
          <w:sz w:val="20"/>
          <w:szCs w:val="20"/>
          <w:color w:val="auto"/>
        </w:rPr>
      </w:pPr>
      <w:r>
        <w:rPr>
          <w:rFonts w:ascii="Arial" w:cs="Arial" w:eastAsia="Arial" w:hAnsi="Arial"/>
          <w:sz w:val="18"/>
          <w:szCs w:val="18"/>
          <w:b w:val="1"/>
          <w:bCs w:val="1"/>
          <w:color w:val="auto"/>
        </w:rPr>
        <w:t>____________</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(1)  See “Underwriting” for a description of the compensation </w:t>
      </w:r>
      <w:r>
        <w:rPr>
          <w:rFonts w:ascii="Arial" w:cs="Arial" w:eastAsia="Arial" w:hAnsi="Arial"/>
          <w:sz w:val="16"/>
          <w:szCs w:val="16"/>
          <w:color w:val="auto"/>
        </w:rPr>
        <w:t>payable to the underwriters.</w:t>
      </w:r>
    </w:p>
    <w:p>
      <w:pPr>
        <w:spacing w:after="0" w:line="211" w:lineRule="exact"/>
        <w:rPr>
          <w:sz w:val="20"/>
          <w:szCs w:val="20"/>
          <w:color w:val="auto"/>
        </w:rPr>
      </w:pPr>
    </w:p>
    <w:p>
      <w:pPr>
        <w:jc w:val="both"/>
        <w:ind w:left="120" w:right="299" w:firstLine="216"/>
        <w:spacing w:after="0" w:line="342" w:lineRule="auto"/>
        <w:rPr>
          <w:sz w:val="20"/>
          <w:szCs w:val="20"/>
          <w:color w:val="auto"/>
        </w:rPr>
      </w:pPr>
      <w:r>
        <w:rPr>
          <w:rFonts w:ascii="Arial" w:cs="Arial" w:eastAsia="Arial" w:hAnsi="Arial"/>
          <w:sz w:val="16"/>
          <w:szCs w:val="16"/>
          <w:color w:val="auto"/>
        </w:rPr>
        <w:t>The underwriters may also exercise their option to purchase up to an additional ordinary shares from us, at the public offering price, less the underwriting discounts and commissions, for 30 days after the date of this prospectus.</w:t>
      </w:r>
    </w:p>
    <w:p>
      <w:pPr>
        <w:spacing w:after="0" w:line="124" w:lineRule="exact"/>
        <w:rPr>
          <w:sz w:val="20"/>
          <w:szCs w:val="20"/>
          <w:color w:val="auto"/>
        </w:rPr>
      </w:pPr>
    </w:p>
    <w:p>
      <w:pPr>
        <w:ind w:left="120" w:right="239" w:firstLine="216"/>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as defined under federal securities laws and, as such, may elect to comply with certain reduced public company reporting requirements for future filings.</w:t>
      </w:r>
    </w:p>
    <w:p>
      <w:pPr>
        <w:spacing w:after="0" w:line="170"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b w:val="1"/>
          <w:bCs w:val="1"/>
          <w:i w:val="1"/>
          <w:iCs w:val="1"/>
          <w:color w:val="auto"/>
        </w:rPr>
        <w:t>Investing in our ordinary shares involves risks that are described in the ‘‘Risk Factors’’ section beginning on page 9 of this prospectus.</w:t>
      </w:r>
    </w:p>
    <w:p>
      <w:pPr>
        <w:spacing w:after="0" w:line="170" w:lineRule="exact"/>
        <w:rPr>
          <w:sz w:val="20"/>
          <w:szCs w:val="20"/>
          <w:color w:val="auto"/>
        </w:rPr>
      </w:pPr>
    </w:p>
    <w:p>
      <w:pPr>
        <w:ind w:left="120" w:right="179" w:firstLine="216"/>
        <w:spacing w:after="0" w:line="264"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 representation to the contrary is a criminal offense.</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20" w:type="dxa"/>
            <w:vAlign w:val="bottom"/>
            <w:gridSpan w:val="2"/>
          </w:tcPr>
          <w:p>
            <w:pPr>
              <w:jc w:val="right"/>
              <w:ind w:right="270"/>
              <w:spacing w:after="0"/>
              <w:rPr>
                <w:sz w:val="20"/>
                <w:szCs w:val="20"/>
                <w:color w:val="auto"/>
              </w:rPr>
            </w:pPr>
            <w:r>
              <w:rPr>
                <w:rFonts w:ascii="Arial" w:cs="Arial" w:eastAsia="Arial" w:hAnsi="Arial"/>
                <w:sz w:val="18"/>
                <w:szCs w:val="18"/>
                <w:color w:val="auto"/>
                <w:w w:val="92"/>
              </w:rPr>
              <w:t>The underwriters expect to deliver the ordinary shares to purchasers on or about</w:t>
            </w:r>
          </w:p>
        </w:tc>
        <w:tc>
          <w:tcPr>
            <w:tcW w:w="2440" w:type="dxa"/>
            <w:vAlign w:val="bottom"/>
          </w:tcPr>
          <w:p>
            <w:pPr>
              <w:jc w:val="right"/>
              <w:ind w:right="1523"/>
              <w:spacing w:after="0"/>
              <w:rPr>
                <w:sz w:val="20"/>
                <w:szCs w:val="20"/>
                <w:color w:val="auto"/>
              </w:rPr>
            </w:pPr>
            <w:r>
              <w:rPr>
                <w:rFonts w:ascii="Arial" w:cs="Arial" w:eastAsia="Arial" w:hAnsi="Arial"/>
                <w:sz w:val="18"/>
                <w:szCs w:val="18"/>
                <w:color w:val="auto"/>
              </w:rPr>
              <w:t>, 2015.</w:t>
            </w:r>
          </w:p>
        </w:tc>
      </w:tr>
      <w:tr>
        <w:trPr>
          <w:trHeight w:val="432"/>
        </w:trPr>
        <w:tc>
          <w:tcPr>
            <w:tcW w:w="5520" w:type="dxa"/>
            <w:vAlign w:val="bottom"/>
            <w:gridSpan w:val="2"/>
          </w:tcPr>
          <w:p>
            <w:pPr>
              <w:jc w:val="right"/>
              <w:spacing w:after="0"/>
              <w:rPr>
                <w:sz w:val="20"/>
                <w:szCs w:val="20"/>
                <w:color w:val="auto"/>
              </w:rPr>
            </w:pPr>
            <w:r>
              <w:rPr>
                <w:rFonts w:ascii="Arial" w:cs="Arial" w:eastAsia="Arial" w:hAnsi="Arial"/>
                <w:sz w:val="18"/>
                <w:szCs w:val="18"/>
                <w:b w:val="1"/>
                <w:bCs w:val="1"/>
                <w:color w:val="auto"/>
              </w:rPr>
              <w:t>_________________________</w:t>
            </w:r>
          </w:p>
        </w:tc>
        <w:tc>
          <w:tcPr>
            <w:tcW w:w="8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478"/>
        </w:trPr>
        <w:tc>
          <w:tcPr>
            <w:tcW w:w="5520" w:type="dxa"/>
            <w:vAlign w:val="bottom"/>
            <w:gridSpan w:val="2"/>
          </w:tcPr>
          <w:p>
            <w:pPr>
              <w:jc w:val="right"/>
              <w:ind w:right="4350"/>
              <w:spacing w:after="0"/>
              <w:rPr>
                <w:sz w:val="20"/>
                <w:szCs w:val="20"/>
                <w:color w:val="auto"/>
              </w:rPr>
            </w:pPr>
            <w:r>
              <w:rPr>
                <w:rFonts w:ascii="Arial" w:cs="Arial" w:eastAsia="Arial" w:hAnsi="Arial"/>
                <w:sz w:val="29"/>
                <w:szCs w:val="29"/>
                <w:b w:val="1"/>
                <w:bCs w:val="1"/>
                <w:color w:val="auto"/>
                <w:w w:val="87"/>
              </w:rPr>
              <w:t>Barclays</w:t>
            </w:r>
          </w:p>
        </w:tc>
        <w:tc>
          <w:tcPr>
            <w:tcW w:w="8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29"/>
                <w:szCs w:val="29"/>
                <w:b w:val="1"/>
                <w:bCs w:val="1"/>
                <w:color w:val="auto"/>
              </w:rPr>
              <w:t>Citi</w:t>
            </w:r>
            <w:r>
              <w:rPr>
                <w:rFonts w:ascii="Arial" w:cs="Arial" w:eastAsia="Arial" w:hAnsi="Arial"/>
                <w:sz w:val="27"/>
                <w:szCs w:val="27"/>
                <w:b w:val="1"/>
                <w:bCs w:val="1"/>
                <w:color w:val="auto"/>
              </w:rPr>
              <w:t>group</w:t>
            </w:r>
          </w:p>
        </w:tc>
      </w:tr>
      <w:tr>
        <w:trPr>
          <w:trHeight w:val="387"/>
        </w:trPr>
        <w:tc>
          <w:tcPr>
            <w:tcW w:w="20" w:type="dxa"/>
            <w:vAlign w:val="bottom"/>
          </w:tcPr>
          <w:p>
            <w:pPr>
              <w:spacing w:after="0"/>
              <w:rPr>
                <w:sz w:val="24"/>
                <w:szCs w:val="24"/>
                <w:color w:val="auto"/>
              </w:rPr>
            </w:pPr>
          </w:p>
        </w:tc>
        <w:tc>
          <w:tcPr>
            <w:tcW w:w="5500" w:type="dxa"/>
            <w:vAlign w:val="bottom"/>
          </w:tcPr>
          <w:p>
            <w:pPr>
              <w:jc w:val="right"/>
              <w:ind w:right="570"/>
              <w:spacing w:after="0"/>
              <w:rPr>
                <w:sz w:val="20"/>
                <w:szCs w:val="20"/>
                <w:color w:val="auto"/>
              </w:rPr>
            </w:pPr>
            <w:r>
              <w:rPr>
                <w:rFonts w:ascii="Arial" w:cs="Arial" w:eastAsia="Arial" w:hAnsi="Arial"/>
                <w:sz w:val="18"/>
                <w:szCs w:val="18"/>
                <w:color w:val="auto"/>
              </w:rPr>
              <w:t>The date of this prospectus is</w:t>
            </w:r>
          </w:p>
        </w:tc>
        <w:tc>
          <w:tcPr>
            <w:tcW w:w="820" w:type="dxa"/>
            <w:vAlign w:val="bottom"/>
          </w:tcPr>
          <w:p>
            <w:pPr>
              <w:jc w:val="right"/>
              <w:ind w:right="210"/>
              <w:spacing w:after="0"/>
              <w:rPr>
                <w:sz w:val="20"/>
                <w:szCs w:val="20"/>
                <w:color w:val="auto"/>
              </w:rPr>
            </w:pPr>
            <w:r>
              <w:rPr>
                <w:rFonts w:ascii="Arial" w:cs="Arial" w:eastAsia="Arial" w:hAnsi="Arial"/>
                <w:sz w:val="18"/>
                <w:szCs w:val="18"/>
                <w:color w:val="auto"/>
                <w:w w:val="90"/>
              </w:rPr>
              <w:t>, 2015.</w:t>
            </w:r>
          </w:p>
        </w:tc>
        <w:tc>
          <w:tcPr>
            <w:tcW w:w="244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720" w:type="dxa"/>
            <w:vAlign w:val="bottom"/>
          </w:tcPr>
          <w:p>
            <w:pPr>
              <w:jc w:val="right"/>
              <w:ind w:right="110"/>
              <w:spacing w:after="0"/>
              <w:rPr>
                <w:sz w:val="20"/>
                <w:szCs w:val="20"/>
                <w:color w:val="auto"/>
              </w:rPr>
            </w:pPr>
            <w:r>
              <w:rPr>
                <w:rFonts w:ascii="Arial" w:cs="Arial" w:eastAsia="Arial" w:hAnsi="Arial"/>
                <w:sz w:val="16"/>
                <w:szCs w:val="16"/>
                <w:b w:val="1"/>
                <w:bCs w:val="1"/>
                <w:color w:val="auto"/>
              </w:rPr>
              <w:t>Page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 w:type="dxa"/>
            <w:vAlign w:val="bottom"/>
            <w:vMerge w:val="restart"/>
          </w:tcPr>
          <w:p>
            <w:pPr>
              <w:spacing w:after="0"/>
              <w:rPr>
                <w:sz w:val="5"/>
                <w:szCs w:val="5"/>
                <w:color w:val="auto"/>
              </w:rPr>
            </w:pPr>
          </w:p>
        </w:tc>
        <w:tc>
          <w:tcPr>
            <w:tcW w:w="800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Prospectus Summary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Risk Factors</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Special Note Regarding Forward-Looking Statements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Use of Proceeds</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Dividend Policy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Capitalization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Selected Consolidated Financial Data</w:t>
            </w: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Industry</w:t>
            </w:r>
          </w:p>
        </w:tc>
        <w:tc>
          <w:tcPr>
            <w:tcW w:w="7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Business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Management</w:t>
            </w: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Principal Shareholders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Certain Relationships and Related Party Transactions</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Share Capital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Shares Eligible for Future Sale</w:t>
            </w:r>
          </w:p>
        </w:tc>
        <w:tc>
          <w:tcPr>
            <w:tcW w:w="720" w:type="dxa"/>
            <w:vAlign w:val="bottom"/>
          </w:tcPr>
          <w:p>
            <w:pPr>
              <w:jc w:val="right"/>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Taxation and Israeli Government Programs Applicable to our Company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U.S. and Israeli Tax Consequences for our Shareholders</w:t>
            </w:r>
          </w:p>
        </w:tc>
        <w:tc>
          <w:tcPr>
            <w:tcW w:w="72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Underwriting</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Experts</w:t>
            </w: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Legal Matters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Enforceability of Civil Liabilities</w:t>
            </w: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Where You Can Find Additional Information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Index to Consolidated Financial Statements</w:t>
            </w:r>
          </w:p>
        </w:tc>
        <w:tc>
          <w:tcPr>
            <w:tcW w:w="720" w:type="dxa"/>
            <w:vAlign w:val="bottom"/>
          </w:tcPr>
          <w:p>
            <w:pPr>
              <w:jc w:val="right"/>
              <w:spacing w:after="0"/>
              <w:rPr>
                <w:sz w:val="20"/>
                <w:szCs w:val="20"/>
                <w:color w:val="auto"/>
              </w:rPr>
            </w:pPr>
            <w:r>
              <w:rPr>
                <w:rFonts w:ascii="Arial" w:cs="Arial" w:eastAsia="Arial" w:hAnsi="Arial"/>
                <w:sz w:val="18"/>
                <w:szCs w:val="18"/>
                <w:color w:val="auto"/>
              </w:rPr>
              <w:t>F-1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248285</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Neither we nor the underwriters have authorized anyone to provide information different from that contained in this prospectus, any amendment or supplement to this prospectus or in any free writing prospectus prepared by us or on our behalf. Neither we nor the underwriters take any responsibility for, and can provide no assurance as to the reliability of, any information other than the information in this prospectus, any amendment or supplement to this prospectus, and any free writing prospectus prepared by us or on our behalf. Neither the delivery of this prospectus nor the sale of our ordinary shares means that information contained in this prospectus is correct after the date of this prospectus. This prospectus is not an offer to sell or the solicitation of an offer to buy our ordinary shares in any circumstances under which such offer or solicitation is unlawful.</w:t>
      </w:r>
    </w:p>
    <w:p>
      <w:pPr>
        <w:spacing w:after="0" w:line="152" w:lineRule="exact"/>
        <w:rPr>
          <w:sz w:val="20"/>
          <w:szCs w:val="20"/>
          <w:color w:val="auto"/>
        </w:rPr>
      </w:pPr>
    </w:p>
    <w:p>
      <w:pPr>
        <w:jc w:val="both"/>
        <w:ind w:left="120" w:right="299" w:firstLine="216"/>
        <w:spacing w:after="0" w:line="264" w:lineRule="auto"/>
        <w:rPr>
          <w:sz w:val="20"/>
          <w:szCs w:val="20"/>
          <w:color w:val="auto"/>
        </w:rPr>
      </w:pPr>
      <w:r>
        <w:rPr>
          <w:rFonts w:ascii="Arial" w:cs="Arial" w:eastAsia="Arial" w:hAnsi="Arial"/>
          <w:sz w:val="18"/>
          <w:szCs w:val="18"/>
          <w:color w:val="auto"/>
        </w:rPr>
        <w:t>This prospectus includes statistical data, market data and other industry data and forecasts, which we obtained from market research, publicly available information and independent industry publications and reports that we believe to be reliable sources.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64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95695" cy="7645400"/>
                    </a:xfrm>
                    <a:prstGeom prst="rect">
                      <a:avLst/>
                    </a:prstGeom>
                    <a:noFill/>
                  </pic:spPr>
                </pic:pic>
              </a:graphicData>
            </a:graphic>
          </wp:anchor>
        </w:drawing>
        <w:t>PROSPECTUS SUMMARY</w:t>
      </w:r>
    </w:p>
    <w:p>
      <w:pPr>
        <w:spacing w:after="0" w:line="229" w:lineRule="exact"/>
        <w:rPr>
          <w:sz w:val="20"/>
          <w:szCs w:val="20"/>
          <w:color w:val="auto"/>
        </w:rPr>
      </w:pPr>
    </w:p>
    <w:p>
      <w:pPr>
        <w:ind w:left="260" w:right="60"/>
        <w:spacing w:after="0" w:line="297" w:lineRule="auto"/>
        <w:rPr>
          <w:sz w:val="20"/>
          <w:szCs w:val="20"/>
          <w:color w:val="auto"/>
        </w:rPr>
      </w:pPr>
      <w:r>
        <w:rPr>
          <w:rFonts w:ascii="Arial" w:cs="Arial" w:eastAsia="Arial" w:hAnsi="Arial"/>
          <w:sz w:val="16"/>
          <w:szCs w:val="16"/>
          <w:b w:val="1"/>
          <w:bCs w:val="1"/>
          <w:i w:val="1"/>
          <w:iCs w:val="1"/>
          <w:color w:val="auto"/>
        </w:rPr>
        <w:t>This summary highlights selected information contained elsewhere in this prospectus. This summary does not contain all of the information you should consider before investing in our ordinary shares. You should read the entire prospectus carefully, including “Risk Factors” and our consolidated financial statements and notes to those consolidated financial statements, before making an investment decision. Unless the context otherwise requires, all references to “Kornit,” “we,” “us,” “our,” “the Company” and similar designations refer to Kornit Digital Ltd. and its subsidiaries.</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60"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73" w:lineRule="exact"/>
        <w:rPr>
          <w:sz w:val="20"/>
          <w:szCs w:val="20"/>
          <w:color w:val="auto"/>
        </w:rPr>
      </w:pPr>
    </w:p>
    <w:p>
      <w:pPr>
        <w:ind w:left="260" w:right="40" w:firstLine="216"/>
        <w:spacing w:after="0" w:line="290" w:lineRule="auto"/>
        <w:rPr>
          <w:sz w:val="20"/>
          <w:szCs w:val="20"/>
          <w:color w:val="auto"/>
        </w:rPr>
      </w:pPr>
      <w:r>
        <w:rPr>
          <w:rFonts w:ascii="Arial" w:cs="Arial" w:eastAsia="Arial" w:hAnsi="Arial"/>
          <w:sz w:val="16"/>
          <w:szCs w:val="16"/>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developed and offer a broad portfolio of differentiated digital printing solutions for the DTG market that</w:t>
      </w:r>
    </w:p>
    <w:p>
      <w:pPr>
        <w:spacing w:after="0" w:line="23" w:lineRule="exact"/>
        <w:rPr>
          <w:sz w:val="20"/>
          <w:szCs w:val="20"/>
          <w:color w:val="auto"/>
        </w:rPr>
      </w:pPr>
    </w:p>
    <w:p>
      <w:pPr>
        <w:ind w:left="260" w:right="40"/>
        <w:spacing w:after="0" w:line="252" w:lineRule="auto"/>
        <w:rPr>
          <w:sz w:val="20"/>
          <w:szCs w:val="20"/>
          <w:color w:val="auto"/>
        </w:rPr>
      </w:pPr>
      <w:r>
        <w:rPr>
          <w:rFonts w:ascii="Arial" w:cs="Arial" w:eastAsia="Arial" w:hAnsi="Arial"/>
          <w:sz w:val="18"/>
          <w:szCs w:val="18"/>
          <w:color w:val="auto"/>
        </w:rPr>
        <w:t>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w:t>
      </w:r>
    </w:p>
    <w:p>
      <w:pPr>
        <w:spacing w:after="0" w:line="194" w:lineRule="exact"/>
        <w:rPr>
          <w:sz w:val="20"/>
          <w:szCs w:val="20"/>
          <w:color w:val="auto"/>
        </w:rPr>
      </w:pPr>
    </w:p>
    <w:p>
      <w:pPr>
        <w:ind w:left="260" w:right="60" w:firstLine="216"/>
        <w:spacing w:after="0" w:line="290" w:lineRule="auto"/>
        <w:rPr>
          <w:sz w:val="20"/>
          <w:szCs w:val="20"/>
          <w:color w:val="auto"/>
        </w:rPr>
      </w:pPr>
      <w:r>
        <w:rPr>
          <w:rFonts w:ascii="Arial" w:cs="Arial" w:eastAsia="Arial" w:hAnsi="Arial"/>
          <w:sz w:val="16"/>
          <w:szCs w:val="16"/>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260" w:right="120" w:firstLine="216"/>
        <w:spacing w:after="0" w:line="286" w:lineRule="auto"/>
        <w:rPr>
          <w:sz w:val="20"/>
          <w:szCs w:val="20"/>
          <w:color w:val="auto"/>
        </w:rPr>
      </w:pPr>
      <w:r>
        <w:rPr>
          <w:rFonts w:ascii="Arial" w:cs="Arial" w:eastAsia="Arial" w:hAnsi="Arial"/>
          <w:sz w:val="17"/>
          <w:szCs w:val="17"/>
          <w:color w:val="auto"/>
        </w:rPr>
        <w:t>The retail value of the global textile industry was over $1 trillion in 2013 and is projected to grow between 2% and 5% annually through 2018, according to a November 2014 report by InfoTrends, a provider of market intelligence on the digital imaging industry. The global printed textile industry represents a sub-segment of the global textile industry. The global</w:t>
      </w:r>
    </w:p>
    <w:p>
      <w:pPr>
        <w:spacing w:after="0" w:line="200" w:lineRule="exact"/>
        <w:rPr>
          <w:sz w:val="20"/>
          <w:szCs w:val="20"/>
          <w:color w:val="auto"/>
        </w:rPr>
      </w:pPr>
    </w:p>
    <w:p>
      <w:pPr>
        <w:spacing w:after="0" w:line="285"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5" w:right="659" w:bottom="1440" w:gutter="0" w:footer="0" w:header="0"/>
        </w:sectPr>
      </w:pPr>
    </w:p>
    <w:bookmarkStart w:id="4" w:name="page5"/>
    <w:bookmarkEnd w:id="4"/>
    <w:p>
      <w:pPr>
        <w:ind w:left="260" w:right="2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80822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95695" cy="8082280"/>
                    </a:xfrm>
                    <a:prstGeom prst="rect">
                      <a:avLst/>
                    </a:prstGeom>
                    <a:noFill/>
                  </pic:spPr>
                </pic:pic>
              </a:graphicData>
            </a:graphic>
          </wp:anchor>
        </w:drawing>
        <w:t>printed textile industry involves printing on fabric rolls, finished garments and unsewn pieces of cut fabric at various stages along the value chain in the production of goods for the apparel, household, technical and display end markets.</w:t>
      </w:r>
    </w:p>
    <w:p>
      <w:pPr>
        <w:spacing w:after="0" w:line="147" w:lineRule="exact"/>
        <w:rPr>
          <w:sz w:val="20"/>
          <w:szCs w:val="20"/>
          <w:color w:val="auto"/>
        </w:rPr>
      </w:pPr>
    </w:p>
    <w:p>
      <w:pPr>
        <w:ind w:left="260" w:right="40" w:firstLine="216"/>
        <w:spacing w:after="0" w:line="271" w:lineRule="auto"/>
        <w:rPr>
          <w:sz w:val="20"/>
          <w:szCs w:val="20"/>
          <w:color w:val="auto"/>
        </w:rPr>
      </w:pPr>
      <w:r>
        <w:rPr>
          <w:rFonts w:ascii="Arial" w:cs="Arial" w:eastAsia="Arial" w:hAnsi="Arial"/>
          <w:sz w:val="17"/>
          <w:szCs w:val="17"/>
          <w:color w:val="auto"/>
        </w:rPr>
        <w:t>According to a 2014 report by Smithers Pira, a provider of market intelligence on the printing industry, the vast majority of the 33 billion square meters of annual output of the global printed textile industry, which can be categorized into clothing, household, technical and display applications, is currently produced using analog printing methods, specifically screen printing, using carousels for printing on garments and rotary screen printers for printing on rolls of fabric. The Pira report estimates that digital printing produces 650 million square meters of output, representing approximately 2% of total annual global printed textile output. According to the Pira report, digital textile printing output is forecasted to grow at 20% per year for the foreseeable future. Within digital textile printing, clothing applications represent the greatest amount of digital printed textile output and are projected to grow at a faster rate than household, technical and display applications.</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Solutions</w:t>
      </w:r>
    </w:p>
    <w:p>
      <w:pPr>
        <w:spacing w:after="0" w:line="216" w:lineRule="exact"/>
        <w:rPr>
          <w:sz w:val="20"/>
          <w:szCs w:val="20"/>
          <w:color w:val="auto"/>
        </w:rPr>
      </w:pPr>
    </w:p>
    <w:p>
      <w:pPr>
        <w:ind w:left="260" w:right="60" w:firstLine="216"/>
        <w:spacing w:after="0" w:line="257" w:lineRule="auto"/>
        <w:rPr>
          <w:sz w:val="20"/>
          <w:szCs w:val="20"/>
          <w:color w:val="auto"/>
        </w:rPr>
      </w:pPr>
      <w:r>
        <w:rPr>
          <w:rFonts w:ascii="Arial" w:cs="Arial" w:eastAsia="Arial" w:hAnsi="Arial"/>
          <w:sz w:val="18"/>
          <w:szCs w:val="18"/>
          <w:color w:val="auto"/>
        </w:rPr>
        <w:t>Our solutions include a combination of proprietary digital textile printing systems, ink and other consumables and associated software as well as value added services. 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202" w:lineRule="exact"/>
        <w:rPr>
          <w:sz w:val="20"/>
          <w:szCs w:val="20"/>
          <w:color w:val="auto"/>
        </w:rPr>
      </w:pPr>
    </w:p>
    <w:p>
      <w:pPr>
        <w:jc w:val="both"/>
        <w:ind w:left="680" w:right="40" w:hanging="213"/>
        <w:spacing w:after="0" w:line="238" w:lineRule="auto"/>
        <w:tabs>
          <w:tab w:leader="none" w:pos="692"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 Breeze and Thunder allow businesses</w:t>
      </w:r>
      <w:r>
        <w:rPr>
          <w:rFonts w:ascii="Arial" w:cs="Arial" w:eastAsia="Arial" w:hAnsi="Arial"/>
          <w:sz w:val="18"/>
          <w:szCs w:val="18"/>
          <w:i w:val="1"/>
          <w:iCs w:val="1"/>
          <w:color w:val="auto"/>
        </w:rPr>
        <w:t xml:space="preserve"> </w:t>
      </w:r>
      <w:r>
        <w:rPr>
          <w:rFonts w:ascii="Arial" w:cs="Arial" w:eastAsia="Arial" w:hAnsi="Arial"/>
          <w:sz w:val="18"/>
          <w:szCs w:val="18"/>
          <w:color w:val="auto"/>
        </w:rPr>
        <w:t>to adopt digital technology with a limited upfront investment and use the same technology as our high throughput systems but with smaller garment printing areas and at lower throughput levels.</w:t>
      </w:r>
    </w:p>
    <w:p>
      <w:pPr>
        <w:spacing w:after="0" w:line="216" w:lineRule="exact"/>
        <w:rPr>
          <w:rFonts w:ascii="Arial" w:cs="Arial" w:eastAsia="Arial" w:hAnsi="Arial"/>
          <w:sz w:val="22"/>
          <w:szCs w:val="22"/>
          <w:i w:val="1"/>
          <w:iCs w:val="1"/>
          <w:color w:val="auto"/>
        </w:rPr>
      </w:pPr>
    </w:p>
    <w:p>
      <w:pPr>
        <w:jc w:val="both"/>
        <w:ind w:left="680" w:hanging="213"/>
        <w:spacing w:after="0" w:line="238" w:lineRule="auto"/>
        <w:tabs>
          <w:tab w:leader="none" w:pos="706" w:val="left"/>
        </w:tabs>
        <w:numPr>
          <w:ilvl w:val="0"/>
          <w:numId w:val="2"/>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 Paradigm</w:t>
      </w:r>
      <w:r>
        <w:rPr>
          <w:rFonts w:ascii="Arial" w:cs="Arial" w:eastAsia="Arial" w:hAnsi="Arial"/>
          <w:sz w:val="18"/>
          <w:szCs w:val="18"/>
          <w:i w:val="1"/>
          <w:iCs w:val="1"/>
          <w:color w:val="auto"/>
        </w:rPr>
        <w:t xml:space="preserve"> </w:t>
      </w:r>
      <w:r>
        <w:rPr>
          <w:rFonts w:ascii="Arial" w:cs="Arial" w:eastAsia="Arial" w:hAnsi="Arial"/>
          <w:sz w:val="18"/>
          <w:szCs w:val="18"/>
          <w:color w:val="auto"/>
        </w:rPr>
        <w:t>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260" w:right="100" w:firstLine="216"/>
        <w:spacing w:after="0" w:line="272" w:lineRule="auto"/>
        <w:rPr>
          <w:sz w:val="20"/>
          <w:szCs w:val="20"/>
          <w:color w:val="auto"/>
        </w:rPr>
      </w:pPr>
      <w:r>
        <w:rPr>
          <w:rFonts w:ascii="Arial" w:cs="Arial" w:eastAsia="Arial" w:hAnsi="Arial"/>
          <w:sz w:val="17"/>
          <w:szCs w:val="17"/>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enables us to print on a wide range of fabrics without the need for a separate pre-treatment process or system reconfiguration, resulting in minimal setup times for each run and high throughput levels. We are also investing in the development of new ink formulas for our new systems in order to expand the range of fabrics on which we can print and further improve the quality of our high resolution images and designs.</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key competitive strengths:</w:t>
      </w:r>
    </w:p>
    <w:p>
      <w:pPr>
        <w:spacing w:after="0" w:line="235" w:lineRule="exact"/>
        <w:rPr>
          <w:sz w:val="20"/>
          <w:szCs w:val="20"/>
          <w:color w:val="auto"/>
        </w:rPr>
      </w:pPr>
    </w:p>
    <w:p>
      <w:pPr>
        <w:ind w:left="680" w:right="20" w:hanging="213"/>
        <w:spacing w:after="0" w:line="262" w:lineRule="auto"/>
        <w:tabs>
          <w:tab w:leader="none" w:pos="692" w:val="left"/>
        </w:tabs>
        <w:numPr>
          <w:ilvl w:val="0"/>
          <w:numId w:val="3"/>
        </w:numPr>
        <w:rPr>
          <w:rFonts w:ascii="Arial" w:cs="Arial" w:eastAsia="Arial" w:hAnsi="Arial"/>
          <w:sz w:val="21"/>
          <w:szCs w:val="21"/>
          <w:b w:val="1"/>
          <w:bCs w:val="1"/>
          <w:color w:val="auto"/>
        </w:rPr>
      </w:pPr>
      <w:r>
        <w:rPr>
          <w:rFonts w:ascii="Arial" w:cs="Arial" w:eastAsia="Arial" w:hAnsi="Arial"/>
          <w:sz w:val="17"/>
          <w:szCs w:val="17"/>
          <w:b w:val="1"/>
          <w:bCs w:val="1"/>
          <w:color w:val="auto"/>
        </w:rPr>
        <w:t>Leading player in fast-growing digital DTG printing market</w:t>
      </w:r>
      <w:r>
        <w:rPr>
          <w:rFonts w:ascii="Arial" w:cs="Arial" w:eastAsia="Arial" w:hAnsi="Arial"/>
          <w:sz w:val="17"/>
          <w:szCs w:val="17"/>
          <w:color w:val="auto"/>
        </w:rPr>
        <w:t>. We are a leading player in the fast-growing digital DTG</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market based on our sales and installed base of more than 1,200 systems globally. According to the Pira report, global revenue from digital textile printing equipment and ink is expected to grow at a 17% compound annual growth rate between 2014 and 2019. We believe that high throughput DTG and R2R applications in the textile printing market are positioned to grow at a rate greater than the 17% projected industry growth rate between 2014 and 2019, as estimated by the Pira report. The Pira report estimates that the DTG market has an addressable opportunity of five to 10 billion garments a year, with over 300,000 sites globally printing primarily t-shirts and other apparel.</w:t>
      </w:r>
    </w:p>
    <w:p>
      <w:pPr>
        <w:spacing w:after="0" w:line="198" w:lineRule="exact"/>
        <w:rPr>
          <w:rFonts w:ascii="Arial" w:cs="Arial" w:eastAsia="Arial" w:hAnsi="Arial"/>
          <w:sz w:val="21"/>
          <w:szCs w:val="21"/>
          <w:b w:val="1"/>
          <w:bCs w:val="1"/>
          <w:color w:val="auto"/>
        </w:rPr>
      </w:pPr>
    </w:p>
    <w:p>
      <w:pPr>
        <w:ind w:left="680" w:right="20" w:hanging="213"/>
        <w:spacing w:after="0" w:line="260" w:lineRule="auto"/>
        <w:tabs>
          <w:tab w:leader="none" w:pos="692" w:val="left"/>
        </w:tabs>
        <w:numPr>
          <w:ilvl w:val="0"/>
          <w:numId w:val="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Disruptive technology that enables our customers to adopt new or improve existing business models. </w:t>
      </w:r>
      <w:r>
        <w:rPr>
          <w:rFonts w:ascii="Arial" w:cs="Arial" w:eastAsia="Arial" w:hAnsi="Arial"/>
          <w:sz w:val="17"/>
          <w:szCs w:val="17"/>
          <w:color w:val="auto"/>
        </w:rPr>
        <w:t>Our digital</w:t>
      </w:r>
      <w:r>
        <w:rPr>
          <w:rFonts w:ascii="Arial" w:cs="Arial" w:eastAsia="Arial" w:hAnsi="Arial"/>
          <w:sz w:val="17"/>
          <w:szCs w:val="17"/>
          <w:b w:val="1"/>
          <w:bCs w:val="1"/>
          <w:color w:val="auto"/>
        </w:rPr>
        <w:t xml:space="preserve"> </w:t>
      </w:r>
      <w:r>
        <w:rPr>
          <w:rFonts w:ascii="Arial" w:cs="Arial" w:eastAsia="Arial" w:hAnsi="Arial"/>
          <w:sz w:val="17"/>
          <w:szCs w:val="17"/>
          <w:color w:val="auto"/>
        </w:rPr>
        <w:t>printing solutions allow our customers to develop new or improve existing business models by enabling them to produce short to medium runs of high-quality customized garments efficiently. This facilitates online business models that manufacture on a “produce to order” basis and allows brand owners to produce garments in house.</w:t>
      </w:r>
    </w:p>
    <w:p>
      <w:pPr>
        <w:spacing w:after="0" w:line="197" w:lineRule="exact"/>
        <w:rPr>
          <w:rFonts w:ascii="Arial" w:cs="Arial" w:eastAsia="Arial" w:hAnsi="Arial"/>
          <w:sz w:val="21"/>
          <w:szCs w:val="21"/>
          <w:b w:val="1"/>
          <w:bCs w:val="1"/>
          <w:color w:val="auto"/>
        </w:rPr>
      </w:pPr>
    </w:p>
    <w:p>
      <w:pPr>
        <w:ind w:left="680" w:right="20" w:hanging="213"/>
        <w:spacing w:after="0" w:line="243" w:lineRule="auto"/>
        <w:tabs>
          <w:tab w:leader="none" w:pos="692"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Attractive business model. </w:t>
      </w:r>
      <w:r>
        <w:rPr>
          <w:rFonts w:ascii="Arial" w:cs="Arial" w:eastAsia="Arial" w:hAnsi="Arial"/>
          <w:sz w:val="18"/>
          <w:szCs w:val="18"/>
          <w:color w:val="auto"/>
        </w:rPr>
        <w:t>Our existing and growing installed base of systems results in recurring sales of ink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consumables. Recurring sales of ink and other consumables have historically offered us visibility into a significant component of our results of operations. We believe that our recurring sales model also enables us to foster close customer relationships and allows us to provide value added services to our customers.</w:t>
      </w:r>
    </w:p>
    <w:p>
      <w:pPr>
        <w:spacing w:after="0" w:line="29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9" w:right="659" w:bottom="1440" w:gutter="0" w:footer="0" w:header="0"/>
        </w:sectPr>
      </w:pPr>
    </w:p>
    <w:bookmarkStart w:id="5" w:name="page6"/>
    <w:bookmarkEnd w:id="5"/>
    <w:p>
      <w:pPr>
        <w:ind w:left="680" w:hanging="213"/>
        <w:spacing w:after="0" w:line="302" w:lineRule="auto"/>
        <w:tabs>
          <w:tab w:leader="none" w:pos="692"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207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95695" cy="7207885"/>
                    </a:xfrm>
                    <a:prstGeom prst="rect">
                      <a:avLst/>
                    </a:prstGeom>
                    <a:noFill/>
                  </pic:spPr>
                </pic:pic>
              </a:graphicData>
            </a:graphic>
          </wp:anchor>
        </w:drawing>
        <w:t xml:space="preserve">Robust intellectual property portfolio driven by an innovation-based culture. </w:t>
      </w:r>
      <w:r>
        <w:rPr>
          <w:rFonts w:ascii="Arial" w:cs="Arial" w:eastAsia="Arial" w:hAnsi="Arial"/>
          <w:sz w:val="16"/>
          <w:szCs w:val="16"/>
          <w:color w:val="auto"/>
        </w:rPr>
        <w:t>Our intellectual property portfolio reflects</w:t>
      </w:r>
      <w:r>
        <w:rPr>
          <w:rFonts w:ascii="Arial" w:cs="Arial" w:eastAsia="Arial" w:hAnsi="Arial"/>
          <w:sz w:val="16"/>
          <w:szCs w:val="16"/>
          <w:b w:val="1"/>
          <w:bCs w:val="1"/>
          <w:color w:val="auto"/>
        </w:rPr>
        <w:t xml:space="preserve"> </w:t>
      </w:r>
      <w:r>
        <w:rPr>
          <w:rFonts w:ascii="Arial" w:cs="Arial" w:eastAsia="Arial" w:hAnsi="Arial"/>
          <w:sz w:val="16"/>
          <w:szCs w:val="16"/>
          <w:color w:val="auto"/>
        </w:rPr>
        <w:t>over a decade of significant investments in digital textile printing, which we believe creates significant barriers to entry.</w:t>
      </w:r>
    </w:p>
    <w:p>
      <w:pPr>
        <w:spacing w:after="0" w:line="155" w:lineRule="exact"/>
        <w:rPr>
          <w:rFonts w:ascii="Arial" w:cs="Arial" w:eastAsia="Arial" w:hAnsi="Arial"/>
          <w:sz w:val="19"/>
          <w:szCs w:val="19"/>
          <w:b w:val="1"/>
          <w:bCs w:val="1"/>
          <w:color w:val="auto"/>
        </w:rPr>
      </w:pPr>
    </w:p>
    <w:p>
      <w:pPr>
        <w:ind w:left="680" w:right="120" w:hanging="213"/>
        <w:spacing w:after="0" w:line="243" w:lineRule="auto"/>
        <w:tabs>
          <w:tab w:leader="none" w:pos="692"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Extensive product portfolio and strong new product pipeline. </w:t>
      </w:r>
      <w:r>
        <w:rPr>
          <w:rFonts w:ascii="Arial" w:cs="Arial" w:eastAsia="Arial" w:hAnsi="Arial"/>
          <w:sz w:val="18"/>
          <w:szCs w:val="18"/>
          <w:color w:val="auto"/>
        </w:rPr>
        <w:t>Our DTG systems are suited for smaller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operators with limited budgets, as well as mass producers with mature operations and complex needs. In addition, we plan to introduce two new solutions to market: the Allegro, a one-step, integrated R2R printing and drying system, and the Vulcan, a cost-effective digital substitution for carousel screen printing.</w:t>
      </w:r>
    </w:p>
    <w:p>
      <w:pPr>
        <w:spacing w:after="0" w:line="209" w:lineRule="exact"/>
        <w:rPr>
          <w:rFonts w:ascii="Arial" w:cs="Arial" w:eastAsia="Arial" w:hAnsi="Arial"/>
          <w:sz w:val="22"/>
          <w:szCs w:val="22"/>
          <w:b w:val="1"/>
          <w:bCs w:val="1"/>
          <w:color w:val="auto"/>
        </w:rPr>
      </w:pPr>
    </w:p>
    <w:p>
      <w:pPr>
        <w:ind w:left="680" w:right="40" w:hanging="213"/>
        <w:spacing w:after="0" w:line="243" w:lineRule="auto"/>
        <w:tabs>
          <w:tab w:leader="none" w:pos="692"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Environmentally friendly printing processes. </w:t>
      </w:r>
      <w:r>
        <w:rPr>
          <w:rFonts w:ascii="Arial" w:cs="Arial" w:eastAsia="Arial" w:hAnsi="Arial"/>
          <w:sz w:val="18"/>
          <w:szCs w:val="18"/>
          <w:color w:val="auto"/>
        </w:rPr>
        <w:t>A significant portion of global industrial water pollution comes from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and dyeing. Our printing process eliminates the need for separate pre-treatment, as well as steaming, washing or rinsing of textiles during the printing process, which leads to a significant reduction in water consumption compared to conventional printing methods.</w:t>
      </w:r>
    </w:p>
    <w:p>
      <w:pPr>
        <w:spacing w:after="0" w:line="209" w:lineRule="exact"/>
        <w:rPr>
          <w:rFonts w:ascii="Arial" w:cs="Arial" w:eastAsia="Arial" w:hAnsi="Arial"/>
          <w:sz w:val="22"/>
          <w:szCs w:val="22"/>
          <w:b w:val="1"/>
          <w:bCs w:val="1"/>
          <w:color w:val="auto"/>
        </w:rPr>
      </w:pPr>
    </w:p>
    <w:p>
      <w:pPr>
        <w:ind w:left="680" w:hanging="213"/>
        <w:spacing w:after="0" w:line="302" w:lineRule="auto"/>
        <w:tabs>
          <w:tab w:leader="none" w:pos="814" w:val="left"/>
        </w:tabs>
        <w:numPr>
          <w:ilvl w:val="0"/>
          <w:numId w:val="4"/>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Experienced management team. </w:t>
      </w:r>
      <w:r>
        <w:rPr>
          <w:rFonts w:ascii="Arial" w:cs="Arial" w:eastAsia="Arial" w:hAnsi="Arial"/>
          <w:sz w:val="16"/>
          <w:szCs w:val="16"/>
          <w:color w:val="auto"/>
        </w:rPr>
        <w:t>We believe that our management teams’ industry expertise, long history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extensive experience in running global publicly traded companies will enable us to execute our growth strategy.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16" w:lineRule="exact"/>
        <w:rPr>
          <w:sz w:val="20"/>
          <w:szCs w:val="20"/>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capitalize on continued growth of the digital DTG market;</w:t>
      </w:r>
    </w:p>
    <w:p>
      <w:pPr>
        <w:spacing w:after="0" w:line="192"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focus on fast-growing web-to-print businesses;</w:t>
      </w:r>
    </w:p>
    <w:p>
      <w:pPr>
        <w:spacing w:after="0" w:line="192"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22"/>
          <w:szCs w:val="22"/>
          <w:color w:val="auto"/>
        </w:rPr>
      </w:pPr>
      <w:r>
        <w:rPr>
          <w:rFonts w:ascii="Arial" w:cs="Arial" w:eastAsia="Arial" w:hAnsi="Arial"/>
          <w:sz w:val="18"/>
          <w:szCs w:val="18"/>
          <w:color w:val="auto"/>
        </w:rPr>
        <w:t>drive adoption of digital DTG printing solutions by customers who primarily use screen printing carousels; and</w:t>
      </w:r>
    </w:p>
    <w:p>
      <w:pPr>
        <w:spacing w:after="0" w:line="215" w:lineRule="exact"/>
        <w:rPr>
          <w:rFonts w:ascii="Arial" w:cs="Arial" w:eastAsia="Arial" w:hAnsi="Arial"/>
          <w:sz w:val="22"/>
          <w:szCs w:val="22"/>
          <w:color w:val="auto"/>
        </w:rPr>
      </w:pPr>
    </w:p>
    <w:p>
      <w:pPr>
        <w:ind w:left="700" w:hanging="233"/>
        <w:spacing w:after="0"/>
        <w:tabs>
          <w:tab w:leader="none" w:pos="700" w:val="left"/>
        </w:tabs>
        <w:numPr>
          <w:ilvl w:val="0"/>
          <w:numId w:val="5"/>
        </w:numPr>
        <w:rPr>
          <w:rFonts w:ascii="Arial" w:cs="Arial" w:eastAsia="Arial" w:hAnsi="Arial"/>
          <w:sz w:val="19"/>
          <w:szCs w:val="19"/>
          <w:color w:val="auto"/>
        </w:rPr>
      </w:pPr>
      <w:r>
        <w:rPr>
          <w:rFonts w:ascii="Arial" w:cs="Arial" w:eastAsia="Arial" w:hAnsi="Arial"/>
          <w:sz w:val="16"/>
          <w:szCs w:val="16"/>
          <w:color w:val="auto"/>
        </w:rPr>
        <w:t>extend our technological leadership through ongoing research and development and continuing to introduce new products.</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ind w:left="260" w:right="220" w:firstLine="216"/>
        <w:spacing w:after="0" w:line="257" w:lineRule="auto"/>
        <w:rPr>
          <w:sz w:val="20"/>
          <w:szCs w:val="20"/>
          <w:color w:val="auto"/>
        </w:rPr>
      </w:pPr>
      <w:r>
        <w:rPr>
          <w:rFonts w:ascii="Arial" w:cs="Arial" w:eastAsia="Arial" w:hAnsi="Arial"/>
          <w:sz w:val="18"/>
          <w:szCs w:val="18"/>
          <w:color w:val="auto"/>
        </w:rPr>
        <w:t>Investing in our ordinary shares involves risks. You should carefully consider the risks described in “Risk Factors” section beginning on page 9 before making a decision to invest in our ordinary shares. If any of these risks actually occur, our business, financial condition or results of operations would likely be materially adversely affected. In such case, the trading price of our ordinary shares would likely decline, and you may lose all or part of your investment. The following is a summary of some of the principal risks we face:</w:t>
      </w:r>
    </w:p>
    <w:p>
      <w:pPr>
        <w:spacing w:after="0" w:line="202" w:lineRule="exact"/>
        <w:rPr>
          <w:sz w:val="20"/>
          <w:szCs w:val="20"/>
          <w:color w:val="auto"/>
        </w:rPr>
      </w:pPr>
    </w:p>
    <w:p>
      <w:pPr>
        <w:ind w:left="680" w:right="12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the market for digital textile printing does not develop as we anticipate, our sales may not grow as quickly as expected and our share price could decline.</w:t>
      </w:r>
    </w:p>
    <w:p>
      <w:pPr>
        <w:spacing w:after="0" w:line="217" w:lineRule="exact"/>
        <w:rPr>
          <w:rFonts w:ascii="Arial" w:cs="Arial" w:eastAsia="Arial" w:hAnsi="Arial"/>
          <w:sz w:val="22"/>
          <w:szCs w:val="22"/>
          <w:color w:val="auto"/>
        </w:rPr>
      </w:pPr>
    </w:p>
    <w:p>
      <w:pPr>
        <w:ind w:left="68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If our customers use alternative ink or other consumables in our systems, our gross margin could decline significantly, and our business could be harmed.</w:t>
      </w:r>
    </w:p>
    <w:p>
      <w:pPr>
        <w:spacing w:after="0" w:line="194" w:lineRule="exact"/>
        <w:rPr>
          <w:rFonts w:ascii="Arial" w:cs="Arial" w:eastAsia="Arial" w:hAnsi="Arial"/>
          <w:sz w:val="22"/>
          <w:szCs w:val="22"/>
          <w:color w:val="auto"/>
        </w:rPr>
      </w:pPr>
    </w:p>
    <w:p>
      <w:pPr>
        <w:ind w:left="700" w:hanging="233"/>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failure to compete successfully could cause our revenues and demand for our solutions to decline.</w:t>
      </w:r>
    </w:p>
    <w:p>
      <w:pPr>
        <w:spacing w:after="0" w:line="215" w:lineRule="exact"/>
        <w:rPr>
          <w:rFonts w:ascii="Arial" w:cs="Arial" w:eastAsia="Arial" w:hAnsi="Arial"/>
          <w:sz w:val="22"/>
          <w:szCs w:val="22"/>
          <w:color w:val="auto"/>
        </w:rPr>
      </w:pPr>
    </w:p>
    <w:p>
      <w:pPr>
        <w:ind w:left="680" w:right="520" w:hanging="213"/>
        <w:spacing w:after="0" w:line="251" w:lineRule="auto"/>
        <w:tabs>
          <w:tab w:leader="none" w:pos="692" w:val="left"/>
        </w:tabs>
        <w:numPr>
          <w:ilvl w:val="0"/>
          <w:numId w:val="6"/>
        </w:numPr>
        <w:rPr>
          <w:rFonts w:ascii="Arial" w:cs="Arial" w:eastAsia="Arial" w:hAnsi="Arial"/>
          <w:sz w:val="21"/>
          <w:szCs w:val="21"/>
          <w:color w:val="auto"/>
        </w:rPr>
      </w:pPr>
      <w:r>
        <w:rPr>
          <w:rFonts w:ascii="Arial" w:cs="Arial" w:eastAsia="Arial" w:hAnsi="Arial"/>
          <w:sz w:val="17"/>
          <w:szCs w:val="17"/>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204" w:lineRule="exact"/>
        <w:rPr>
          <w:rFonts w:ascii="Arial" w:cs="Arial" w:eastAsia="Arial" w:hAnsi="Arial"/>
          <w:sz w:val="21"/>
          <w:szCs w:val="21"/>
          <w:color w:val="auto"/>
        </w:rPr>
      </w:pPr>
    </w:p>
    <w:p>
      <w:pPr>
        <w:ind w:left="680" w:right="680" w:hanging="213"/>
        <w:spacing w:after="0" w:line="232" w:lineRule="auto"/>
        <w:tabs>
          <w:tab w:leader="none" w:pos="692" w:val="left"/>
        </w:tabs>
        <w:numPr>
          <w:ilvl w:val="0"/>
          <w:numId w:val="6"/>
        </w:numPr>
        <w:rPr>
          <w:rFonts w:ascii="Arial" w:cs="Arial" w:eastAsia="Arial" w:hAnsi="Arial"/>
          <w:sz w:val="22"/>
          <w:szCs w:val="22"/>
          <w:color w:val="auto"/>
        </w:rPr>
      </w:pPr>
      <w:r>
        <w:rPr>
          <w:rFonts w:ascii="Arial" w:cs="Arial" w:eastAsia="Arial" w:hAnsi="Arial"/>
          <w:sz w:val="18"/>
          <w:szCs w:val="18"/>
          <w:color w:val="auto"/>
        </w:rPr>
        <w:t>Our quarterly results of operations have fluctuated in the past and may fluctuate in the future due to variability in our revenues.</w:t>
      </w:r>
    </w:p>
    <w:p>
      <w:pPr>
        <w:spacing w:after="0" w:line="30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634" w:right="659" w:bottom="1440" w:gutter="0" w:footer="0" w:header="0"/>
        </w:sectPr>
      </w:pPr>
    </w:p>
    <w:bookmarkStart w:id="6" w:name="page7"/>
    <w:bookmarkEnd w:id="6"/>
    <w:p>
      <w:pPr>
        <w:ind w:left="680" w:right="3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57931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95695" cy="5793105"/>
                    </a:xfrm>
                    <a:prstGeom prst="rect">
                      <a:avLst/>
                    </a:prstGeom>
                    <a:noFill/>
                  </pic:spPr>
                </pic:pic>
              </a:graphicData>
            </a:graphic>
          </wp:anchor>
        </w:drawing>
        <w:t>If our relationships with suppliers, especially with single source suppliers of components, were to terminate, our business could be harmed.</w:t>
      </w:r>
    </w:p>
    <w:p>
      <w:pPr>
        <w:spacing w:after="0" w:line="217" w:lineRule="exact"/>
        <w:rPr>
          <w:rFonts w:ascii="Arial" w:cs="Arial" w:eastAsia="Arial" w:hAnsi="Arial"/>
          <w:sz w:val="22"/>
          <w:szCs w:val="22"/>
          <w:color w:val="auto"/>
        </w:rPr>
      </w:pPr>
    </w:p>
    <w:p>
      <w:pPr>
        <w:ind w:left="680" w:right="1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If we cannot successfully market our systems to major brand owners and fashion designers, our future growth and prospects could be harmed.</w:t>
      </w:r>
    </w:p>
    <w:p>
      <w:pPr>
        <w:spacing w:after="0" w:line="217" w:lineRule="exact"/>
        <w:rPr>
          <w:rFonts w:ascii="Arial" w:cs="Arial" w:eastAsia="Arial" w:hAnsi="Arial"/>
          <w:sz w:val="22"/>
          <w:szCs w:val="22"/>
          <w:color w:val="auto"/>
        </w:rPr>
      </w:pPr>
    </w:p>
    <w:p>
      <w:pPr>
        <w:ind w:left="680" w:right="6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Disruption of operations at our manufacturing site or those of third-party manufacturers could prevent us from filling customer orders on a timely basis.</w:t>
      </w:r>
    </w:p>
    <w:p>
      <w:pPr>
        <w:spacing w:after="0" w:line="217" w:lineRule="exact"/>
        <w:rPr>
          <w:rFonts w:ascii="Arial" w:cs="Arial" w:eastAsia="Arial" w:hAnsi="Arial"/>
          <w:sz w:val="22"/>
          <w:szCs w:val="22"/>
          <w:color w:val="auto"/>
        </w:rPr>
      </w:pPr>
    </w:p>
    <w:p>
      <w:pPr>
        <w:ind w:left="680" w:right="280" w:hanging="213"/>
        <w:spacing w:after="0" w:line="232" w:lineRule="auto"/>
        <w:tabs>
          <w:tab w:leader="none" w:pos="692" w:val="left"/>
        </w:tabs>
        <w:numPr>
          <w:ilvl w:val="0"/>
          <w:numId w:val="7"/>
        </w:numPr>
        <w:rPr>
          <w:rFonts w:ascii="Arial" w:cs="Arial" w:eastAsia="Arial" w:hAnsi="Arial"/>
          <w:sz w:val="22"/>
          <w:szCs w:val="22"/>
          <w:color w:val="auto"/>
        </w:rPr>
      </w:pPr>
      <w:r>
        <w:rPr>
          <w:rFonts w:ascii="Arial" w:cs="Arial" w:eastAsia="Arial" w:hAnsi="Arial"/>
          <w:sz w:val="18"/>
          <w:szCs w:val="18"/>
          <w:color w:val="auto"/>
        </w:rPr>
        <w:t>We may not be able to introduce new systems or other technological enhancements to the market on the timescales that we project.</w:t>
      </w:r>
    </w:p>
    <w:p>
      <w:pPr>
        <w:spacing w:after="0" w:line="217" w:lineRule="exact"/>
        <w:rPr>
          <w:rFonts w:ascii="Arial" w:cs="Arial" w:eastAsia="Arial" w:hAnsi="Arial"/>
          <w:sz w:val="22"/>
          <w:szCs w:val="22"/>
          <w:color w:val="auto"/>
        </w:rPr>
      </w:pPr>
    </w:p>
    <w:p>
      <w:pPr>
        <w:ind w:left="680" w:hanging="213"/>
        <w:spacing w:after="0" w:line="232" w:lineRule="auto"/>
        <w:tabs>
          <w:tab w:leader="none" w:pos="706" w:val="left"/>
        </w:tabs>
        <w:numPr>
          <w:ilvl w:val="0"/>
          <w:numId w:val="7"/>
        </w:numPr>
        <w:rPr>
          <w:rFonts w:ascii="Arial" w:cs="Arial" w:eastAsia="Arial" w:hAnsi="Arial"/>
          <w:sz w:val="22"/>
          <w:szCs w:val="22"/>
          <w:color w:val="auto"/>
        </w:rPr>
      </w:pPr>
      <w:r>
        <w:rPr>
          <w:rFonts w:ascii="Arial" w:cs="Arial" w:eastAsia="Arial" w:hAnsi="Arial"/>
          <w:sz w:val="18"/>
          <w:szCs w:val="18"/>
          <w:color w:val="auto"/>
        </w:rPr>
        <w:t>Our Allegro system, which we expect to launch commercially in the next 18 months, may not achieve market acceptance or gain adequate market share.</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Principal Shareholder</w:t>
      </w:r>
    </w:p>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Following the closing of this offering, entities affiliated with Fortissimo Capital Fund II (Israel) L.P. will beneficially own</w:t>
      </w:r>
    </w:p>
    <w:p>
      <w:pPr>
        <w:spacing w:after="0" w:line="35" w:lineRule="exact"/>
        <w:rPr>
          <w:sz w:val="20"/>
          <w:szCs w:val="20"/>
          <w:color w:val="auto"/>
        </w:rPr>
      </w:pPr>
    </w:p>
    <w:p>
      <w:pPr>
        <w:ind w:left="260" w:right="20" w:firstLine="45"/>
        <w:spacing w:after="0" w:line="254" w:lineRule="auto"/>
        <w:rPr>
          <w:sz w:val="20"/>
          <w:szCs w:val="20"/>
          <w:color w:val="auto"/>
        </w:rPr>
      </w:pPr>
      <w:r>
        <w:rPr>
          <w:rFonts w:ascii="Arial" w:cs="Arial" w:eastAsia="Arial" w:hAnsi="Arial"/>
          <w:sz w:val="18"/>
          <w:szCs w:val="18"/>
          <w:color w:val="auto"/>
        </w:rPr>
        <w:t>% of our outstanding shares in the aggregate (or % if the underwriters exercise in full their option to purchase additional shares). Following the closing of this offering, we will not be a party to and are not otherwise aware of any voting agreement among our shareholders. For further information about the ownership of our ordinary shares following this offering, see “Principal Shareholders.”</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260" w:right="20" w:firstLine="216"/>
        <w:spacing w:after="0" w:line="273" w:lineRule="auto"/>
        <w:rPr>
          <w:sz w:val="20"/>
          <w:szCs w:val="20"/>
          <w:color w:val="auto"/>
        </w:rPr>
      </w:pPr>
      <w:r>
        <w:rPr>
          <w:rFonts w:ascii="Arial" w:cs="Arial" w:eastAsia="Arial" w:hAnsi="Arial"/>
          <w:sz w:val="17"/>
          <w:szCs w:val="17"/>
          <w:color w:val="auto"/>
        </w:rPr>
        <w:t>We were incorporated under the laws of the State of Israel on January 16, 2002. Our principal executive offices are located at 12 Ha’Amal Street, Rosh Ha’Ayin 4809246, Israel, and our telephone number is +972-3-908-5800. Our website address is www.kornit.com. The information contained on, or that can be accessed through, our website does not constitute a part of this prospectus and is not incorporated by reference herein. We have included our website address in this prospectus solely for informational purposes. Our agent for service of process in the United States is Kornit Digital North America Inc., located at 10541-10601 North Commerce Street, Mequon, Wisconsin 53092, and its telephone number is (262) 518-0200.</w:t>
      </w:r>
    </w:p>
    <w:p>
      <w:pPr>
        <w:spacing w:after="0" w:line="178" w:lineRule="exact"/>
        <w:rPr>
          <w:sz w:val="20"/>
          <w:szCs w:val="20"/>
          <w:color w:val="auto"/>
        </w:rPr>
      </w:pPr>
    </w:p>
    <w:p>
      <w:pPr>
        <w:ind w:left="260" w:right="120" w:firstLine="216"/>
        <w:spacing w:after="0" w:line="299" w:lineRule="auto"/>
        <w:rPr>
          <w:sz w:val="20"/>
          <w:szCs w:val="20"/>
          <w:color w:val="auto"/>
        </w:rPr>
      </w:pPr>
      <w:r>
        <w:rPr>
          <w:rFonts w:ascii="Arial" w:cs="Arial" w:eastAsia="Arial" w:hAnsi="Arial"/>
          <w:sz w:val="16"/>
          <w:szCs w:val="16"/>
          <w:color w:val="auto"/>
        </w:rPr>
        <w:t>Throughout this prospectus, we refer to various trademarks, service marks and trade names that we use in our business. The “Kornit Digital” design logo and other trademarks or service marks of Kornit Digital Ltd. appearing in this prospectus are the property of Kornit Digital Ltd. We have several other registered trademarks, service marks and pending applications relating to our</w:t>
      </w:r>
    </w:p>
    <w:p>
      <w:pPr>
        <w:spacing w:after="0" w:line="1" w:lineRule="exact"/>
        <w:rPr>
          <w:sz w:val="20"/>
          <w:szCs w:val="20"/>
          <w:color w:val="auto"/>
        </w:rPr>
      </w:pPr>
    </w:p>
    <w:p>
      <w:pPr>
        <w:ind w:left="260" w:right="240"/>
        <w:spacing w:after="0" w:line="243" w:lineRule="auto"/>
        <w:rPr>
          <w:sz w:val="20"/>
          <w:szCs w:val="20"/>
          <w:color w:val="auto"/>
        </w:rPr>
      </w:pPr>
      <w:r>
        <w:rPr>
          <w:rFonts w:ascii="Arial" w:cs="Arial" w:eastAsia="Arial" w:hAnsi="Arial"/>
          <w:sz w:val="18"/>
          <w:szCs w:val="18"/>
          <w:color w:val="auto"/>
        </w:rPr>
        <w:t>solutions. Although we have omitted the “</w:t>
      </w:r>
      <w:r>
        <w:rPr>
          <w:rFonts w:ascii="Arial" w:cs="Arial" w:eastAsia="Arial" w:hAnsi="Arial"/>
          <w:sz w:val="21"/>
          <w:szCs w:val="21"/>
          <w:color w:val="auto"/>
          <w:vertAlign w:val="superscript"/>
        </w:rPr>
        <w:t>®</w:t>
      </w:r>
      <w:r>
        <w:rPr>
          <w:rFonts w:ascii="Arial" w:cs="Arial" w:eastAsia="Arial" w:hAnsi="Arial"/>
          <w:sz w:val="18"/>
          <w:szCs w:val="18"/>
          <w:color w:val="auto"/>
        </w:rPr>
        <w:t>” and “™” trademark designations for such marks in this prospectus, all rights to such trademarks are nevertheless reserved. Other trademarks and service marks appearing in this prospectus are the property of their respective holders.</w:t>
      </w:r>
    </w:p>
    <w:p>
      <w:pPr>
        <w:spacing w:after="0" w:line="200" w:lineRule="exact"/>
        <w:rPr>
          <w:sz w:val="20"/>
          <w:szCs w:val="20"/>
          <w:color w:val="auto"/>
        </w:rPr>
      </w:pP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638" w:right="659" w:bottom="1440" w:gutter="0" w:footer="0" w:header="0"/>
        </w:sectPr>
      </w:pPr>
    </w:p>
    <w:bookmarkStart w:id="7" w:name="page8"/>
    <w:bookmarkEnd w:id="7"/>
    <w:tbl>
      <w:tblPr>
        <w:tblLayout w:type="fixed"/>
        <w:tblInd w:w="26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5"/>
              </w:rPr>
              <w:t>The Offering</w:t>
            </w:r>
          </w:p>
        </w:tc>
        <w:tc>
          <w:tcPr>
            <w:tcW w:w="3940" w:type="dxa"/>
            <w:vAlign w:val="bottom"/>
          </w:tcPr>
          <w:p>
            <w:pPr>
              <w:spacing w:after="0"/>
              <w:rPr>
                <w:sz w:val="20"/>
                <w:szCs w:val="20"/>
                <w:color w:val="auto"/>
              </w:rPr>
            </w:pPr>
          </w:p>
        </w:tc>
      </w:tr>
      <w:tr>
        <w:trPr>
          <w:trHeight w:val="418"/>
        </w:trPr>
        <w:tc>
          <w:tcPr>
            <w:tcW w:w="3380" w:type="dxa"/>
            <w:vAlign w:val="bottom"/>
          </w:tcPr>
          <w:p>
            <w:pPr>
              <w:spacing w:after="0"/>
              <w:rPr>
                <w:sz w:val="20"/>
                <w:szCs w:val="20"/>
                <w:color w:val="auto"/>
              </w:rPr>
            </w:pPr>
            <w:r>
              <w:rPr>
                <w:rFonts w:ascii="Arial" w:cs="Arial" w:eastAsia="Arial" w:hAnsi="Arial"/>
                <w:sz w:val="18"/>
                <w:szCs w:val="18"/>
                <w:color w:val="auto"/>
              </w:rPr>
              <w:t>Ordinary shares we are offering</w:t>
            </w:r>
          </w:p>
        </w:tc>
        <w:tc>
          <w:tcPr>
            <w:tcW w:w="420" w:type="dxa"/>
            <w:vAlign w:val="bottom"/>
          </w:tcPr>
          <w:p>
            <w:pPr>
              <w:spacing w:after="0"/>
              <w:rPr>
                <w:sz w:val="24"/>
                <w:szCs w:val="24"/>
                <w:color w:val="auto"/>
              </w:rPr>
            </w:pP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ordinary shares (or</w:t>
            </w:r>
          </w:p>
        </w:tc>
        <w:tc>
          <w:tcPr>
            <w:tcW w:w="3940" w:type="dxa"/>
            <w:vAlign w:val="bottom"/>
          </w:tcPr>
          <w:p>
            <w:pPr>
              <w:jc w:val="right"/>
              <w:ind w:right="10"/>
              <w:spacing w:after="0"/>
              <w:rPr>
                <w:sz w:val="20"/>
                <w:szCs w:val="20"/>
                <w:color w:val="auto"/>
              </w:rPr>
            </w:pPr>
            <w:r>
              <w:rPr>
                <w:rFonts w:ascii="Arial" w:cs="Arial" w:eastAsia="Arial" w:hAnsi="Arial"/>
                <w:sz w:val="18"/>
                <w:szCs w:val="18"/>
                <w:color w:val="auto"/>
              </w:rPr>
              <w:t>if the underwriters exercise in full their option</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to purchase additional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w w:val="90"/>
              </w:rPr>
              <w:t>Ordinary shares to be outstanding immediately</w:t>
            </w:r>
          </w:p>
        </w:tc>
        <w:tc>
          <w:tcPr>
            <w:tcW w:w="420" w:type="dxa"/>
            <w:vAlign w:val="bottom"/>
          </w:tcPr>
          <w:p>
            <w:pPr>
              <w:spacing w:after="0"/>
              <w:rPr>
                <w:sz w:val="24"/>
                <w:szCs w:val="24"/>
                <w:color w:val="auto"/>
              </w:rPr>
            </w:pP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ordinary shares (or</w:t>
            </w:r>
          </w:p>
        </w:tc>
        <w:tc>
          <w:tcPr>
            <w:tcW w:w="3940" w:type="dxa"/>
            <w:vAlign w:val="bottom"/>
          </w:tcPr>
          <w:p>
            <w:pPr>
              <w:jc w:val="right"/>
              <w:ind w:right="10"/>
              <w:spacing w:after="0"/>
              <w:rPr>
                <w:sz w:val="20"/>
                <w:szCs w:val="20"/>
                <w:color w:val="auto"/>
              </w:rPr>
            </w:pPr>
            <w:r>
              <w:rPr>
                <w:rFonts w:ascii="Arial" w:cs="Arial" w:eastAsia="Arial" w:hAnsi="Arial"/>
                <w:sz w:val="18"/>
                <w:szCs w:val="18"/>
                <w:color w:val="auto"/>
              </w:rPr>
              <w:t>if the underwriters exercise in full their option</w:t>
            </w:r>
          </w:p>
        </w:tc>
      </w:tr>
      <w:tr>
        <w:trPr>
          <w:trHeight w:val="230"/>
        </w:trPr>
        <w:tc>
          <w:tcPr>
            <w:tcW w:w="3380" w:type="dxa"/>
            <w:vAlign w:val="bottom"/>
          </w:tcPr>
          <w:p>
            <w:pPr>
              <w:ind w:left="200"/>
              <w:spacing w:after="0"/>
              <w:rPr>
                <w:sz w:val="20"/>
                <w:szCs w:val="20"/>
                <w:color w:val="auto"/>
              </w:rPr>
            </w:pPr>
            <w:r>
              <w:rPr>
                <w:rFonts w:ascii="Arial" w:cs="Arial" w:eastAsia="Arial" w:hAnsi="Arial"/>
                <w:sz w:val="18"/>
                <w:szCs w:val="18"/>
                <w:color w:val="auto"/>
              </w:rPr>
              <w:t>after this offering</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to purchase additional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Use of proceeds</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5"/>
              </w:rPr>
              <w:t>We estimate that we will receive net proceeds from this offering of approximately</w:t>
            </w:r>
          </w:p>
        </w:tc>
      </w:tr>
      <w:tr>
        <w:trPr>
          <w:trHeight w:val="216"/>
        </w:trPr>
        <w:tc>
          <w:tcPr>
            <w:tcW w:w="33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ind w:left="380"/>
              <w:spacing w:after="0"/>
              <w:rPr>
                <w:sz w:val="20"/>
                <w:szCs w:val="20"/>
                <w:color w:val="auto"/>
              </w:rPr>
            </w:pPr>
            <w:r>
              <w:rPr>
                <w:rFonts w:ascii="Arial" w:cs="Arial" w:eastAsia="Arial" w:hAnsi="Arial"/>
                <w:sz w:val="18"/>
                <w:szCs w:val="18"/>
                <w:color w:val="auto"/>
                <w:w w:val="99"/>
              </w:rPr>
              <w:t>million, or $</w:t>
            </w:r>
          </w:p>
        </w:tc>
        <w:tc>
          <w:tcPr>
            <w:tcW w:w="480" w:type="dxa"/>
            <w:vAlign w:val="bottom"/>
          </w:tcPr>
          <w:p>
            <w:pPr>
              <w:spacing w:after="0"/>
              <w:rPr>
                <w:sz w:val="18"/>
                <w:szCs w:val="18"/>
                <w:color w:val="auto"/>
              </w:rPr>
            </w:pPr>
          </w:p>
        </w:tc>
        <w:tc>
          <w:tcPr>
            <w:tcW w:w="3940" w:type="dxa"/>
            <w:vAlign w:val="bottom"/>
          </w:tcPr>
          <w:p>
            <w:pPr>
              <w:jc w:val="right"/>
              <w:ind w:right="330"/>
              <w:spacing w:after="0"/>
              <w:rPr>
                <w:sz w:val="20"/>
                <w:szCs w:val="20"/>
                <w:color w:val="auto"/>
              </w:rPr>
            </w:pPr>
            <w:r>
              <w:rPr>
                <w:rFonts w:ascii="Arial" w:cs="Arial" w:eastAsia="Arial" w:hAnsi="Arial"/>
                <w:sz w:val="18"/>
                <w:szCs w:val="18"/>
                <w:color w:val="auto"/>
                <w:w w:val="97"/>
              </w:rPr>
              <w:t>million if the underwriters exercise in full their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4"/>
              </w:rPr>
              <w:t>option to purchase additional ordinary shares, based on an assumed initial public</w:t>
            </w:r>
          </w:p>
        </w:tc>
      </w:tr>
      <w:tr>
        <w:trPr>
          <w:trHeight w:val="216"/>
        </w:trPr>
        <w:tc>
          <w:tcPr>
            <w:tcW w:w="3380" w:type="dxa"/>
            <w:vAlign w:val="bottom"/>
          </w:tcPr>
          <w:p>
            <w:pPr>
              <w:spacing w:after="0"/>
              <w:rPr>
                <w:sz w:val="18"/>
                <w:szCs w:val="18"/>
                <w:color w:val="auto"/>
              </w:rPr>
            </w:pPr>
          </w:p>
        </w:tc>
        <w:tc>
          <w:tcPr>
            <w:tcW w:w="1740" w:type="dxa"/>
            <w:vAlign w:val="bottom"/>
            <w:gridSpan w:val="2"/>
          </w:tcPr>
          <w:p>
            <w:pPr>
              <w:ind w:left="20"/>
              <w:spacing w:after="0"/>
              <w:rPr>
                <w:sz w:val="20"/>
                <w:szCs w:val="20"/>
                <w:color w:val="auto"/>
              </w:rPr>
            </w:pPr>
            <w:r>
              <w:rPr>
                <w:rFonts w:ascii="Arial" w:cs="Arial" w:eastAsia="Arial" w:hAnsi="Arial"/>
                <w:sz w:val="18"/>
                <w:szCs w:val="18"/>
                <w:color w:val="auto"/>
              </w:rPr>
              <w:t>offering price of $</w:t>
            </w:r>
          </w:p>
        </w:tc>
        <w:tc>
          <w:tcPr>
            <w:tcW w:w="4420" w:type="dxa"/>
            <w:vAlign w:val="bottom"/>
            <w:gridSpan w:val="2"/>
          </w:tcPr>
          <w:p>
            <w:pPr>
              <w:jc w:val="right"/>
              <w:ind w:right="10"/>
              <w:spacing w:after="0"/>
              <w:rPr>
                <w:sz w:val="20"/>
                <w:szCs w:val="20"/>
                <w:color w:val="auto"/>
              </w:rPr>
            </w:pPr>
            <w:r>
              <w:rPr>
                <w:rFonts w:ascii="Arial" w:cs="Arial" w:eastAsia="Arial" w:hAnsi="Arial"/>
                <w:sz w:val="18"/>
                <w:szCs w:val="18"/>
                <w:color w:val="auto"/>
                <w:w w:val="91"/>
              </w:rPr>
              <w:t>, the midpoint of the price range set forth on the cover page</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6"/>
              </w:rPr>
              <w:t>of this prospectus, after deducting underwriting discounts and commissions and</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estimated offering expenses payable by us.</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We intend to use the net proceeds from this offering for general corporate purposes,</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including working capital, sales and marketing activities, research and development,</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9"/>
              </w:rPr>
              <w:t>and general and administrative matters. We may also use a portion of the net</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proceeds for the acquisition of, or investment in, technologies, solutions or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89"/>
              </w:rPr>
              <w:t>businesses that complement our business, although we are not currently a party to, or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4"/>
              </w:rPr>
              <w:t>involved with, discussions regarding any material acquisition that is probable. See</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“Use of Proceeds” on page 27 for additional information.</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rPr>
              <w:t>Risk factors</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1"/>
              </w:rPr>
              <w:t>Investing in our ordinary shares involves a high degree of risk and purchasers of our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0"/>
              </w:rPr>
              <w:t>ordinary shares may lose part or all of their investment. See “Risk Factors” and other</w:t>
            </w:r>
          </w:p>
        </w:tc>
      </w:tr>
      <w:tr>
        <w:trPr>
          <w:trHeight w:val="216"/>
        </w:trPr>
        <w:tc>
          <w:tcPr>
            <w:tcW w:w="3380" w:type="dxa"/>
            <w:vAlign w:val="bottom"/>
          </w:tcPr>
          <w:p>
            <w:pPr>
              <w:spacing w:after="0"/>
              <w:rPr>
                <w:sz w:val="18"/>
                <w:szCs w:val="18"/>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information included in this prospectus for a discussion of factors you should</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carefully consider before deciding to invest in our ordinary shares.</w:t>
            </w:r>
          </w:p>
        </w:tc>
      </w:tr>
      <w:tr>
        <w:trPr>
          <w:trHeight w:val="445"/>
        </w:trPr>
        <w:tc>
          <w:tcPr>
            <w:tcW w:w="3380" w:type="dxa"/>
            <w:vAlign w:val="bottom"/>
          </w:tcPr>
          <w:p>
            <w:pPr>
              <w:spacing w:after="0"/>
              <w:rPr>
                <w:sz w:val="20"/>
                <w:szCs w:val="20"/>
                <w:color w:val="auto"/>
              </w:rPr>
            </w:pPr>
            <w:r>
              <w:rPr>
                <w:rFonts w:ascii="Arial" w:cs="Arial" w:eastAsia="Arial" w:hAnsi="Arial"/>
                <w:sz w:val="18"/>
                <w:szCs w:val="18"/>
                <w:color w:val="auto"/>
                <w:w w:val="99"/>
              </w:rPr>
              <w:t>Proposed NASDAQ Global Market symbol</w:t>
            </w:r>
          </w:p>
        </w:tc>
        <w:tc>
          <w:tcPr>
            <w:tcW w:w="6160" w:type="dxa"/>
            <w:vAlign w:val="bottom"/>
            <w:gridSpan w:val="4"/>
          </w:tcPr>
          <w:p>
            <w:pPr>
              <w:ind w:left="20"/>
              <w:spacing w:after="0"/>
              <w:rPr>
                <w:sz w:val="20"/>
                <w:szCs w:val="20"/>
                <w:color w:val="auto"/>
              </w:rPr>
            </w:pPr>
            <w:r>
              <w:rPr>
                <w:rFonts w:ascii="Arial" w:cs="Arial" w:eastAsia="Arial" w:hAnsi="Arial"/>
                <w:sz w:val="18"/>
                <w:szCs w:val="18"/>
                <w:color w:val="auto"/>
                <w:w w:val="99"/>
              </w:rPr>
              <w:t>We intend to apply to have our ordinary shares listed on the NASDAQ Global</w:t>
            </w:r>
          </w:p>
        </w:tc>
      </w:tr>
      <w:tr>
        <w:trPr>
          <w:trHeight w:val="230"/>
        </w:trPr>
        <w:tc>
          <w:tcPr>
            <w:tcW w:w="3380" w:type="dxa"/>
            <w:vAlign w:val="bottom"/>
          </w:tcPr>
          <w:p>
            <w:pPr>
              <w:spacing w:after="0"/>
              <w:rPr>
                <w:sz w:val="20"/>
                <w:szCs w:val="20"/>
                <w:color w:val="auto"/>
              </w:rPr>
            </w:pPr>
          </w:p>
        </w:tc>
        <w:tc>
          <w:tcPr>
            <w:tcW w:w="6160" w:type="dxa"/>
            <w:vAlign w:val="bottom"/>
            <w:gridSpan w:val="4"/>
          </w:tcPr>
          <w:p>
            <w:pPr>
              <w:ind w:left="20"/>
              <w:spacing w:after="0"/>
              <w:rPr>
                <w:sz w:val="20"/>
                <w:szCs w:val="20"/>
                <w:color w:val="auto"/>
              </w:rPr>
            </w:pPr>
            <w:r>
              <w:rPr>
                <w:rFonts w:ascii="Arial" w:cs="Arial" w:eastAsia="Arial" w:hAnsi="Arial"/>
                <w:sz w:val="18"/>
                <w:szCs w:val="18"/>
                <w:color w:val="auto"/>
              </w:rPr>
              <w:t>Market under the symbol “KRNT.”</w:t>
            </w:r>
          </w:p>
        </w:tc>
      </w:tr>
    </w:tbl>
    <w:p>
      <w:pPr>
        <w:spacing w:after="0" w:line="1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876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5695" cy="7876540"/>
                    </a:xfrm>
                    <a:prstGeom prst="rect">
                      <a:avLst/>
                    </a:prstGeom>
                    <a:noFill/>
                  </pic:spPr>
                </pic:pic>
              </a:graphicData>
            </a:graphic>
          </wp:anchor>
        </w:drawing>
      </w:r>
    </w:p>
    <w:p>
      <w:pPr>
        <w:ind w:left="260" w:right="40" w:firstLine="216"/>
        <w:spacing w:after="0" w:line="257" w:lineRule="auto"/>
        <w:rPr>
          <w:sz w:val="20"/>
          <w:szCs w:val="20"/>
          <w:color w:val="auto"/>
        </w:rPr>
      </w:pPr>
      <w:r>
        <w:rPr>
          <w:rFonts w:ascii="Arial" w:cs="Arial" w:eastAsia="Arial" w:hAnsi="Arial"/>
          <w:sz w:val="18"/>
          <w:szCs w:val="18"/>
          <w:color w:val="auto"/>
        </w:rPr>
        <w:t>Unless otherwise indicated, the number of ordinary shares to be outstanding after this offering is based on 3,296,450 ordinary shares outstanding as of November 30, 2014 assuming the conversion of all outstanding Series A-1 preferred shares into an equal number of ordinary shares and excludes 402,149 ordinary shares reserved for issuance under our equity incentive plans in respect of which, as of September 30, 2014, we had outstanding options to purchase 333,932 ordinary shares at a weighted average exercise price of $8.96 per share.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239" w:lineRule="exact"/>
        <w:rPr>
          <w:sz w:val="20"/>
          <w:szCs w:val="20"/>
          <w:color w:val="auto"/>
        </w:rPr>
      </w:pPr>
    </w:p>
    <w:p>
      <w:pPr>
        <w:ind w:left="680"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reflects the conversion of all outstanding Series A-1 preferred shares into an equal number of ordinary shares which will occur immediately prior to the closing of this offering;</w:t>
      </w:r>
    </w:p>
    <w:p>
      <w:pPr>
        <w:spacing w:after="0" w:line="217" w:lineRule="exact"/>
        <w:rPr>
          <w:rFonts w:ascii="Arial" w:cs="Arial" w:eastAsia="Arial" w:hAnsi="Arial"/>
          <w:sz w:val="22"/>
          <w:szCs w:val="22"/>
          <w:color w:val="auto"/>
        </w:rPr>
      </w:pPr>
    </w:p>
    <w:p>
      <w:pPr>
        <w:ind w:left="680" w:right="320" w:hanging="213"/>
        <w:spacing w:after="0" w:line="232" w:lineRule="auto"/>
        <w:tabs>
          <w:tab w:leader="none" w:pos="692" w:val="left"/>
        </w:tabs>
        <w:numPr>
          <w:ilvl w:val="0"/>
          <w:numId w:val="8"/>
        </w:numPr>
        <w:rPr>
          <w:rFonts w:ascii="Arial" w:cs="Arial" w:eastAsia="Arial" w:hAnsi="Arial"/>
          <w:sz w:val="22"/>
          <w:szCs w:val="22"/>
          <w:color w:val="auto"/>
        </w:rPr>
      </w:pPr>
      <w:r>
        <w:rPr>
          <w:rFonts w:ascii="Arial" w:cs="Arial" w:eastAsia="Arial" w:hAnsi="Arial"/>
          <w:sz w:val="18"/>
          <w:szCs w:val="18"/>
          <w:color w:val="auto"/>
        </w:rPr>
        <w:t>assumes an initial public offering price of $ per ordinary share, the midpoint of the price range set forth on the cover page of this prospectus;</w:t>
      </w:r>
    </w:p>
    <w:p>
      <w:pPr>
        <w:spacing w:after="0" w:line="183" w:lineRule="exact"/>
        <w:rPr>
          <w:sz w:val="20"/>
          <w:szCs w:val="20"/>
          <w:color w:val="auto"/>
        </w:rPr>
      </w:pPr>
    </w:p>
    <w:p>
      <w:pPr>
        <w:ind w:left="460"/>
        <w:spacing w:after="0"/>
        <w:tabs>
          <w:tab w:leader="none" w:pos="736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assumes no exercise by the underwriters of their option to purchase up to an additional</w:t>
      </w:r>
      <w:r>
        <w:rPr>
          <w:sz w:val="20"/>
          <w:szCs w:val="20"/>
          <w:color w:val="auto"/>
        </w:rPr>
        <w:tab/>
      </w:r>
      <w:r>
        <w:rPr>
          <w:rFonts w:ascii="Arial" w:cs="Arial" w:eastAsia="Arial" w:hAnsi="Arial"/>
          <w:sz w:val="16"/>
          <w:szCs w:val="16"/>
          <w:color w:val="auto"/>
        </w:rPr>
        <w:t>ordinary shares from us;</w:t>
      </w:r>
    </w:p>
    <w:p>
      <w:pPr>
        <w:spacing w:after="0" w:line="227" w:lineRule="exact"/>
        <w:rPr>
          <w:sz w:val="20"/>
          <w:szCs w:val="20"/>
          <w:color w:val="auto"/>
        </w:rPr>
      </w:pPr>
    </w:p>
    <w:p>
      <w:pPr>
        <w:ind w:left="680" w:right="80" w:hanging="213"/>
        <w:spacing w:after="0" w:line="232" w:lineRule="auto"/>
        <w:tabs>
          <w:tab w:leader="none" w:pos="692" w:val="left"/>
        </w:tabs>
        <w:numPr>
          <w:ilvl w:val="0"/>
          <w:numId w:val="9"/>
        </w:numPr>
        <w:rPr>
          <w:rFonts w:ascii="Arial" w:cs="Arial" w:eastAsia="Arial" w:hAnsi="Arial"/>
          <w:sz w:val="22"/>
          <w:szCs w:val="22"/>
          <w:color w:val="auto"/>
        </w:rPr>
      </w:pPr>
      <w:r>
        <w:rPr>
          <w:rFonts w:ascii="Arial" w:cs="Arial" w:eastAsia="Arial" w:hAnsi="Arial"/>
          <w:sz w:val="18"/>
          <w:szCs w:val="18"/>
          <w:color w:val="auto"/>
        </w:rPr>
        <w:t>gives effect to the adoption of our amended and restated articles of association prior to the closing of this offering, which will replace our articles of association currently in effect;</w:t>
      </w:r>
    </w:p>
    <w:p>
      <w:pPr>
        <w:spacing w:after="0" w:line="217" w:lineRule="exact"/>
        <w:rPr>
          <w:rFonts w:ascii="Arial" w:cs="Arial" w:eastAsia="Arial" w:hAnsi="Arial"/>
          <w:sz w:val="22"/>
          <w:szCs w:val="22"/>
          <w:color w:val="auto"/>
        </w:rPr>
      </w:pPr>
    </w:p>
    <w:p>
      <w:pPr>
        <w:ind w:left="680" w:right="280" w:hanging="213"/>
        <w:spacing w:after="0" w:line="297" w:lineRule="auto"/>
        <w:tabs>
          <w:tab w:leader="none" w:pos="692" w:val="left"/>
        </w:tabs>
        <w:numPr>
          <w:ilvl w:val="0"/>
          <w:numId w:val="9"/>
        </w:numPr>
        <w:rPr>
          <w:rFonts w:ascii="Arial" w:cs="Arial" w:eastAsia="Arial" w:hAnsi="Arial"/>
          <w:sz w:val="19"/>
          <w:szCs w:val="19"/>
          <w:color w:val="auto"/>
        </w:rPr>
      </w:pPr>
      <w:r>
        <w:rPr>
          <w:rFonts w:ascii="Arial" w:cs="Arial" w:eastAsia="Arial" w:hAnsi="Arial"/>
          <w:sz w:val="16"/>
          <w:szCs w:val="16"/>
          <w:color w:val="auto"/>
        </w:rPr>
        <w:t>reflects a 10-for-1 share split effected on May 24, 2012 by means of a share dividend of nine ordinary shares or Series A-1 preferred shares for each ordinary share or Series A-1 preferred shares, respectively, then outstanding; and</w:t>
      </w:r>
    </w:p>
    <w:p>
      <w:pPr>
        <w:spacing w:after="0" w:line="130" w:lineRule="exact"/>
        <w:rPr>
          <w:sz w:val="20"/>
          <w:szCs w:val="20"/>
          <w:color w:val="auto"/>
        </w:rPr>
      </w:pPr>
    </w:p>
    <w:p>
      <w:pPr>
        <w:ind w:left="680" w:hanging="215"/>
        <w:spacing w:after="0" w:line="277"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reflects a further</w:t>
      </w:r>
      <w:r>
        <w:rPr>
          <w:sz w:val="20"/>
          <w:szCs w:val="20"/>
          <w:color w:val="auto"/>
        </w:rPr>
        <w:t xml:space="preserve"> </w:t>
      </w:r>
      <w:r>
        <w:rPr>
          <w:rFonts w:ascii="Arial" w:cs="Arial" w:eastAsia="Arial" w:hAnsi="Arial"/>
          <w:sz w:val="18"/>
          <w:szCs w:val="18"/>
          <w:color w:val="auto"/>
        </w:rPr>
        <w:t>-for- share split effected on by means of a share dividend of ordinary shares for each ordinary share then outstanding.</w:t>
      </w:r>
    </w:p>
    <w:p>
      <w:pPr>
        <w:spacing w:after="0" w:line="200" w:lineRule="exact"/>
        <w:rPr>
          <w:sz w:val="20"/>
          <w:szCs w:val="20"/>
          <w:color w:val="auto"/>
        </w:rPr>
      </w:pPr>
    </w:p>
    <w:p>
      <w:pPr>
        <w:spacing w:after="0" w:line="311"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00"/>
          </w:cols>
          <w:pgMar w:left="1440" w:top="405" w:right="65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19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95695" cy="7198995"/>
                    </a:xfrm>
                    <a:prstGeom prst="rect">
                      <a:avLst/>
                    </a:prstGeom>
                    <a:noFill/>
                  </pic:spPr>
                </pic:pic>
              </a:graphicData>
            </a:graphic>
          </wp:anchor>
        </w:drawing>
        <w:t>Summary Consolidated Financial Data</w:t>
      </w:r>
    </w:p>
    <w:p>
      <w:pPr>
        <w:spacing w:after="0" w:line="229" w:lineRule="exact"/>
        <w:rPr>
          <w:sz w:val="20"/>
          <w:szCs w:val="20"/>
          <w:color w:val="auto"/>
        </w:rPr>
      </w:pPr>
    </w:p>
    <w:p>
      <w:pPr>
        <w:ind w:left="260" w:right="360" w:firstLine="216"/>
        <w:spacing w:after="0" w:line="257" w:lineRule="auto"/>
        <w:rPr>
          <w:sz w:val="20"/>
          <w:szCs w:val="20"/>
          <w:color w:val="auto"/>
        </w:rPr>
      </w:pPr>
      <w:r>
        <w:rPr>
          <w:rFonts w:ascii="Arial" w:cs="Arial" w:eastAsia="Arial" w:hAnsi="Arial"/>
          <w:sz w:val="18"/>
          <w:szCs w:val="18"/>
          <w:color w:val="auto"/>
        </w:rPr>
        <w:t>The following tables set forth our summary consolidated financial data. You should read the following summary consolidated financial data in conjunction with, and it is qualified in its entirety by reference to, our historical financial information and other information provided in this prospectus, including “Selected Consolidated Financial Data,”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260" w:right="140" w:firstLine="216"/>
        <w:spacing w:after="0" w:line="293" w:lineRule="auto"/>
        <w:rPr>
          <w:sz w:val="20"/>
          <w:szCs w:val="20"/>
          <w:color w:val="auto"/>
        </w:rPr>
      </w:pPr>
      <w:r>
        <w:rPr>
          <w:rFonts w:ascii="Arial" w:cs="Arial" w:eastAsia="Arial" w:hAnsi="Arial"/>
          <w:sz w:val="16"/>
          <w:szCs w:val="16"/>
          <w:color w:val="auto"/>
        </w:rPr>
        <w:t>The summary consolidated statements of income data for the years ended December 31, 2012 and 2013 are derived from our audited consolidated financial statements appearing elsewhere in this prospectus. The summary consolidated statements of income data for the nine months ended September 30, 2013 and 2014 and the summary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7"/>
          </w:tcPr>
          <w:p>
            <w:pPr>
              <w:jc w:val="center"/>
              <w:ind w:right="220"/>
              <w:spacing w:after="0"/>
              <w:rPr>
                <w:sz w:val="20"/>
                <w:szCs w:val="20"/>
                <w:color w:val="auto"/>
              </w:rPr>
            </w:pPr>
            <w:r>
              <w:rPr>
                <w:rFonts w:ascii="Arial" w:cs="Arial" w:eastAsia="Arial" w:hAnsi="Arial"/>
                <w:sz w:val="16"/>
                <w:szCs w:val="16"/>
                <w:b w:val="1"/>
                <w:bCs w:val="1"/>
                <w:color w:val="auto"/>
                <w:w w:val="93"/>
              </w:rPr>
              <w:t>Nine Months Ended September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6"/>
                <w:szCs w:val="16"/>
                <w:b w:val="1"/>
                <w:bCs w:val="1"/>
                <w:color w:val="auto"/>
                <w:w w:val="95"/>
              </w:rPr>
              <w:t>Year Ended December 31,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40" w:type="dxa"/>
            <w:vAlign w:val="bottom"/>
            <w:gridSpan w:val="12"/>
          </w:tcPr>
          <w:p>
            <w:pPr>
              <w:ind w:left="38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Revenues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39,167</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34,185</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47,495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Cost of revenues</w:t>
            </w:r>
            <w:r>
              <w:rPr>
                <w:rFonts w:ascii="Arial" w:cs="Arial" w:eastAsia="Arial" w:hAnsi="Arial"/>
                <w:sz w:val="29"/>
                <w:szCs w:val="29"/>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6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Pr>
          <w:p>
            <w:pPr>
              <w:ind w:left="2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b w:val="1"/>
                <w:bCs w:val="1"/>
                <w:color w:val="auto"/>
                <w:vertAlign w:val="superscript"/>
              </w:rPr>
              <w:t>(1)</w:t>
            </w: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4,878</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6,851</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b w:val="1"/>
                <w:bCs w:val="1"/>
                <w:color w:val="auto"/>
                <w:vertAlign w:val="superscript"/>
              </w:rPr>
              <w:t>(1)</w:t>
            </w:r>
          </w:p>
        </w:tc>
        <w:tc>
          <w:tcPr>
            <w:tcW w:w="3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60" w:type="dxa"/>
            <w:vAlign w:val="bottom"/>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Borders>
              <w:bottom w:val="single" w:sz="8" w:color="CCEEFF"/>
            </w:tcBorders>
          </w:tcPr>
          <w:p>
            <w:pPr>
              <w:ind w:left="200"/>
              <w:spacing w:after="0" w:line="256"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9"/>
                <w:szCs w:val="29"/>
                <w:b w:val="1"/>
                <w:bCs w:val="1"/>
                <w:color w:val="auto"/>
                <w:vertAlign w:val="superscript"/>
              </w:rPr>
              <w:t>(1)</w:t>
            </w:r>
          </w:p>
        </w:tc>
        <w:tc>
          <w:tcPr>
            <w:tcW w:w="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60" w:type="dxa"/>
            <w:vAlign w:val="bottom"/>
            <w:tcBorders>
              <w:bottom w:val="single" w:sz="8" w:color="CCEEFF"/>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6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2,305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6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80" w:type="dxa"/>
            <w:vAlign w:val="bottom"/>
            <w:gridSpan w:val="2"/>
          </w:tcPr>
          <w:p>
            <w:pPr>
              <w:ind w:left="12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1"/>
                <w:szCs w:val="21"/>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3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0.43</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number of ordinary shares used in</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line="271"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b w:val="1"/>
                <w:bCs w:val="1"/>
                <w:color w:val="auto"/>
                <w:vertAlign w:val="superscript"/>
              </w:rPr>
              <w:t>(2)</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1,368,565</w:t>
            </w:r>
          </w:p>
        </w:tc>
        <w:tc>
          <w:tcPr>
            <w:tcW w:w="16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tcBorders>
              <w:bottom w:val="single" w:sz="8" w:color="CCEEFF"/>
            </w:tcBorders>
            <w:vMerge w:val="continue"/>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1,472,521</w:t>
            </w:r>
          </w:p>
        </w:tc>
        <w:tc>
          <w:tcPr>
            <w:tcW w:w="3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1,507,690</w:t>
            </w: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1,506,672</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1,547,013</w:t>
            </w:r>
          </w:p>
        </w:tc>
        <w:tc>
          <w:tcPr>
            <w:tcW w:w="160" w:type="dxa"/>
            <w:vAlign w:val="bottom"/>
            <w:tcBorders>
              <w:bottom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Weighted average number of ordinary shares used in</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60" w:type="dxa"/>
            <w:vAlign w:val="bottom"/>
          </w:tcPr>
          <w:p>
            <w:pPr>
              <w:ind w:left="200"/>
              <w:spacing w:after="0" w:line="271" w:lineRule="exact"/>
              <w:rPr>
                <w:sz w:val="20"/>
                <w:szCs w:val="20"/>
                <w:color w:val="auto"/>
              </w:rPr>
            </w:pPr>
            <w:r>
              <w:rPr>
                <w:rFonts w:ascii="Arial" w:cs="Arial" w:eastAsia="Arial" w:hAnsi="Arial"/>
                <w:sz w:val="18"/>
                <w:szCs w:val="18"/>
                <w:color w:val="auto"/>
                <w:w w:val="93"/>
              </w:rPr>
              <w:t>computing pro forma income per ordinary share</w:t>
            </w:r>
            <w:r>
              <w:rPr>
                <w:rFonts w:ascii="Arial" w:cs="Arial" w:eastAsia="Arial" w:hAnsi="Arial"/>
                <w:sz w:val="30"/>
                <w:szCs w:val="30"/>
                <w:b w:val="1"/>
                <w:bCs w:val="1"/>
                <w:color w:val="auto"/>
                <w:w w:val="93"/>
                <w:vertAlign w:val="superscript"/>
              </w:rPr>
              <w:t>(3)</w:t>
            </w:r>
            <w:r>
              <w:rPr>
                <w:rFonts w:ascii="Arial" w:cs="Arial" w:eastAsia="Arial" w:hAnsi="Arial"/>
                <w:sz w:val="18"/>
                <w:szCs w:val="18"/>
                <w:color w:val="auto"/>
                <w:w w:val="93"/>
              </w:rPr>
              <w:t>:</w:t>
            </w: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3,295,705</w:t>
            </w:r>
          </w:p>
        </w:tc>
        <w:tc>
          <w:tcPr>
            <w:tcW w:w="16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3,434,830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3,474,153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w:t>
            </w: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880"/>
          </w:cols>
          <w:pgMar w:left="1440" w:top="405" w:right="5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7585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95695" cy="7585075"/>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9"/>
              </w:rPr>
              <w:t>As of September 30, 2014</w:t>
            </w: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89"/>
        </w:trPr>
        <w:tc>
          <w:tcPr>
            <w:tcW w:w="4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Pro forma as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56"/>
        </w:trPr>
        <w:tc>
          <w:tcPr>
            <w:tcW w:w="4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gridSpan w:val="3"/>
          </w:tcPr>
          <w:p>
            <w:pPr>
              <w:jc w:val="right"/>
              <w:ind w:right="377"/>
              <w:spacing w:after="0"/>
              <w:rPr>
                <w:sz w:val="20"/>
                <w:szCs w:val="20"/>
                <w:color w:val="auto"/>
              </w:rPr>
            </w:pPr>
            <w:r>
              <w:rPr>
                <w:rFonts w:ascii="Arial" w:cs="Arial" w:eastAsia="Arial" w:hAnsi="Arial"/>
                <w:sz w:val="16"/>
                <w:szCs w:val="16"/>
                <w:b w:val="1"/>
                <w:bCs w:val="1"/>
                <w:color w:val="auto"/>
              </w:rPr>
              <w:t>Actual</w:t>
            </w:r>
          </w:p>
        </w:tc>
        <w:tc>
          <w:tcPr>
            <w:tcW w:w="420" w:type="dxa"/>
            <w:vAlign w:val="bottom"/>
          </w:tcPr>
          <w:p>
            <w:pPr>
              <w:spacing w:after="0"/>
              <w:rPr>
                <w:sz w:val="22"/>
                <w:szCs w:val="22"/>
                <w:color w:val="auto"/>
              </w:rPr>
            </w:pPr>
          </w:p>
        </w:tc>
        <w:tc>
          <w:tcPr>
            <w:tcW w:w="1460" w:type="dxa"/>
            <w:vAlign w:val="bottom"/>
            <w:gridSpan w:val="5"/>
          </w:tcPr>
          <w:p>
            <w:pPr>
              <w:jc w:val="center"/>
              <w:ind w:right="260"/>
              <w:spacing w:after="0" w:line="255" w:lineRule="exact"/>
              <w:rPr>
                <w:sz w:val="20"/>
                <w:szCs w:val="20"/>
                <w:color w:val="auto"/>
              </w:rPr>
            </w:pPr>
            <w:r>
              <w:rPr>
                <w:rFonts w:ascii="Arial" w:cs="Arial" w:eastAsia="Arial" w:hAnsi="Arial"/>
                <w:sz w:val="16"/>
                <w:szCs w:val="16"/>
                <w:b w:val="1"/>
                <w:bCs w:val="1"/>
                <w:color w:val="auto"/>
                <w:w w:val="86"/>
              </w:rPr>
              <w:t>adjusted</w:t>
            </w:r>
            <w:r>
              <w:rPr>
                <w:rFonts w:ascii="Arial" w:cs="Arial" w:eastAsia="Arial" w:hAnsi="Arial"/>
                <w:sz w:val="27"/>
                <w:szCs w:val="27"/>
                <w:b w:val="1"/>
                <w:bCs w:val="1"/>
                <w:color w:val="auto"/>
                <w:w w:val="86"/>
                <w:vertAlign w:val="superscript"/>
              </w:rPr>
              <w:t>(4)</w:t>
            </w:r>
          </w:p>
        </w:tc>
      </w:tr>
      <w:tr>
        <w:trPr>
          <w:trHeight w:val="220"/>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gridSpan w:val="4"/>
          </w:tcPr>
          <w:p>
            <w:pPr>
              <w:jc w:val="right"/>
              <w:ind w:right="305"/>
              <w:spacing w:after="0"/>
              <w:rPr>
                <w:sz w:val="20"/>
                <w:szCs w:val="20"/>
                <w:color w:val="auto"/>
              </w:rPr>
            </w:pPr>
            <w:r>
              <w:rPr>
                <w:rFonts w:ascii="Arial" w:cs="Arial" w:eastAsia="Arial" w:hAnsi="Arial"/>
                <w:sz w:val="16"/>
                <w:szCs w:val="16"/>
                <w:b w:val="1"/>
                <w:bCs w:val="1"/>
                <w:color w:val="auto"/>
              </w:rPr>
              <w:t>(in thousands)</w:t>
            </w:r>
          </w:p>
        </w:tc>
        <w:tc>
          <w:tcPr>
            <w:tcW w:w="6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79"/>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4,273</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21"/>
                <w:szCs w:val="21"/>
                <w:color w:val="auto"/>
                <w:vertAlign w:val="superscript"/>
              </w:rPr>
              <w:t>(5)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32,096</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43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17,799</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405"/>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30,</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89"/>
              </w:rPr>
              <w:t>2014</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w w:val="97"/>
              </w:rPr>
              <w:t>(in thousands)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81"/>
        </w:trPr>
        <w:tc>
          <w:tcPr>
            <w:tcW w:w="438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1"/>
                <w:szCs w:val="21"/>
                <w:color w:val="auto"/>
                <w:vertAlign w:val="superscript"/>
              </w:rPr>
              <w:t>(6)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4,690</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4,281</w:t>
            </w:r>
          </w:p>
        </w:tc>
        <w:tc>
          <w:tcPr>
            <w:tcW w:w="900" w:type="dxa"/>
            <w:vAlign w:val="bottom"/>
            <w:gridSpan w:val="2"/>
          </w:tcPr>
          <w:p>
            <w:pPr>
              <w:jc w:val="right"/>
              <w:ind w:right="4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2,915</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4,021</w:t>
            </w:r>
          </w:p>
        </w:tc>
        <w:tc>
          <w:tcPr>
            <w:tcW w:w="160" w:type="dxa"/>
            <w:vAlign w:val="bottom"/>
          </w:tcPr>
          <w:p>
            <w:pPr>
              <w:spacing w:after="0"/>
              <w:rPr>
                <w:sz w:val="24"/>
                <w:szCs w:val="24"/>
                <w:color w:val="auto"/>
              </w:rPr>
            </w:pPr>
          </w:p>
        </w:tc>
      </w:tr>
      <w:tr>
        <w:trPr>
          <w:trHeight w:val="286"/>
        </w:trPr>
        <w:tc>
          <w:tcPr>
            <w:tcW w:w="4380" w:type="dxa"/>
            <w:vAlign w:val="bottom"/>
          </w:tcPr>
          <w:p>
            <w:pPr>
              <w:spacing w:after="0"/>
              <w:rPr>
                <w:sz w:val="20"/>
                <w:szCs w:val="20"/>
                <w:color w:val="auto"/>
              </w:rPr>
            </w:pPr>
            <w:r>
              <w:rPr>
                <w:rFonts w:ascii="Arial" w:cs="Arial" w:eastAsia="Arial" w:hAnsi="Arial"/>
                <w:sz w:val="18"/>
                <w:szCs w:val="18"/>
                <w:color w:val="auto"/>
              </w:rPr>
              <w:t>___________________</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w w:val="91"/>
              </w:rPr>
              <w:t>(1) Includes share-based compensation expense as follows: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4"/>
        </w:trPr>
        <w:tc>
          <w:tcPr>
            <w:tcW w:w="4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jc w:val="right"/>
              <w:ind w:right="179"/>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30,</w:t>
            </w: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3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89"/>
              </w:rPr>
              <w:t>2014</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4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3"/>
          </w:tcPr>
          <w:p>
            <w:pPr>
              <w:jc w:val="right"/>
              <w:ind w:right="177"/>
              <w:spacing w:after="0"/>
              <w:rPr>
                <w:sz w:val="20"/>
                <w:szCs w:val="20"/>
                <w:color w:val="auto"/>
              </w:rPr>
            </w:pPr>
            <w:r>
              <w:rPr>
                <w:rFonts w:ascii="Arial" w:cs="Arial" w:eastAsia="Arial" w:hAnsi="Arial"/>
                <w:sz w:val="16"/>
                <w:szCs w:val="16"/>
                <w:b w:val="1"/>
                <w:bCs w:val="1"/>
                <w:color w:val="auto"/>
                <w:w w:val="97"/>
              </w:rPr>
              <w:t>(in thousands)</w:t>
            </w: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00" w:type="dxa"/>
            <w:vAlign w:val="bottom"/>
            <w:gridSpan w:val="2"/>
          </w:tcPr>
          <w:p>
            <w:pPr>
              <w:jc w:val="right"/>
              <w:ind w:right="417"/>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8"/>
                <w:szCs w:val="18"/>
                <w:color w:val="auto"/>
              </w:rPr>
            </w:pPr>
          </w:p>
        </w:tc>
      </w:tr>
      <w:tr>
        <w:trPr>
          <w:trHeight w:val="224"/>
        </w:trPr>
        <w:tc>
          <w:tcPr>
            <w:tcW w:w="438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Pr>
          <w:p>
            <w:pPr>
              <w:spacing w:after="0"/>
              <w:rPr>
                <w:sz w:val="19"/>
                <w:szCs w:val="19"/>
                <w:color w:val="auto"/>
              </w:rPr>
            </w:pPr>
          </w:p>
        </w:tc>
        <w:tc>
          <w:tcPr>
            <w:tcW w:w="600" w:type="dxa"/>
            <w:vAlign w:val="bottom"/>
          </w:tcPr>
          <w:p>
            <w:pPr>
              <w:jc w:val="right"/>
              <w:ind w:right="417"/>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9"/>
                <w:szCs w:val="19"/>
                <w:color w:val="auto"/>
              </w:rPr>
            </w:pPr>
          </w:p>
        </w:tc>
      </w:tr>
    </w:tbl>
    <w:p>
      <w:pPr>
        <w:spacing w:after="0" w:line="120" w:lineRule="exact"/>
        <w:rPr>
          <w:sz w:val="20"/>
          <w:szCs w:val="20"/>
          <w:color w:val="auto"/>
        </w:rPr>
      </w:pPr>
    </w:p>
    <w:p>
      <w:pPr>
        <w:ind w:left="580" w:right="220" w:hanging="329"/>
        <w:spacing w:after="0" w:line="264"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Basic and diluted net earnings per ordinary share is computed based on the basic and diluted weighted average number of ordinary shares outstanding during each period. For additional information, see notes 2w and 10 to our consolidated financial statements included elsewhere in this prospectus.</w:t>
      </w:r>
    </w:p>
    <w:p>
      <w:pPr>
        <w:spacing w:after="0" w:line="181" w:lineRule="exact"/>
        <w:rPr>
          <w:rFonts w:ascii="Arial" w:cs="Arial" w:eastAsia="Arial" w:hAnsi="Arial"/>
          <w:sz w:val="18"/>
          <w:szCs w:val="18"/>
          <w:color w:val="auto"/>
        </w:rPr>
      </w:pPr>
    </w:p>
    <w:p>
      <w:pPr>
        <w:ind w:left="580" w:right="80" w:hanging="329"/>
        <w:spacing w:after="0" w:line="257" w:lineRule="auto"/>
        <w:tabs>
          <w:tab w:leader="none" w:pos="556"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Series A-1 preferred shares into ordinary shares, which will occur upon the closing of this offering, but does not give effect to the issuance of ordinary shares in connection with this offering. For additional information on the conversion of the Series A-1 preferred shares, see note 2d to our consolidated financial statements included elsewhere in this prospectus.</w:t>
      </w:r>
    </w:p>
    <w:p>
      <w:pPr>
        <w:spacing w:after="0" w:line="188" w:lineRule="exact"/>
        <w:rPr>
          <w:rFonts w:ascii="Arial" w:cs="Arial" w:eastAsia="Arial" w:hAnsi="Arial"/>
          <w:sz w:val="18"/>
          <w:szCs w:val="18"/>
          <w:color w:val="auto"/>
        </w:rPr>
      </w:pPr>
    </w:p>
    <w:p>
      <w:pPr>
        <w:ind w:left="560" w:hanging="309"/>
        <w:spacing w:after="0"/>
        <w:tabs>
          <w:tab w:leader="none" w:pos="5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Pro forma as adjusted gives effect to (a) the conversion into ordinary shares of all of our outstanding Series A-1 preferred</w:t>
      </w:r>
    </w:p>
    <w:p>
      <w:pPr>
        <w:sectPr>
          <w:pgSz w:w="11900" w:h="16838" w:orient="portrait"/>
          <w:cols w:equalWidth="0" w:num="1">
            <w:col w:w="9820"/>
          </w:cols>
          <w:pgMar w:left="1440" w:top="450" w:right="639" w:bottom="1440" w:gutter="0" w:footer="0" w:header="0"/>
        </w:sectPr>
      </w:pPr>
    </w:p>
    <w:p>
      <w:pPr>
        <w:spacing w:after="0" w:line="35" w:lineRule="exact"/>
        <w:rPr>
          <w:sz w:val="20"/>
          <w:szCs w:val="20"/>
          <w:color w:val="auto"/>
        </w:rPr>
      </w:pPr>
    </w:p>
    <w:p>
      <w:pPr>
        <w:ind w:left="580"/>
        <w:spacing w:after="0" w:line="281" w:lineRule="auto"/>
        <w:rPr>
          <w:sz w:val="20"/>
          <w:szCs w:val="20"/>
          <w:color w:val="auto"/>
        </w:rPr>
      </w:pPr>
      <w:r>
        <w:rPr>
          <w:rFonts w:ascii="Arial" w:cs="Arial" w:eastAsia="Arial" w:hAnsi="Arial"/>
          <w:sz w:val="16"/>
          <w:szCs w:val="16"/>
          <w:color w:val="auto"/>
        </w:rPr>
        <w:t>shares, (b) the issuance and sale of ordinary shares in this offering at an assumed initial public offering price of $ ordinary share, the midpoint of the price range set forth on the cover page of this prospectus, after deducting underwriting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per</w:t>
      </w:r>
    </w:p>
    <w:p>
      <w:pPr>
        <w:spacing w:after="0" w:line="259" w:lineRule="exact"/>
        <w:rPr>
          <w:sz w:val="20"/>
          <w:szCs w:val="20"/>
          <w:color w:val="auto"/>
        </w:rPr>
      </w:pPr>
    </w:p>
    <w:p>
      <w:pPr>
        <w:sectPr>
          <w:pgSz w:w="11900" w:h="16838" w:orient="portrait"/>
          <w:cols w:equalWidth="0" w:num="2">
            <w:col w:w="9340" w:space="220"/>
            <w:col w:w="260"/>
          </w:cols>
          <w:pgMar w:left="1440" w:top="450" w:right="6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discounts and commissions and estimated offering expenses payable by us, and (c) a one-time payment in the aggregate amount</w:t>
      </w:r>
    </w:p>
    <w:p>
      <w:pPr>
        <w:spacing w:after="0" w:line="32" w:lineRule="exact"/>
        <w:rPr>
          <w:sz w:val="20"/>
          <w:szCs w:val="20"/>
          <w:color w:val="auto"/>
        </w:rPr>
      </w:pPr>
    </w:p>
    <w:p>
      <w:pPr>
        <w:ind w:left="580" w:right="100"/>
        <w:spacing w:after="0" w:line="261" w:lineRule="auto"/>
        <w:rPr>
          <w:sz w:val="20"/>
          <w:szCs w:val="20"/>
          <w:color w:val="auto"/>
        </w:rPr>
      </w:pPr>
      <w:r>
        <w:rPr>
          <w:rFonts w:ascii="Arial" w:cs="Arial" w:eastAsia="Arial" w:hAnsi="Arial"/>
          <w:sz w:val="18"/>
          <w:szCs w:val="18"/>
          <w:color w:val="auto"/>
        </w:rPr>
        <w:t>of $ to our sponsor, Fortissimo Capital, in connection with the termination of our existing management services agreement with them.</w:t>
      </w:r>
    </w:p>
    <w:p>
      <w:pPr>
        <w:spacing w:after="0" w:line="184" w:lineRule="exact"/>
        <w:rPr>
          <w:sz w:val="20"/>
          <w:szCs w:val="20"/>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560" w:hanging="309"/>
        <w:spacing w:after="0"/>
        <w:tabs>
          <w:tab w:leader="none" w:pos="5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00" w:lineRule="exact"/>
        <w:rPr>
          <w:sz w:val="20"/>
          <w:szCs w:val="20"/>
          <w:color w:val="auto"/>
        </w:rPr>
      </w:pPr>
    </w:p>
    <w:p>
      <w:pPr>
        <w:spacing w:after="0" w:line="27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20"/>
          </w:cols>
          <w:pgMar w:left="1440" w:top="450" w:right="639" w:bottom="1440" w:gutter="0" w:footer="0" w:header="0"/>
          <w:type w:val="continuous"/>
        </w:sectPr>
      </w:pPr>
    </w:p>
    <w:bookmarkStart w:id="10" w:name="page11"/>
    <w:bookmarkEnd w:id="10"/>
    <w:tbl>
      <w:tblPr>
        <w:tblLayout w:type="fixed"/>
        <w:tblInd w:w="2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3"/>
              </w:rPr>
              <w:t>Nine Months Ended September</w:t>
            </w:r>
          </w:p>
        </w:tc>
      </w:tr>
      <w:tr>
        <w:trPr>
          <w:trHeight w:val="213"/>
        </w:trPr>
        <w:tc>
          <w:tcPr>
            <w:tcW w:w="4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30,</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71"/>
              <w:spacing w:after="0"/>
              <w:rPr>
                <w:sz w:val="20"/>
                <w:szCs w:val="20"/>
                <w:color w:val="auto"/>
              </w:rPr>
            </w:pPr>
            <w:r>
              <w:rPr>
                <w:rFonts w:ascii="Arial" w:cs="Arial" w:eastAsia="Arial" w:hAnsi="Arial"/>
                <w:sz w:val="16"/>
                <w:szCs w:val="16"/>
                <w:b w:val="1"/>
                <w:bCs w:val="1"/>
                <w:color w:val="auto"/>
                <w:w w:val="84"/>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2014</w:t>
            </w:r>
          </w:p>
        </w:tc>
        <w:tc>
          <w:tcPr>
            <w:tcW w:w="160" w:type="dxa"/>
            <w:vAlign w:val="bottom"/>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Reconciliation of Net Income to Adjusted EBITDA:</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2,314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1,134</w:t>
            </w:r>
          </w:p>
        </w:tc>
        <w:tc>
          <w:tcPr>
            <w:tcW w:w="640" w:type="dxa"/>
            <w:vAlign w:val="bottom"/>
            <w:gridSpan w:val="2"/>
          </w:tcPr>
          <w:p>
            <w:pPr>
              <w:jc w:val="right"/>
              <w:ind w:right="154"/>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586</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1,829</w:t>
            </w:r>
          </w:p>
        </w:tc>
        <w:tc>
          <w:tcPr>
            <w:tcW w:w="16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Taxes on income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476</w:t>
            </w:r>
          </w:p>
        </w:tc>
        <w:tc>
          <w:tcPr>
            <w:tcW w:w="1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60" w:type="dxa"/>
            <w:vAlign w:val="bottom"/>
            <w:shd w:val="clear" w:color="auto" w:fill="CCEEFF"/>
          </w:tcPr>
          <w:p>
            <w:pPr>
              <w:spacing w:after="0"/>
              <w:rPr>
                <w:sz w:val="18"/>
                <w:szCs w:val="18"/>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Borders>
              <w:bottom w:val="single" w:sz="8" w:color="CCEEFF"/>
            </w:tcBorders>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995680</wp:posOffset>
            </wp:positionH>
            <wp:positionV relativeFrom="page">
              <wp:posOffset>155575</wp:posOffset>
            </wp:positionV>
            <wp:extent cx="6195695" cy="5389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95695" cy="5389880"/>
                    </a:xfrm>
                    <a:prstGeom prst="rect">
                      <a:avLst/>
                    </a:prstGeom>
                    <a:noFill/>
                  </pic:spPr>
                </pic:pic>
              </a:graphicData>
            </a:graphic>
          </wp:anchor>
        </w:drawing>
      </w:r>
    </w:p>
    <w:p>
      <w:pPr>
        <w:ind w:left="260" w:right="20" w:firstLine="216"/>
        <w:spacing w:after="0" w:line="289"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0" w:lineRule="exact"/>
        <w:rPr>
          <w:sz w:val="20"/>
          <w:szCs w:val="20"/>
          <w:color w:val="auto"/>
        </w:rPr>
      </w:pPr>
    </w:p>
    <w:p>
      <w:pPr>
        <w:ind w:left="680" w:right="560" w:hanging="213"/>
        <w:spacing w:after="0" w:line="232" w:lineRule="auto"/>
        <w:tabs>
          <w:tab w:leader="none" w:pos="692"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700" w:hanging="233"/>
        <w:spacing w:after="0"/>
        <w:tabs>
          <w:tab w:leader="none" w:pos="700" w:val="left"/>
        </w:tabs>
        <w:numPr>
          <w:ilvl w:val="0"/>
          <w:numId w:val="12"/>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680" w:right="20" w:hanging="213"/>
        <w:spacing w:after="0" w:line="232" w:lineRule="auto"/>
        <w:tabs>
          <w:tab w:leader="none" w:pos="746" w:val="left"/>
        </w:tabs>
        <w:numPr>
          <w:ilvl w:val="0"/>
          <w:numId w:val="12"/>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260" w:right="40" w:firstLine="216"/>
        <w:spacing w:after="0" w:line="255" w:lineRule="auto"/>
        <w:rPr>
          <w:sz w:val="20"/>
          <w:szCs w:val="20"/>
          <w:color w:val="auto"/>
        </w:rPr>
      </w:pPr>
      <w:r>
        <w:rPr>
          <w:rFonts w:ascii="Arial" w:cs="Arial" w:eastAsia="Arial" w:hAnsi="Arial"/>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200" w:lineRule="exact"/>
        <w:rPr>
          <w:sz w:val="20"/>
          <w:szCs w:val="20"/>
          <w:color w:val="auto"/>
        </w:rPr>
      </w:pPr>
    </w:p>
    <w:p>
      <w:pPr>
        <w:spacing w:after="0" w:line="313"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820"/>
          </w:cols>
          <w:pgMar w:left="1440" w:top="409" w:right="6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Investing in our ordinary shares involves a high degree of risk. You should carefully consider the risks and uncertainties described below, in addition to the other information set forth in this prospectus, including the consolidated financial statements and the related notes included elsewhere in this prospectus, before purchasing our ordinary shares. If any of the following risks actually occur, our business, financial condition, cash flows, and results of operations could be materially adversely affected. In that case, the trading price of our ordinary shares would likely decline and you might lose all or part of your investment.</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left="120" w:right="719"/>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0" w:lineRule="exact"/>
        <w:rPr>
          <w:sz w:val="20"/>
          <w:szCs w:val="20"/>
          <w:color w:val="auto"/>
        </w:rPr>
      </w:pPr>
    </w:p>
    <w:p>
      <w:pPr>
        <w:ind w:left="120" w:right="1099"/>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Our business model benefits significantly from recurring sales of our ink and other consumables for our existing and growing installed base of systems. Third parties sell, and purchasers of our systems can seek to buy, alternative versions of our ink or other consumables. We are aware of a small number of instances in which customers are using such third party inks in our systems. These third-party ink and other consumables may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89"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compete successfully could cause our revenues and demand for our solutions to decline.</w:t>
      </w:r>
    </w:p>
    <w:p>
      <w:pPr>
        <w:spacing w:after="0" w:line="237" w:lineRule="exact"/>
        <w:rPr>
          <w:sz w:val="20"/>
          <w:szCs w:val="20"/>
          <w:color w:val="auto"/>
        </w:rPr>
      </w:pPr>
    </w:p>
    <w:p>
      <w:pPr>
        <w:ind w:left="120" w:right="179" w:firstLine="216"/>
        <w:spacing w:after="0" w:line="255" w:lineRule="auto"/>
        <w:rPr>
          <w:sz w:val="20"/>
          <w:szCs w:val="20"/>
          <w:color w:val="auto"/>
        </w:rPr>
      </w:pPr>
      <w:r>
        <w:rPr>
          <w:rFonts w:ascii="Arial" w:cs="Arial" w:eastAsia="Arial" w:hAnsi="Arial"/>
          <w:sz w:val="18"/>
          <w:szCs w:val="18"/>
          <w:color w:val="auto"/>
        </w:rPr>
        <w:t>The principal competition for our digital printing systems comes from manufacturers of screen printing systems. Our principal competitor in the high throughput digital direct-to-garment, or DTG, market is Aeoon Technologies GmbH. We also face competition from Brother International Corporation, Seiko Epson Corporation and a number of smaller competitors with respect to our entry level systems. Some of our current and potential competitors have larger overall installed bases of customers, longer operating histories and greater name recognition than we have. In addition, many of these competitors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ind w:left="120" w:right="219"/>
        <w:spacing w:after="0" w:line="271" w:lineRule="auto"/>
        <w:rPr>
          <w:sz w:val="20"/>
          <w:szCs w:val="20"/>
          <w:color w:val="auto"/>
        </w:rPr>
      </w:pPr>
      <w:r>
        <w:rPr>
          <w:rFonts w:ascii="Arial" w:cs="Arial" w:eastAsia="Arial" w:hAnsi="Arial"/>
          <w:sz w:val="17"/>
          <w:szCs w:val="17"/>
          <w:color w:val="auto"/>
        </w:rPr>
        <w:t>have greater sales and marketing resources, more advanced manufacturing operations, broader distribution channels and established relationships with channel partners, and greater customer support resources than we have. Current and future competitors may be able to respond more quickly to changes in customer demands and devote greater resources to the development, promotion and sale of their printers and ink and other consumables than we can. Our current and potential competitors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179" w:lineRule="exact"/>
        <w:rPr>
          <w:sz w:val="20"/>
          <w:szCs w:val="20"/>
          <w:color w:val="auto"/>
        </w:rPr>
      </w:pPr>
    </w:p>
    <w:p>
      <w:pPr>
        <w:ind w:left="120" w:right="259"/>
        <w:spacing w:after="0" w:line="342" w:lineRule="auto"/>
        <w:rPr>
          <w:sz w:val="20"/>
          <w:szCs w:val="20"/>
          <w:color w:val="auto"/>
        </w:rPr>
      </w:pPr>
      <w:r>
        <w:rPr>
          <w:rFonts w:ascii="Arial" w:cs="Arial" w:eastAsia="Arial" w:hAnsi="Arial"/>
          <w:sz w:val="16"/>
          <w:szCs w:val="16"/>
          <w:b w:val="1"/>
          <w:bCs w:val="1"/>
          <w:i w:val="1"/>
          <w:iCs w:val="1"/>
          <w:color w:val="auto"/>
        </w:rPr>
        <w:t>A significant portion of our sales is concentrated among two of our independent distributors and our business would be adversely affected by a decline in sales by, or the loss of, either of these independent distributors.</w:t>
      </w:r>
    </w:p>
    <w:p>
      <w:pPr>
        <w:spacing w:after="0" w:line="124"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We are subject to revenue concentration with respect to two of our independent distributors. In 2013 and during the nine months ended September 30, 2014, Hirsch International Corporation and SPSI, Inc., both distributors in the United States, accounted for 20% and 24% of our revenues in each such period, respectively, in the case of Hirsch, and 13% and 16% of our revenues in each such period in the case of SPSI, respectively. We have entered into non-exclusive distributor agreements with each of these distributors with a term that ends in April 2017 subject to automatic renewal for successive one-year periods unless one party notifies the other party that it does not wish to renew the agreement. These distributors may fail to devote the same level of attention to our solutions as they currently do, elect to distribute competitors’ products or be less successful than distributors of competitors’ products in their territories and, as a result, sales of our solutions may suffer. In addition, our relationships with these distributors could be terminated with little or no notice if these distributors become subject to bankruptcy or other similar proceedings or otherwise become unable or unwilling to continue their business relationship with us and we may not be able to find qualified and successful replacements for our distributors in a timely manner. Due to the concentration of our revenues with these distributors, any such event could have a material adverse effect on our results of operations. Additionally, a default by one or more independent distributors that has a significant receivables balance could harm our financial condition.</w:t>
      </w:r>
    </w:p>
    <w:p>
      <w:pPr>
        <w:spacing w:after="0" w:line="172"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170"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Moreover, the closing of an especially large transaction in a particular quarter may make it more difficult for us to meet market expectations in subsequent quarters, and our failure to close a large transaction in a particular quarter could adversely impact our revenues for that quarter.</w:t>
      </w:r>
    </w:p>
    <w:p>
      <w:pPr>
        <w:spacing w:after="0" w:line="16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In addition, while we recently started implementing a means of collecting real time data about our customers’ consumption of ink and other consumables when using our systems, we have thus far done so only to a limited extent and, accordingly, our ability to predict consumption is limited. 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78"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Furthermore, we base our current and future expense levels on our revenue forecasts and operating plans, and our expenses are relatively fixed in the short term, due in part to long lead times required for ordering certain components of our systems and ordering assembly of our systems by third-party manufacturers. Accordingly, we would likely not be able to reduce our</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ind w:left="120" w:right="239"/>
        <w:spacing w:after="0" w:line="259" w:lineRule="auto"/>
        <w:rPr>
          <w:sz w:val="20"/>
          <w:szCs w:val="20"/>
          <w:color w:val="auto"/>
        </w:rPr>
      </w:pPr>
      <w:r>
        <w:rPr>
          <w:rFonts w:ascii="Arial" w:cs="Arial" w:eastAsia="Arial" w:hAnsi="Arial"/>
          <w:sz w:val="18"/>
          <w:szCs w:val="18"/>
          <w:color w:val="auto"/>
        </w:rPr>
        <w:t>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87" w:lineRule="exact"/>
        <w:rPr>
          <w:sz w:val="20"/>
          <w:szCs w:val="20"/>
          <w:color w:val="auto"/>
        </w:rPr>
      </w:pPr>
    </w:p>
    <w:p>
      <w:pPr>
        <w:ind w:left="120" w:right="599"/>
        <w:spacing w:after="0" w:line="277" w:lineRule="auto"/>
        <w:rPr>
          <w:sz w:val="20"/>
          <w:szCs w:val="20"/>
          <w:color w:val="auto"/>
        </w:rPr>
      </w:pPr>
      <w:r>
        <w:rPr>
          <w:rFonts w:ascii="Arial" w:cs="Arial" w:eastAsia="Arial" w:hAnsi="Arial"/>
          <w:sz w:val="18"/>
          <w:szCs w:val="18"/>
          <w:b w:val="1"/>
          <w:bCs w:val="1"/>
          <w:i w:val="1"/>
          <w:iCs w:val="1"/>
          <w:color w:val="auto"/>
        </w:rPr>
        <w:t>If our relationships with suppliers, especially with single source suppliers of components, were to terminate, our business could be harmed.</w:t>
      </w:r>
    </w:p>
    <w:p>
      <w:pPr>
        <w:spacing w:after="0" w:line="17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such as our print heads and emulsion, are only available from single or limited sources as described below.</w:t>
      </w:r>
    </w:p>
    <w:p>
      <w:pPr>
        <w:spacing w:after="0" w:line="200" w:lineRule="exact"/>
        <w:rPr>
          <w:sz w:val="20"/>
          <w:szCs w:val="20"/>
          <w:color w:val="auto"/>
        </w:rPr>
      </w:pPr>
    </w:p>
    <w:p>
      <w:pPr>
        <w:ind w:left="560" w:right="119" w:hanging="219"/>
        <w:spacing w:after="0" w:line="283" w:lineRule="auto"/>
        <w:tabs>
          <w:tab w:leader="none" w:pos="572" w:val="left"/>
        </w:tabs>
        <w:numPr>
          <w:ilvl w:val="0"/>
          <w:numId w:val="13"/>
        </w:numPr>
        <w:rPr>
          <w:rFonts w:ascii="Arial" w:cs="Arial" w:eastAsia="Arial" w:hAnsi="Arial"/>
          <w:sz w:val="19"/>
          <w:szCs w:val="19"/>
          <w:color w:val="auto"/>
        </w:rPr>
      </w:pPr>
      <w:r>
        <w:rPr>
          <w:rFonts w:ascii="Arial" w:cs="Arial" w:eastAsia="Arial" w:hAnsi="Arial"/>
          <w:sz w:val="16"/>
          <w:szCs w:val="16"/>
          <w:color w:val="auto"/>
        </w:rPr>
        <w:t>The print heads for our systems are supplied by a sole supplier, FujiFilm Dimatix, Inc., or FDMX. We entered into an agreement with FDMX in 2006, pursuant to which FDMX sells us certain off-the-shelf print heads and additional products, including ink, all of which FDMX regularly sells to providers of inkjet systems. The agreement renews automatically for successive one-year periods, but FDMX or we can terminate the agreement upon 90 days’ notice prior to the end of the current term, which currently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82" w:lineRule="exact"/>
        <w:rPr>
          <w:rFonts w:ascii="Arial" w:cs="Arial" w:eastAsia="Arial" w:hAnsi="Arial"/>
          <w:sz w:val="19"/>
          <w:szCs w:val="19"/>
          <w:color w:val="auto"/>
        </w:rPr>
      </w:pPr>
    </w:p>
    <w:p>
      <w:pPr>
        <w:ind w:left="560" w:right="119" w:hanging="219"/>
        <w:spacing w:after="0" w:line="232" w:lineRule="auto"/>
        <w:tabs>
          <w:tab w:leader="none" w:pos="626"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204"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loss of either of these suppliers, or of a supplier for which there are limited other sources, could result in the delay of the manufacture and delivery of our systems. In order to minimize the risk of any impact from a disruption or discontinuation in the supply of print heads, emulsion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39" w:lineRule="exact"/>
        <w:rPr>
          <w:sz w:val="20"/>
          <w:szCs w:val="20"/>
          <w:color w:val="auto"/>
        </w:rPr>
      </w:pPr>
    </w:p>
    <w:p>
      <w:pPr>
        <w:ind w:left="560" w:right="63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w:t>
      </w:r>
    </w:p>
    <w:p>
      <w:pPr>
        <w:spacing w:after="0" w:line="217" w:lineRule="exact"/>
        <w:rPr>
          <w:rFonts w:ascii="Arial" w:cs="Arial" w:eastAsia="Arial" w:hAnsi="Arial"/>
          <w:sz w:val="22"/>
          <w:szCs w:val="22"/>
          <w:color w:val="auto"/>
        </w:rPr>
      </w:pPr>
    </w:p>
    <w:p>
      <w:pPr>
        <w:ind w:left="560" w:right="15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we may experience production delays related to the evaluation and testing of products from alternative suppliers;</w:t>
      </w:r>
    </w:p>
    <w:p>
      <w:pPr>
        <w:spacing w:after="0" w:line="216" w:lineRule="exact"/>
        <w:rPr>
          <w:rFonts w:ascii="Arial" w:cs="Arial" w:eastAsia="Arial" w:hAnsi="Arial"/>
          <w:sz w:val="19"/>
          <w:szCs w:val="19"/>
          <w:color w:val="auto"/>
        </w:rPr>
      </w:pPr>
    </w:p>
    <w:p>
      <w:pPr>
        <w:ind w:left="560" w:hanging="219"/>
        <w:spacing w:after="0"/>
        <w:tabs>
          <w:tab w:leader="none" w:pos="560" w:val="left"/>
        </w:tabs>
        <w:numPr>
          <w:ilvl w:val="0"/>
          <w:numId w:val="14"/>
        </w:numPr>
        <w:rPr>
          <w:rFonts w:ascii="Arial" w:cs="Arial" w:eastAsia="Arial" w:hAnsi="Arial"/>
          <w:sz w:val="21"/>
          <w:szCs w:val="21"/>
          <w:color w:val="auto"/>
        </w:rPr>
      </w:pPr>
      <w:r>
        <w:rPr>
          <w:rFonts w:ascii="Arial" w:cs="Arial" w:eastAsia="Arial" w:hAnsi="Arial"/>
          <w:sz w:val="17"/>
          <w:szCs w:val="17"/>
          <w:color w:val="auto"/>
        </w:rPr>
        <w:t>we may be subject to price fluctuations due to a lack of long-term supply arrangements for key components;</w:t>
      </w:r>
    </w:p>
    <w:p>
      <w:pPr>
        <w:spacing w:after="0" w:line="215" w:lineRule="exact"/>
        <w:rPr>
          <w:rFonts w:ascii="Arial" w:cs="Arial" w:eastAsia="Arial" w:hAnsi="Arial"/>
          <w:sz w:val="21"/>
          <w:szCs w:val="21"/>
          <w:color w:val="auto"/>
        </w:rPr>
      </w:pPr>
    </w:p>
    <w:p>
      <w:pPr>
        <w:ind w:left="560" w:right="839" w:hanging="219"/>
        <w:spacing w:after="0" w:line="232" w:lineRule="auto"/>
        <w:tabs>
          <w:tab w:leader="none" w:pos="572" w:val="left"/>
        </w:tabs>
        <w:numPr>
          <w:ilvl w:val="0"/>
          <w:numId w:val="14"/>
        </w:numPr>
        <w:rPr>
          <w:rFonts w:ascii="Arial" w:cs="Arial" w:eastAsia="Arial" w:hAnsi="Arial"/>
          <w:sz w:val="22"/>
          <w:szCs w:val="22"/>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67" w:val="left"/>
        </w:tabs>
        <w:numPr>
          <w:ilvl w:val="0"/>
          <w:numId w:val="14"/>
        </w:numPr>
        <w:rPr>
          <w:rFonts w:ascii="Arial" w:cs="Arial" w:eastAsia="Arial" w:hAnsi="Arial"/>
          <w:sz w:val="22"/>
          <w:szCs w:val="22"/>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204"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120" w:right="399"/>
        <w:spacing w:after="0" w:line="277" w:lineRule="auto"/>
        <w:rPr>
          <w:sz w:val="20"/>
          <w:szCs w:val="20"/>
          <w:color w:val="auto"/>
        </w:rPr>
      </w:pPr>
      <w:r>
        <w:rPr>
          <w:rFonts w:ascii="Arial" w:cs="Arial" w:eastAsia="Arial" w:hAnsi="Arial"/>
          <w:sz w:val="18"/>
          <w:szCs w:val="18"/>
          <w:b w:val="1"/>
          <w:bCs w:val="1"/>
          <w:i w:val="1"/>
          <w:iCs w:val="1"/>
          <w:color w:val="auto"/>
        </w:rPr>
        <w:t>If we cannot successfully market our systems to major brand owners and fashion designers, our future growth and prospects could be harmed.</w:t>
      </w:r>
    </w:p>
    <w:p>
      <w:pPr>
        <w:spacing w:after="0" w:line="170"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A key element of our strategy for growing our business is to market and sell digital printing systems to contract printers that serve major textile brand owners and fashion designers. Accordingly, we are investing in efforts to educate leading textile brand owners and fashion designers about the potential benefits of digital textile printing. Although we have successfully marketed our systems to online businesses and custom decorators, we have limited experience marketing our systems to brand owners and fashion designers. If our efforts to expand awareness of our systems do not succeed or do not influence major brand owners and fashion designers to adopt our digital printing technologies, or if there is a significant reduction in the popularity of printed textiles, especially those that are customized or personalized, among the consumers to whom such brand owners and fashion designers cater, our future growth and prospects could suffer.</w:t>
      </w:r>
    </w:p>
    <w:p>
      <w:pPr>
        <w:spacing w:after="0" w:line="182" w:lineRule="exact"/>
        <w:rPr>
          <w:sz w:val="20"/>
          <w:szCs w:val="20"/>
          <w:color w:val="auto"/>
        </w:rPr>
      </w:pPr>
    </w:p>
    <w:p>
      <w:pPr>
        <w:ind w:left="120" w:right="139"/>
        <w:spacing w:after="0" w:line="277" w:lineRule="auto"/>
        <w:rPr>
          <w:sz w:val="20"/>
          <w:szCs w:val="20"/>
          <w:color w:val="auto"/>
        </w:rPr>
      </w:pPr>
      <w:r>
        <w:rPr>
          <w:rFonts w:ascii="Arial" w:cs="Arial" w:eastAsia="Arial" w:hAnsi="Arial"/>
          <w:sz w:val="18"/>
          <w:szCs w:val="18"/>
          <w:b w:val="1"/>
          <w:bCs w:val="1"/>
          <w:i w:val="1"/>
          <w:iCs w:val="1"/>
          <w:color w:val="auto"/>
        </w:rPr>
        <w:t>Disruption of operations at our manufacturing site or those of third-party manufacturers could prevent us from filling customer orders on a timely basis.</w:t>
      </w:r>
    </w:p>
    <w:p>
      <w:pPr>
        <w:spacing w:after="0" w:line="17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We manufacture our ink and other consumables at our facility in Kiryat Gat, Israel. We also rely on contract manufacturing services provided by ITS Industrial Techno Logic Solutions Ltd. in Israel to assemble the majority of our systems and receive contract manufacturing services from IFAT Technologies Ltd. with respect to certain of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we currently have only a limited inventory of our systems and ink and other consumables that we can supply to our customers in the event that our manufacturing is disrupted.</w:t>
      </w:r>
    </w:p>
    <w:p>
      <w:pPr>
        <w:spacing w:after="0" w:line="18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may not be able to introduce new systems or other technological enhancements to the market on the timescales that we project.</w:t>
      </w:r>
    </w:p>
    <w:p>
      <w:pPr>
        <w:spacing w:after="0" w:line="170"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Our growth plan includes the introduction of new systems. For example, we are seeking to penetrate the roll-to-roll, or R2R, market with the commercial launch of our Allegro system, which is targeted to occur within the next 18 months. We are also seeking to expand our presence in the industrial market with the commercial launch of our Vulcan system, which is targeted to occur within the next 24 months. The process of developing new or improved solutions is expensive, complex and involves uncertainties. The success of new or improved solutions depends on several factors, including appropriate component and raw materials costs, timely completion and introduction, reliability and stability, differentiation of new or improved solutions, and market acceptance. There can be no assurance that we will be successful in developing and marketing our new or improved solutions in a timely manner or that our new or improved solutions will adequately address market demands. Furthermore, we may experience unanticipated delays in the availability of new or improved solutions, and may fail to meet customer expectations with respect to the timing of such availability.</w:t>
      </w:r>
    </w:p>
    <w:p>
      <w:pPr>
        <w:spacing w:after="0" w:line="193" w:lineRule="exact"/>
        <w:rPr>
          <w:sz w:val="20"/>
          <w:szCs w:val="20"/>
          <w:color w:val="auto"/>
        </w:rPr>
      </w:pPr>
    </w:p>
    <w:p>
      <w:pPr>
        <w:ind w:left="120" w:right="859"/>
        <w:spacing w:after="0" w:line="277" w:lineRule="auto"/>
        <w:rPr>
          <w:sz w:val="20"/>
          <w:szCs w:val="20"/>
          <w:color w:val="auto"/>
        </w:rPr>
      </w:pPr>
      <w:r>
        <w:rPr>
          <w:rFonts w:ascii="Arial" w:cs="Arial" w:eastAsia="Arial" w:hAnsi="Arial"/>
          <w:sz w:val="18"/>
          <w:szCs w:val="18"/>
          <w:b w:val="1"/>
          <w:bCs w:val="1"/>
          <w:i w:val="1"/>
          <w:iCs w:val="1"/>
          <w:color w:val="auto"/>
        </w:rPr>
        <w:t>Our Allegro system, which we expect to launch commercially in the next 18 months, may not achieve market acceptance or gain adequate market share.</w:t>
      </w:r>
    </w:p>
    <w:p>
      <w:pPr>
        <w:spacing w:after="0" w:line="170"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Our Allegro system, which is currently in beta testing, is our first R2R printing system. Although the Allegro is based on the technology used in our DTG printing systems and we have experience in marketing our systems and ink and other consumables to the DTG printing market, the Allegro is our first R2R system. The market for digital R2R printers is more mature than the market for digital DTG printers, and we expect to face significant competition from major textile printer and ink manufacturers in the R2R market, such as MS Printing Solutions SRL, Reggiani Macchine S.P.A., and Durst Phototechnik AG. In addition, we expect to focus marketing efforts for our R2R systems towards customers with more capital-intensive operations, such as fabric converters, who source large quantities of fabric and convert untreated fabrics into finished materials to be sold to garment and home décor manufacturers. This differs from the customer base that we currently serve in the DTG market. We cannot ensure that the significant investments that we have made in distribution, sales and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ind w:left="120" w:right="219"/>
        <w:spacing w:after="0" w:line="255" w:lineRule="auto"/>
        <w:rPr>
          <w:sz w:val="20"/>
          <w:szCs w:val="20"/>
          <w:color w:val="auto"/>
        </w:rPr>
      </w:pPr>
      <w:r>
        <w:rPr>
          <w:rFonts w:ascii="Arial" w:cs="Arial" w:eastAsia="Arial" w:hAnsi="Arial"/>
          <w:sz w:val="18"/>
          <w:szCs w:val="18"/>
          <w:color w:val="auto"/>
        </w:rPr>
        <w:t>customer service teams in preparation for the launch of the Allegro will enable us to market, sell and distribute the Allegro as planned. Market acceptance of the Allegro will depend on, among other things, the system demonstrating a real advantage over existing printers, the success of our sales and marketing teams in creating awareness of the Allegro, the sales price of the Allegro relative to alternative printers, customer recognition of the value of our technology, the effectiveness of our marketing campaigns, and the general willingness of potential customers to try new technologies. In the event that we are unable to achieve market acceptance of the Allegro, our growth and future prospects may be adversely affected.</w:t>
      </w:r>
    </w:p>
    <w:p>
      <w:pPr>
        <w:spacing w:after="0" w:line="189" w:lineRule="exact"/>
        <w:rPr>
          <w:sz w:val="20"/>
          <w:szCs w:val="20"/>
          <w:color w:val="auto"/>
        </w:rPr>
      </w:pPr>
    </w:p>
    <w:p>
      <w:pPr>
        <w:ind w:left="120" w:right="119"/>
        <w:spacing w:after="0" w:line="308" w:lineRule="auto"/>
        <w:rPr>
          <w:sz w:val="20"/>
          <w:szCs w:val="20"/>
          <w:color w:val="auto"/>
        </w:rPr>
      </w:pPr>
      <w:r>
        <w:rPr>
          <w:rFonts w:ascii="Arial" w:cs="Arial" w:eastAsia="Arial" w:hAnsi="Arial"/>
          <w:sz w:val="17"/>
          <w:szCs w:val="17"/>
          <w:b w:val="1"/>
          <w:bCs w:val="1"/>
          <w:i w:val="1"/>
          <w:iCs w:val="1"/>
          <w:color w:val="auto"/>
        </w:rPr>
        <w:t>If we fail to effectively manage our growth, our business and operations will be negatively affected, and as we invest in the growth of our business, our operating and net profit margins could decline in the near-term.</w:t>
      </w:r>
    </w:p>
    <w:p>
      <w:pPr>
        <w:spacing w:after="0" w:line="147"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We have experienced significant growth in a relatively short period of time and intend to continue to grow our business. Our revenues grew from $39.2 million in 2012 to $49.4 million in 2013 and from $34.2 million in the nine months ended September 30, 2013 to $47.5 million in nine months ended September 30, 2014. Our headcount increased from 109 as of December 31, 2011 to 254 as of September 30, 2014, and during such period we hired our current Chief Executive Officer and Chief Financial Officer. We plan to hire additional employees in 2015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and in connection with our transition to a public company,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73" w:lineRule="exact"/>
        <w:rPr>
          <w:sz w:val="20"/>
          <w:szCs w:val="20"/>
          <w:color w:val="auto"/>
        </w:rPr>
      </w:pPr>
    </w:p>
    <w:p>
      <w:pPr>
        <w:ind w:left="120" w:right="519"/>
        <w:spacing w:after="0" w:line="308" w:lineRule="auto"/>
        <w:rPr>
          <w:sz w:val="20"/>
          <w:szCs w:val="20"/>
          <w:color w:val="auto"/>
        </w:rPr>
      </w:pPr>
      <w:r>
        <w:rPr>
          <w:rFonts w:ascii="Arial" w:cs="Arial" w:eastAsia="Arial" w:hAnsi="Arial"/>
          <w:sz w:val="17"/>
          <w:szCs w:val="17"/>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47"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These laws and regulations could potentially require the expenditure of significant amounts for 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Exchange rate fluctuations between the U.S. dollar and the Israeli shekel, the Euro and other non-U.S. currencies may negatively affect our earnings.</w:t>
      </w:r>
    </w:p>
    <w:p>
      <w:pPr>
        <w:spacing w:after="0" w:line="170"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As a result, we are exposed to the risk that the shekel may appreciate relative to the dollar, or, if the shekel instead devalues relative to the dollar, that the inflation rate in Israel may exceed such rate of devaluation of the shekel, or that the timing of such devaluation may lag behind inflation in Israel. In any such event, the dollar cost of our operations in Israel would increase and our dollar-denominated results of operations would be adversely affected. We cannot predict any future trends in the rate of inflation in Israel or the rate of devaluation (if any) of the shekel against the dollar. For example, although the dollar appreciated against the shekel in 2011, the rate of devaluation of the dollar against the shekel was 2.3% and 7.0% in 2012 and 2013, respectively, which was compounded by inflation in Israel at a rate of 1.6% and 1.8%, respectively. If the dollar cost of our operations increases, our dollar-measured results of operations will be adversely affected. Our operations also could be adversely affected if we are unable to effectively hedge against currency fluctuations in the future, or if our hedging arrangements fail to cover long-term changes in exchange rates.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120"/>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67"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develop and commercialize our solutions or new applications for our existing systems. Further, any failure to effectively integrate new personnel could prevent us from successfully growing our company.</w:t>
      </w:r>
    </w:p>
    <w:p>
      <w:pPr>
        <w:spacing w:after="0" w:line="178" w:lineRule="exact"/>
        <w:rPr>
          <w:sz w:val="20"/>
          <w:szCs w:val="20"/>
          <w:color w:val="auto"/>
        </w:rPr>
      </w:pPr>
    </w:p>
    <w:p>
      <w:pPr>
        <w:ind w:left="120" w:right="479"/>
        <w:spacing w:after="0" w:line="381" w:lineRule="auto"/>
        <w:rPr>
          <w:sz w:val="20"/>
          <w:szCs w:val="20"/>
          <w:color w:val="auto"/>
        </w:rPr>
      </w:pPr>
      <w:r>
        <w:rPr>
          <w:rFonts w:ascii="Arial" w:cs="Arial" w:eastAsia="Arial" w:hAnsi="Arial"/>
          <w:sz w:val="15"/>
          <w:szCs w:val="15"/>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01"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79" w:lineRule="exact"/>
        <w:rPr>
          <w:sz w:val="20"/>
          <w:szCs w:val="20"/>
          <w:color w:val="auto"/>
        </w:rPr>
      </w:pPr>
    </w:p>
    <w:p>
      <w:pPr>
        <w:ind w:left="120" w:right="219"/>
        <w:spacing w:after="0" w:line="312" w:lineRule="auto"/>
        <w:rPr>
          <w:sz w:val="20"/>
          <w:szCs w:val="20"/>
          <w:color w:val="auto"/>
        </w:rPr>
      </w:pPr>
      <w:r>
        <w:rPr>
          <w:rFonts w:ascii="Arial" w:cs="Arial" w:eastAsia="Arial" w:hAnsi="Arial"/>
          <w:sz w:val="16"/>
          <w:szCs w:val="16"/>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47" w:lineRule="exact"/>
        <w:rPr>
          <w:sz w:val="20"/>
          <w:szCs w:val="20"/>
          <w:color w:val="auto"/>
        </w:rPr>
      </w:pPr>
    </w:p>
    <w:p>
      <w:pPr>
        <w:ind w:left="120" w:right="139" w:firstLine="216"/>
        <w:spacing w:after="0" w:line="291" w:lineRule="auto"/>
        <w:rPr>
          <w:sz w:val="20"/>
          <w:szCs w:val="20"/>
          <w:color w:val="auto"/>
        </w:rPr>
      </w:pPr>
      <w:r>
        <w:rPr>
          <w:rFonts w:ascii="Arial" w:cs="Arial" w:eastAsia="Arial" w:hAnsi="Arial"/>
          <w:sz w:val="16"/>
          <w:szCs w:val="16"/>
          <w:color w:val="auto"/>
        </w:rPr>
        <w:t>Although we believe our cash flows from operating activities, our existing cash resources, available credit lines and the net proceeds to us from this offering will be sufficient to meet our currently anticipated cash requirements through the next 12 months based on our current business plan,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67"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92" w:lineRule="exact"/>
        <w:rPr>
          <w:sz w:val="20"/>
          <w:szCs w:val="20"/>
          <w:color w:val="auto"/>
        </w:rPr>
      </w:pPr>
    </w:p>
    <w:p>
      <w:pPr>
        <w:ind w:left="120" w:right="179" w:firstLine="216"/>
        <w:spacing w:after="0" w:line="259" w:lineRule="auto"/>
        <w:rPr>
          <w:sz w:val="20"/>
          <w:szCs w:val="20"/>
          <w:color w:val="auto"/>
        </w:rPr>
      </w:pPr>
      <w:r>
        <w:rPr>
          <w:rFonts w:ascii="Arial" w:cs="Arial" w:eastAsia="Arial" w:hAnsi="Arial"/>
          <w:sz w:val="18"/>
          <w:szCs w:val="18"/>
          <w:color w:val="auto"/>
        </w:rPr>
        <w:t>If we are unable to raise additional capital when required and on acceptable terms, we may be required to delay, scale back or discontinue the development, manufacturing scale-up or commercialization of our current and future solutions, which would have a material adverse effect on our business, operating results and prospects and on our ability to develop our solutions.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7" w:name="page18"/>
    <w:bookmarkEnd w:id="17"/>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70" w:lineRule="exact"/>
        <w:rPr>
          <w:sz w:val="20"/>
          <w:szCs w:val="20"/>
          <w:color w:val="auto"/>
        </w:rPr>
      </w:pPr>
    </w:p>
    <w:p>
      <w:pPr>
        <w:ind w:left="560" w:hanging="219"/>
        <w:spacing w:after="0"/>
        <w:tabs>
          <w:tab w:leader="none" w:pos="560" w:val="left"/>
        </w:tabs>
        <w:numPr>
          <w:ilvl w:val="0"/>
          <w:numId w:val="15"/>
        </w:numPr>
        <w:rPr>
          <w:rFonts w:ascii="Arial" w:cs="Arial" w:eastAsia="Arial" w:hAnsi="Arial"/>
          <w:sz w:val="21"/>
          <w:szCs w:val="21"/>
          <w:color w:val="auto"/>
        </w:rPr>
      </w:pPr>
      <w:r>
        <w:rPr>
          <w:rFonts w:ascii="Arial" w:cs="Arial" w:eastAsia="Arial" w:hAnsi="Arial"/>
          <w:sz w:val="17"/>
          <w:szCs w:val="17"/>
          <w:color w:val="auto"/>
        </w:rPr>
        <w:t>greater difficulty in enforcing contracts and accounts receivable collection, as well as longer collection periods;</w:t>
      </w:r>
    </w:p>
    <w:p>
      <w:pPr>
        <w:spacing w:after="0" w:line="215" w:lineRule="exact"/>
        <w:rPr>
          <w:rFonts w:ascii="Arial" w:cs="Arial" w:eastAsia="Arial" w:hAnsi="Arial"/>
          <w:sz w:val="21"/>
          <w:szCs w:val="21"/>
          <w:color w:val="auto"/>
        </w:rPr>
      </w:pPr>
    </w:p>
    <w:p>
      <w:pPr>
        <w:ind w:left="560" w:right="61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19"/>
          <w:szCs w:val="19"/>
          <w:color w:val="auto"/>
        </w:rPr>
      </w:pPr>
      <w:r>
        <w:rPr>
          <w:rFonts w:ascii="Arial" w:cs="Arial" w:eastAsia="Arial" w:hAnsi="Arial"/>
          <w:sz w:val="16"/>
          <w:szCs w:val="16"/>
          <w:color w:val="auto"/>
        </w:rPr>
        <w:t>fluctuations in exchange rates between the U.S. dollar and foreign currencies in markets where we do business;</w:t>
      </w:r>
    </w:p>
    <w:p>
      <w:pPr>
        <w:spacing w:after="0" w:line="227" w:lineRule="exact"/>
        <w:rPr>
          <w:rFonts w:ascii="Arial" w:cs="Arial" w:eastAsia="Arial" w:hAnsi="Arial"/>
          <w:sz w:val="19"/>
          <w:szCs w:val="19"/>
          <w:color w:val="auto"/>
        </w:rPr>
      </w:pPr>
    </w:p>
    <w:p>
      <w:pPr>
        <w:ind w:left="560" w:right="71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general economic and political conditions in these foreign markets;</w:t>
      </w:r>
    </w:p>
    <w:p>
      <w:pPr>
        <w:spacing w:after="0" w:line="215" w:lineRule="exact"/>
        <w:rPr>
          <w:rFonts w:ascii="Arial" w:cs="Arial" w:eastAsia="Arial" w:hAnsi="Arial"/>
          <w:sz w:val="22"/>
          <w:szCs w:val="22"/>
          <w:color w:val="auto"/>
        </w:rPr>
      </w:pPr>
    </w:p>
    <w:p>
      <w:pPr>
        <w:ind w:left="560" w:right="439" w:hanging="219"/>
        <w:spacing w:after="0" w:line="232"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economic uncertainty around the world, including continued economic uncertainty as a result of sovereign debt issues in Europe and Latin America;</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management communication and integration problems resulting from cultural and geographic dispersion;</w:t>
      </w:r>
    </w:p>
    <w:p>
      <w:pPr>
        <w:spacing w:after="0" w:line="215" w:lineRule="exact"/>
        <w:rPr>
          <w:rFonts w:ascii="Arial" w:cs="Arial" w:eastAsia="Arial" w:hAnsi="Arial"/>
          <w:sz w:val="22"/>
          <w:szCs w:val="22"/>
          <w:color w:val="auto"/>
        </w:rPr>
      </w:pPr>
    </w:p>
    <w:p>
      <w:pPr>
        <w:ind w:left="560" w:right="239" w:hanging="219"/>
        <w:spacing w:after="0" w:line="238" w:lineRule="auto"/>
        <w:tabs>
          <w:tab w:leader="none" w:pos="572" w:val="left"/>
        </w:tabs>
        <w:numPr>
          <w:ilvl w:val="0"/>
          <w:numId w:val="15"/>
        </w:numPr>
        <w:rPr>
          <w:rFonts w:ascii="Arial" w:cs="Arial" w:eastAsia="Arial" w:hAnsi="Arial"/>
          <w:sz w:val="22"/>
          <w:szCs w:val="22"/>
          <w:color w:val="auto"/>
        </w:rPr>
      </w:pPr>
      <w:r>
        <w:rPr>
          <w:rFonts w:ascii="Arial" w:cs="Arial" w:eastAsia="Arial" w:hAnsi="Arial"/>
          <w:sz w:val="18"/>
          <w:szCs w:val="18"/>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greater risk of unexpected changes in regulatory practices, tariffs, and tax laws and treaties;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5"/>
        </w:numPr>
        <w:rPr>
          <w:rFonts w:ascii="Arial" w:cs="Arial" w:eastAsia="Arial" w:hAnsi="Arial"/>
          <w:sz w:val="22"/>
          <w:szCs w:val="22"/>
          <w:color w:val="auto"/>
        </w:rPr>
      </w:pPr>
      <w:r>
        <w:rPr>
          <w:rFonts w:ascii="Arial" w:cs="Arial" w:eastAsia="Arial" w:hAnsi="Arial"/>
          <w:sz w:val="18"/>
          <w:szCs w:val="18"/>
          <w:color w:val="auto"/>
        </w:rPr>
        <w:t>the uncertainty of protection for intellectual property rights in some countries;</w:t>
      </w:r>
    </w:p>
    <w:p>
      <w:pPr>
        <w:spacing w:after="0" w:line="215" w:lineRule="exact"/>
        <w:rPr>
          <w:rFonts w:ascii="Arial" w:cs="Arial" w:eastAsia="Arial" w:hAnsi="Arial"/>
          <w:sz w:val="22"/>
          <w:szCs w:val="22"/>
          <w:color w:val="auto"/>
        </w:rPr>
      </w:pPr>
    </w:p>
    <w:p>
      <w:pPr>
        <w:ind w:left="560" w:right="119" w:hanging="219"/>
        <w:spacing w:after="0" w:line="251" w:lineRule="auto"/>
        <w:tabs>
          <w:tab w:leader="none" w:pos="572" w:val="left"/>
        </w:tabs>
        <w:numPr>
          <w:ilvl w:val="0"/>
          <w:numId w:val="15"/>
        </w:numPr>
        <w:rPr>
          <w:rFonts w:ascii="Arial" w:cs="Arial" w:eastAsia="Arial" w:hAnsi="Arial"/>
          <w:sz w:val="21"/>
          <w:szCs w:val="21"/>
          <w:color w:val="auto"/>
        </w:rPr>
      </w:pPr>
      <w:r>
        <w:rPr>
          <w:rFonts w:ascii="Arial" w:cs="Arial" w:eastAsia="Arial" w:hAnsi="Arial"/>
          <w:sz w:val="17"/>
          <w:szCs w:val="17"/>
          <w:color w:val="auto"/>
        </w:rPr>
        <w:t>greater risk of a failure of employees to comply with both U.S. and foreign laws, including antitrust regulations, the U.S. Foreign Corrupt Practices Act (FCPA), and any trade regulations ensuring fair trade practices; and</w:t>
      </w:r>
    </w:p>
    <w:p>
      <w:pPr>
        <w:spacing w:after="0" w:line="204" w:lineRule="exact"/>
        <w:rPr>
          <w:rFonts w:ascii="Arial" w:cs="Arial" w:eastAsia="Arial" w:hAnsi="Arial"/>
          <w:sz w:val="21"/>
          <w:szCs w:val="21"/>
          <w:color w:val="auto"/>
        </w:rPr>
      </w:pPr>
    </w:p>
    <w:p>
      <w:pPr>
        <w:jc w:val="both"/>
        <w:ind w:left="560" w:right="119" w:hanging="219"/>
        <w:spacing w:after="0" w:line="238" w:lineRule="auto"/>
        <w:tabs>
          <w:tab w:leader="none" w:pos="653" w:val="left"/>
        </w:tabs>
        <w:numPr>
          <w:ilvl w:val="0"/>
          <w:numId w:val="15"/>
        </w:numPr>
        <w:rPr>
          <w:rFonts w:ascii="Arial" w:cs="Arial" w:eastAsia="Arial" w:hAnsi="Arial"/>
          <w:sz w:val="22"/>
          <w:szCs w:val="22"/>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203"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7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If we are unable to obtain patent protection for our solutions or otherwise protect our intellectual property rights, our business could suffer.</w:t>
      </w:r>
    </w:p>
    <w:p>
      <w:pPr>
        <w:spacing w:after="0" w:line="170"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 w:name="page19"/>
    <w:bookmarkEnd w:id="18"/>
    <w:p>
      <w:pPr>
        <w:ind w:left="340"/>
        <w:spacing w:after="0"/>
        <w:rPr>
          <w:sz w:val="20"/>
          <w:szCs w:val="20"/>
          <w:color w:val="auto"/>
        </w:rPr>
      </w:pPr>
      <w:r>
        <w:rPr>
          <w:rFonts w:ascii="Arial" w:cs="Arial" w:eastAsia="Arial" w:hAnsi="Arial"/>
          <w:sz w:val="17"/>
          <w:szCs w:val="17"/>
          <w:color w:val="auto"/>
        </w:rPr>
        <w:t>As of December 1, 2014, we owned seven issued patents in the United States and five provisional or pending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U.S. patent applications. We also had 10 patents issued in non-U.S. jurisdictions, and two pending Patent Cooperation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Treaty patent applications, which are counterparts of our U.S. patent applications. The non-U.S. jurisdictions in which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issued patents are China, the European Union, Hong Kong and Japan. We may file additional patent applications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future. The process of obtaining patent protection is expensive, time-consuming, and uncertain, and we may not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able to prosecute all necessary or desirable patent applications at a reasonable cost or in a timely manner all the way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through to the successful issuance of a patent. We may choose not to seek patent protection for certain innovations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may choose not to pursue patent protection in certain jurisdictions. Furthermore, it is possible that our patent applications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may not issue as granted patents, that the scope of our issued patents will be insufficient or not have the coverage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originally sought, that our issued patents will not provide us with any competitive advantages, and that our patents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intellectual property rights may be challenged by others through administrative processes or litigation resulting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patent claims being narrowed, invalidated, or unenforceable. In addition, issuance of a patent does not guarantee that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have an absolute right to practice the patented invention. Our policy is to require our employees (and our consultants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service providers, including third-party manufacturers of our systems and components, that develop intellectual property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included in our systems) to execute written agreements in which they assign to us their rights in potential inventions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intellectual property created within the scope of their employment (or, with respect to consultants and service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providers, their engagement to develop such intellectual property), but we cannot assure you that we have adequately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protected our rights in every such agreement or that we have executed an agreement with every such party. Finally,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order to benefit from the protection of patents and other intellectual property rights, we must monitor and</w:t>
      </w:r>
    </w:p>
    <w:p>
      <w:pPr>
        <w:spacing w:after="0" w:line="9" w:lineRule="exact"/>
        <w:rPr>
          <w:sz w:val="20"/>
          <w:szCs w:val="20"/>
          <w:color w:val="auto"/>
        </w:rPr>
      </w:pPr>
    </w:p>
    <w:p>
      <w:pPr>
        <w:jc w:val="both"/>
        <w:ind w:left="120" w:right="399"/>
        <w:spacing w:after="0" w:line="255" w:lineRule="auto"/>
        <w:rPr>
          <w:sz w:val="20"/>
          <w:szCs w:val="20"/>
          <w:color w:val="auto"/>
        </w:rPr>
      </w:pPr>
      <w:r>
        <w:rPr>
          <w:rFonts w:ascii="Arial" w:cs="Arial" w:eastAsia="Arial" w:hAnsi="Arial"/>
          <w:sz w:val="18"/>
          <w:szCs w:val="18"/>
          <w:color w:val="auto"/>
        </w:rPr>
        <w:t>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190" w:lineRule="exact"/>
        <w:rPr>
          <w:sz w:val="20"/>
          <w:szCs w:val="20"/>
          <w:color w:val="auto"/>
        </w:rPr>
      </w:pPr>
    </w:p>
    <w:p>
      <w:pPr>
        <w:ind w:left="120" w:right="139" w:firstLine="216"/>
        <w:spacing w:after="0" w:line="267" w:lineRule="auto"/>
        <w:rPr>
          <w:sz w:val="20"/>
          <w:szCs w:val="20"/>
          <w:color w:val="auto"/>
        </w:rPr>
      </w:pPr>
      <w:r>
        <w:rPr>
          <w:rFonts w:ascii="Arial" w:cs="Arial" w:eastAsia="Arial" w:hAnsi="Arial"/>
          <w:sz w:val="17"/>
          <w:szCs w:val="17"/>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 We also license in certain software components from third parties and use certain open source software in the operation of our business. If we were to lose our rights to use such software, we may have to create or license replacement software.</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incur substantial costs responding to third-party claims of intellectual property infringement.</w:t>
      </w:r>
    </w:p>
    <w:p>
      <w:pPr>
        <w:spacing w:after="0" w:line="225"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may in the future be subject to claims that we have infringed third-party intellectual property rights. Intellectual property disputes can be costly and disruptive to our business operations by diverting the attention and energies of management and key technical personnel, and by increasing our costs of doing business. We may not prevail in any such dispute or litigation, and an adverse decision in any legal action involving intellectual property rights could harm our intellectual property rights and the value of any related technology.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39" w:lineRule="exact"/>
        <w:rPr>
          <w:sz w:val="20"/>
          <w:szCs w:val="20"/>
          <w:color w:val="auto"/>
        </w:rPr>
      </w:pPr>
    </w:p>
    <w:p>
      <w:pPr>
        <w:ind w:left="560" w:right="179" w:hanging="219"/>
        <w:spacing w:after="0" w:line="232" w:lineRule="auto"/>
        <w:tabs>
          <w:tab w:leader="none" w:pos="572"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redesign our technology or force us to enter into costly settlement or license agreements on terms that are unfavorable to us;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prevent us from manufacturing, importing, using, or selling some or all of our solutions;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disrupt our operations or the markets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impose costly damage awards;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6"/>
        </w:numPr>
        <w:rPr>
          <w:rFonts w:ascii="Arial" w:cs="Arial" w:eastAsia="Arial" w:hAnsi="Arial"/>
          <w:sz w:val="22"/>
          <w:szCs w:val="22"/>
          <w:color w:val="auto"/>
        </w:rPr>
      </w:pPr>
      <w:r>
        <w:rPr>
          <w:rFonts w:ascii="Arial" w:cs="Arial" w:eastAsia="Arial" w:hAnsi="Arial"/>
          <w:sz w:val="18"/>
          <w:szCs w:val="18"/>
          <w:color w:val="auto"/>
        </w:rPr>
        <w:t>require us to indemnify our distributors and customers.</w:t>
      </w:r>
    </w:p>
    <w:p>
      <w:pPr>
        <w:spacing w:after="0" w:line="202" w:lineRule="exact"/>
        <w:rPr>
          <w:sz w:val="20"/>
          <w:szCs w:val="20"/>
          <w:color w:val="auto"/>
        </w:rPr>
      </w:pPr>
    </w:p>
    <w:p>
      <w:pPr>
        <w:ind w:left="120" w:right="119"/>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service invention rights. The Patent Law also provides that if there is no such agreement between an employer and an employee, the Israeli Compensation and Royalties Committee, or the Committee, a body constituted under the Patent Law, shall determine whether the employee is entitled to remuneration for his inventions. Recent decisions by the Committee (which have been upheld by the Israeli Supreme Court on appeal) have created uncertainty in this area, as it held that employees may be entitled to remuneration for their service inventions despite having specifically waived any such rights. However, a recent decision by the Committee held that such right can be waived by the employee. The Committee further held that an explicit reference to the waived right is not necessary in every circumstance in order for the employee’s waiver of such right to be valid. Such waiver can be formalized in writing or orally or be implied by the actions of the parties in accordance with the rules of interpretation of Israeli contract law.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w:t>
      </w:r>
    </w:p>
    <w:p>
      <w:pPr>
        <w:spacing w:after="0" w:line="39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Undetected defects in the design or manufacturing of our products may harm our business and results of operations.</w:t>
      </w:r>
    </w:p>
    <w:p>
      <w:pPr>
        <w:spacing w:after="0" w:line="260"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172" w:lineRule="exact"/>
        <w:rPr>
          <w:sz w:val="20"/>
          <w:szCs w:val="20"/>
          <w:color w:val="auto"/>
        </w:rPr>
      </w:pPr>
    </w:p>
    <w:p>
      <w:pPr>
        <w:ind w:left="120" w:right="219"/>
        <w:spacing w:after="0" w:line="277"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shareholder value, and adversely affect our results of operations.</w:t>
      </w:r>
    </w:p>
    <w:p>
      <w:pPr>
        <w:spacing w:after="0" w:line="170" w:lineRule="exact"/>
        <w:rPr>
          <w:sz w:val="20"/>
          <w:szCs w:val="20"/>
          <w:color w:val="auto"/>
        </w:rPr>
      </w:pPr>
    </w:p>
    <w:p>
      <w:pPr>
        <w:ind w:left="120" w:right="559" w:firstLine="216"/>
        <w:spacing w:after="0" w:line="264" w:lineRule="auto"/>
        <w:rPr>
          <w:sz w:val="20"/>
          <w:szCs w:val="20"/>
          <w:color w:val="auto"/>
        </w:rPr>
      </w:pPr>
      <w:r>
        <w:rPr>
          <w:rFonts w:ascii="Arial" w:cs="Arial" w:eastAsia="Arial" w:hAnsi="Arial"/>
          <w:sz w:val="18"/>
          <w:szCs w:val="18"/>
          <w:color w:val="auto"/>
        </w:rPr>
        <w:t>As part of our business strategy and in order to remain competitive, we may acquire or make investments in complementary companies, products or technologies. However, we have not made any acquisitions to date, and as a result,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120" w:right="119"/>
        <w:spacing w:after="0" w:line="286" w:lineRule="auto"/>
        <w:rPr>
          <w:sz w:val="20"/>
          <w:szCs w:val="20"/>
          <w:color w:val="auto"/>
        </w:rPr>
      </w:pPr>
      <w:r>
        <w:rPr>
          <w:rFonts w:ascii="Arial" w:cs="Arial" w:eastAsia="Arial" w:hAnsi="Arial"/>
          <w:sz w:val="16"/>
          <w:szCs w:val="16"/>
          <w:color w:val="auto"/>
        </w:rPr>
        <w:t>our ability as an organization to acquire and integrate other companies, products or technologies in a successful manner is unproven. We may not be able to find suitable acquisition candidates, and we may not be able to complete such acquisitions on favorable terms, if at all. If we do complete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Ordinary Shares and the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has been no prior public market for our ordinary shares, and an active trading market may not develop.</w:t>
      </w:r>
    </w:p>
    <w:p>
      <w:pPr>
        <w:spacing w:after="0" w:line="248" w:lineRule="exact"/>
        <w:rPr>
          <w:sz w:val="20"/>
          <w:szCs w:val="20"/>
          <w:color w:val="auto"/>
        </w:rPr>
      </w:pPr>
    </w:p>
    <w:p>
      <w:pPr>
        <w:ind w:left="120" w:right="319" w:firstLine="216"/>
        <w:spacing w:after="0" w:line="273" w:lineRule="auto"/>
        <w:rPr>
          <w:sz w:val="20"/>
          <w:szCs w:val="20"/>
          <w:color w:val="auto"/>
        </w:rPr>
      </w:pPr>
      <w:r>
        <w:rPr>
          <w:rFonts w:ascii="Arial" w:cs="Arial" w:eastAsia="Arial" w:hAnsi="Arial"/>
          <w:sz w:val="17"/>
          <w:szCs w:val="17"/>
          <w:color w:val="auto"/>
        </w:rPr>
        <w:t>Prior to this offering, there has been no public market for our ordinary shares. An active trading market may not develop following completion of this offering or, if developed, may not be sustained. The lack of an active market may impair your ability to sell your ordinary shares at the time you wish to sell them or at a price that you consider reasonable. The lack of an active market may also reduce the fair market value of your ordinary shares. An inactive market may also impair our ability to raise capital by selling our ordinary shares and may impair our ability to acquire other companies by using our ordinary shares as consideration.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share price may be volatile, and you may lose all or part of your investment.</w:t>
      </w:r>
    </w:p>
    <w:p>
      <w:pPr>
        <w:spacing w:after="0" w:line="225" w:lineRule="exact"/>
        <w:rPr>
          <w:sz w:val="20"/>
          <w:szCs w:val="20"/>
          <w:color w:val="auto"/>
        </w:rPr>
      </w:pPr>
    </w:p>
    <w:p>
      <w:pPr>
        <w:ind w:left="120" w:right="159" w:firstLine="216"/>
        <w:spacing w:after="0" w:line="279" w:lineRule="auto"/>
        <w:rPr>
          <w:sz w:val="20"/>
          <w:szCs w:val="20"/>
          <w:color w:val="auto"/>
        </w:rPr>
      </w:pPr>
      <w:r>
        <w:rPr>
          <w:rFonts w:ascii="Arial" w:cs="Arial" w:eastAsia="Arial" w:hAnsi="Arial"/>
          <w:sz w:val="17"/>
          <w:szCs w:val="17"/>
          <w:color w:val="auto"/>
        </w:rPr>
        <w:t>The initial public offering price for the ordinary shares sold in this offering will be determined by negotiation between us and representatives of the underwriters. This price may not reflect the market price of our ordinary shares following this offering and the price of our ordinary shares may decline. In addition, the market price of our ordinary shares could be highly volatile and may fluctuate substantially as a result of many factors, including:</w:t>
      </w:r>
    </w:p>
    <w:p>
      <w:pPr>
        <w:spacing w:after="0" w:line="174" w:lineRule="exact"/>
        <w:rPr>
          <w:sz w:val="20"/>
          <w:szCs w:val="20"/>
          <w:color w:val="auto"/>
        </w:rPr>
      </w:pPr>
    </w:p>
    <w:p>
      <w:pPr>
        <w:ind w:left="560" w:hanging="219"/>
        <w:spacing w:after="0"/>
        <w:tabs>
          <w:tab w:leader="none" w:pos="560" w:val="left"/>
        </w:tabs>
        <w:numPr>
          <w:ilvl w:val="0"/>
          <w:numId w:val="17"/>
        </w:numPr>
        <w:rPr>
          <w:rFonts w:ascii="Arial" w:cs="Arial" w:eastAsia="Arial" w:hAnsi="Arial"/>
          <w:sz w:val="21"/>
          <w:szCs w:val="21"/>
          <w:color w:val="auto"/>
        </w:rPr>
      </w:pPr>
      <w:r>
        <w:rPr>
          <w:rFonts w:ascii="Arial" w:cs="Arial" w:eastAsia="Arial" w:hAnsi="Arial"/>
          <w:sz w:val="17"/>
          <w:szCs w:val="17"/>
          <w:color w:val="auto"/>
        </w:rPr>
        <w:t>actual or anticipated variations in our and/or our competitors’ results of operations and financial condition;</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variance in our financial performance from the expectations of market analysts;</w:t>
      </w:r>
    </w:p>
    <w:p>
      <w:pPr>
        <w:spacing w:after="0" w:line="215" w:lineRule="exact"/>
        <w:rPr>
          <w:rFonts w:ascii="Arial" w:cs="Arial" w:eastAsia="Arial" w:hAnsi="Arial"/>
          <w:sz w:val="22"/>
          <w:szCs w:val="22"/>
          <w:color w:val="auto"/>
        </w:rPr>
      </w:pPr>
    </w:p>
    <w:p>
      <w:pPr>
        <w:ind w:left="560" w:right="759" w:hanging="219"/>
        <w:spacing w:after="0" w:line="232" w:lineRule="auto"/>
        <w:tabs>
          <w:tab w:leader="none" w:pos="572" w:val="left"/>
        </w:tabs>
        <w:numPr>
          <w:ilvl w:val="0"/>
          <w:numId w:val="17"/>
        </w:numPr>
        <w:rPr>
          <w:rFonts w:ascii="Arial" w:cs="Arial" w:eastAsia="Arial" w:hAnsi="Arial"/>
          <w:sz w:val="22"/>
          <w:szCs w:val="22"/>
          <w:color w:val="auto"/>
        </w:rPr>
      </w:pPr>
      <w:r>
        <w:rPr>
          <w:rFonts w:ascii="Arial" w:cs="Arial" w:eastAsia="Arial" w:hAnsi="Arial"/>
          <w:sz w:val="18"/>
          <w:szCs w:val="18"/>
          <w:color w:val="auto"/>
        </w:rPr>
        <w:t>announcements by us or our competitors of significant business developments, changes in service provider relationships, acquisitions or expansion plans;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prices of our solutions;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involvement in litigation;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our sale of ordinary shares or other securities in the future;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market conditions in our industry;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key personnel;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trading volume of our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the estimation of the future size and growth rate of our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general economic and market conditions.</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1" w:name="page22"/>
    <w:bookmarkEnd w:id="21"/>
    <w:p>
      <w:pPr>
        <w:ind w:left="120" w:right="159" w:firstLine="216"/>
        <w:spacing w:after="0" w:line="276" w:lineRule="auto"/>
        <w:rPr>
          <w:sz w:val="20"/>
          <w:szCs w:val="20"/>
          <w:color w:val="auto"/>
        </w:rPr>
      </w:pPr>
      <w:r>
        <w:rPr>
          <w:rFonts w:ascii="Arial" w:cs="Arial" w:eastAsia="Arial" w:hAnsi="Arial"/>
          <w:sz w:val="17"/>
          <w:szCs w:val="17"/>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our ordinary shares could reduce the market price of our ordinary shares.</w:t>
      </w:r>
    </w:p>
    <w:p>
      <w:pPr>
        <w:spacing w:after="0" w:line="185" w:lineRule="exact"/>
        <w:rPr>
          <w:sz w:val="20"/>
          <w:szCs w:val="20"/>
          <w:color w:val="auto"/>
        </w:rPr>
      </w:pPr>
    </w:p>
    <w:p>
      <w:pPr>
        <w:ind w:left="120" w:right="239" w:firstLine="216"/>
        <w:spacing w:after="0" w:line="284" w:lineRule="auto"/>
        <w:rPr>
          <w:sz w:val="20"/>
          <w:szCs w:val="20"/>
          <w:color w:val="auto"/>
        </w:rPr>
      </w:pPr>
      <w:r>
        <w:rPr>
          <w:rFonts w:ascii="Arial" w:cs="Arial" w:eastAsia="Arial" w:hAnsi="Arial"/>
          <w:sz w:val="16"/>
          <w:szCs w:val="16"/>
          <w:color w:val="auto"/>
        </w:rPr>
        <w:t>If our existing shareholders, particularly our directors, their affiliates, or our executive officers, sell a substantial number of our ordinary shares in the public market, the market price of our ordinary shares could decrease significantly. The perception in the public market that our shareholders might sell our ordinary shares could also depress the market price of our ordinary shares and could impair our future ability to obtain capital, especially through an offering of equity securities. Substantially all of our shares outstanding prior to this offering and our shares issuable upon the exercise of options are subject to lock-up agreements with the underwriters that restrict the ability of their holders to transfer such shares for 180 days after the date of this prospectus. Consequently, upon expiration of the lock-up agreements, an</w:t>
      </w:r>
    </w:p>
    <w:p>
      <w:pPr>
        <w:spacing w:after="0" w:line="3" w:lineRule="exact"/>
        <w:rPr>
          <w:sz w:val="20"/>
          <w:szCs w:val="20"/>
          <w:color w:val="auto"/>
        </w:rPr>
      </w:pPr>
    </w:p>
    <w:p>
      <w:pPr>
        <w:ind w:left="120" w:right="299"/>
        <w:spacing w:after="0" w:line="250" w:lineRule="auto"/>
        <w:rPr>
          <w:sz w:val="20"/>
          <w:szCs w:val="20"/>
          <w:color w:val="auto"/>
        </w:rPr>
      </w:pPr>
      <w:r>
        <w:rPr>
          <w:rFonts w:ascii="Arial" w:cs="Arial" w:eastAsia="Arial" w:hAnsi="Arial"/>
          <w:sz w:val="18"/>
          <w:szCs w:val="18"/>
          <w:color w:val="auto"/>
        </w:rPr>
        <w:t>additional approximately outstanding ordinary shares and shares underlying vested options will be eligible for sale in the public market of which approximately will be subject to restrictions on volume and manner</w:t>
      </w:r>
    </w:p>
    <w:p>
      <w:pPr>
        <w:spacing w:after="0" w:line="1" w:lineRule="exact"/>
        <w:rPr>
          <w:sz w:val="20"/>
          <w:szCs w:val="20"/>
          <w:color w:val="auto"/>
        </w:rPr>
      </w:pPr>
    </w:p>
    <w:p>
      <w:pPr>
        <w:ind w:left="120" w:right="119"/>
        <w:spacing w:after="0" w:line="268" w:lineRule="auto"/>
        <w:rPr>
          <w:sz w:val="20"/>
          <w:szCs w:val="20"/>
          <w:color w:val="auto"/>
        </w:rPr>
      </w:pPr>
      <w:r>
        <w:rPr>
          <w:rFonts w:ascii="Arial" w:cs="Arial" w:eastAsia="Arial" w:hAnsi="Arial"/>
          <w:sz w:val="17"/>
          <w:szCs w:val="17"/>
          <w:color w:val="auto"/>
        </w:rPr>
        <w:t>of sale pursuant to Rule 144 under the Securities Act of 1933, as amended. However, we intend to file one or more registration statements on Form S-8 with the U.S. Securities and Exchange Commission, or the Commission, covering all of the ordinary shares issuable under our share incentive plans and such shares will be available for resale following the expiration of the restrictions on transfer. The market price of our ordinary shares may drop significantly when the restrictions on resale by our existing shareholders lapse and these shareholders are able to sell our ordinary shares into the market. In addition, a sale by us of additional ordinary shares or similar securities in order to raise capital might have a similar negative impact on the share price of our ordinary shares. A decline in the price of our ordinary shares might impede our ability to raise capital through the issuance of additional ordinary shares or other equity securities, and may cause you to lose part or all of your investment in our ordinary shares.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in this offering will experience immediate substantial dilution in net tangible book value.</w:t>
      </w:r>
    </w:p>
    <w:p>
      <w:pPr>
        <w:spacing w:after="0" w:line="198"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color w:val="auto"/>
        </w:rPr>
        <w:t>The initial public offering price of our ordinary shares in this offering is considerably greater than the net tangible book value per share of our outstanding ordinary shares immediately after this offering. Accordingly, investors in this offering</w:t>
      </w:r>
    </w:p>
    <w:p>
      <w:pPr>
        <w:ind w:left="120" w:right="139"/>
        <w:spacing w:after="0" w:line="254" w:lineRule="auto"/>
        <w:rPr>
          <w:sz w:val="20"/>
          <w:szCs w:val="20"/>
          <w:color w:val="auto"/>
        </w:rPr>
      </w:pPr>
      <w:r>
        <w:rPr>
          <w:rFonts w:ascii="Arial" w:cs="Arial" w:eastAsia="Arial" w:hAnsi="Arial"/>
          <w:sz w:val="18"/>
          <w:szCs w:val="18"/>
          <w:color w:val="auto"/>
        </w:rPr>
        <w:t>will incur immediate dilution of $ per share, based on an assumed initial public offering price of $ per share, the midpoint of the estimated initial public offering price range set forth on the cover of this prospectus. In addition, if outstanding options to purchase our ordinary shares are exercised in the future, you will experience additional dilution. See “Dilution.”</w:t>
      </w:r>
    </w:p>
    <w:p>
      <w:pPr>
        <w:spacing w:after="0" w:line="190" w:lineRule="exact"/>
        <w:rPr>
          <w:sz w:val="20"/>
          <w:szCs w:val="20"/>
          <w:color w:val="auto"/>
        </w:rPr>
      </w:pPr>
    </w:p>
    <w:p>
      <w:pPr>
        <w:ind w:left="120" w:right="199"/>
        <w:spacing w:after="0" w:line="264" w:lineRule="auto"/>
        <w:rPr>
          <w:sz w:val="20"/>
          <w:szCs w:val="20"/>
          <w:color w:val="auto"/>
        </w:rPr>
      </w:pPr>
      <w:r>
        <w:rPr>
          <w:rFonts w:ascii="Arial" w:cs="Arial" w:eastAsia="Arial" w:hAnsi="Arial"/>
          <w:sz w:val="18"/>
          <w:szCs w:val="18"/>
          <w:b w:val="1"/>
          <w:bCs w:val="1"/>
          <w:i w:val="1"/>
          <w:iCs w:val="1"/>
          <w:color w:val="auto"/>
        </w:rPr>
        <w:t>Following the closing of this offering, entities and individuals affiliated with Fortissimo Capital Fund II (Israel) L.P., or Fortissimo Capital, will have a controlling influence over matters requiring shareholder approval, which could delay or prevent a change of control.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closing of this offering, entities and individuals affiliated with Fortissimo Capital will beneficially</w:t>
      </w:r>
    </w:p>
    <w:p>
      <w:pPr>
        <w:spacing w:after="0" w:line="35" w:lineRule="exact"/>
        <w:rPr>
          <w:sz w:val="20"/>
          <w:szCs w:val="20"/>
          <w:color w:val="auto"/>
        </w:rPr>
      </w:pPr>
    </w:p>
    <w:p>
      <w:pPr>
        <w:ind w:left="120" w:right="299"/>
        <w:spacing w:after="0" w:line="254" w:lineRule="auto"/>
        <w:rPr>
          <w:sz w:val="20"/>
          <w:szCs w:val="20"/>
          <w:color w:val="auto"/>
        </w:rPr>
      </w:pPr>
      <w:r>
        <w:rPr>
          <w:rFonts w:ascii="Arial" w:cs="Arial" w:eastAsia="Arial" w:hAnsi="Arial"/>
          <w:sz w:val="18"/>
          <w:szCs w:val="18"/>
          <w:color w:val="auto"/>
        </w:rPr>
        <w:t>own % of our ordinary shares or % if the underwriters exercise their option to purchase additional ordinary shares. As a result, this shareholder could exert significant influence over our operations and business strategy and will have sufficient voting power to control the outcome of matters requiring shareholder approval. These matters may include:</w:t>
      </w:r>
    </w:p>
    <w:p>
      <w:pPr>
        <w:spacing w:after="0" w:line="203" w:lineRule="exact"/>
        <w:rPr>
          <w:sz w:val="20"/>
          <w:szCs w:val="20"/>
          <w:color w:val="auto"/>
        </w:rPr>
      </w:pPr>
    </w:p>
    <w:p>
      <w:pPr>
        <w:ind w:left="560" w:right="179" w:hanging="219"/>
        <w:spacing w:after="0" w:line="232" w:lineRule="auto"/>
        <w:tabs>
          <w:tab w:leader="none" w:pos="572"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approving or rejecting a merger, consolidation or other business combination;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raising future capital;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amending our articles of association, which govern the rights attached to our ordinary shares.</w:t>
      </w:r>
    </w:p>
    <w:p>
      <w:pPr>
        <w:spacing w:after="0" w:line="202" w:lineRule="exact"/>
        <w:rPr>
          <w:sz w:val="20"/>
          <w:szCs w:val="20"/>
          <w:color w:val="auto"/>
        </w:rPr>
      </w:pPr>
    </w:p>
    <w:p>
      <w:pPr>
        <w:jc w:val="both"/>
        <w:ind w:left="120" w:right="239" w:firstLine="216"/>
        <w:spacing w:after="0" w:line="259"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that might otherwise give you the opportunity to realize a premium over the then-prevailing market price of our ordinary shares. This concentration of ownership may also adversely affect our share price.</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2" w:name="page23"/>
    <w:bookmarkEnd w:id="22"/>
    <w:p>
      <w:pPr>
        <w:ind w:left="120" w:right="299"/>
        <w:spacing w:after="0" w:line="308" w:lineRule="auto"/>
        <w:rPr>
          <w:sz w:val="20"/>
          <w:szCs w:val="20"/>
          <w:color w:val="auto"/>
        </w:rPr>
      </w:pPr>
      <w:r>
        <w:rPr>
          <w:rFonts w:ascii="Arial" w:cs="Arial" w:eastAsia="Arial" w:hAnsi="Arial"/>
          <w:sz w:val="17"/>
          <w:szCs w:val="17"/>
          <w:b w:val="1"/>
          <w:bCs w:val="1"/>
          <w:i w:val="1"/>
          <w:iCs w:val="1"/>
          <w:color w:val="auto"/>
        </w:rPr>
        <w:t>We will be a “controlled company” within the meaning of NASDAQ Stock Market rules and, as a result, will qualify for, and intend to rely on, certain exemptions from certain corporate governance requirements.</w:t>
      </w:r>
    </w:p>
    <w:p>
      <w:pPr>
        <w:spacing w:after="0" w:line="147"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As a result of the number of shares beneficially owned by Fortissimo Capital, after the completion of this offering, we will be a “controlled company” under the NASDAQ Stock Market rules. A controlled company is a company of which more than 50% of the voting power is held by an individual, group or another company. Pursuant to the controlled company exemption, we are not required to, and do not currently intend to comply with the requirements that (1) a majority of our board of directors consist of independent directors, and (2) we have a nominating committee composed entirely of independent directors. See “Management—Corporate Governance Practices.” Nevertheless, you will not have the same protections afforded to shareholders of companies that are not controlled companies and are therefore subject to all of the corporate governance requirements of the NASDAQ Stock Market.</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broad discretion as to the use of the net proceeds from this offering and may not use them effectively.</w:t>
      </w:r>
    </w:p>
    <w:p>
      <w:pPr>
        <w:spacing w:after="0" w:line="248"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intend to use the net proceeds from this offering for general corporate purposes, including working capital, sales and marketing activities, research and development, and general and administrative matters. However, our management will have broad discretion in the application of the net proceeds. Our shareholders may not agree with the manner in which our management chooses to allocate the net proceeds from this offering. The failure by our management to apply these funds effectively could have a material adverse effect on our business, financial condition and results of operations. Pending our use of the net proceeds from this offering, we may invest the proceeds in a manner that does not produce income.</w:t>
      </w:r>
    </w:p>
    <w:p>
      <w:pPr>
        <w:spacing w:after="0" w:line="189"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70"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As a public company whose ordinary shares are listed in the United States, we will incur accounting, legal and other expenses that we did not incur as a private company, including costs associated with our reporting requirements under the U.S. Securities Exchange Act of 1934, as amended, or the Exchange Act. We also anticipate that we will incur costs associated with corporate governance requirements, including requirements under Section 404 and other provisions of the Sarbanes-Oxley Act of 2002, or the Sarbanes-Oxley Act, as well as rules implemented by the Commission and the NASDAQ Stock Market, and provisions of Israeli corporate and securities laws applicable to public companies. We expect that these rules and regulations will increase our legal and financial compliance costs, introduce new costs such as investor relations and stock exchange listing fees, and will make some activities more time-consuming and costly. We are currently evaluating and monitoring developments with respect to these rules, and we cannot predict or estimate the amount of additional costs we may incur or the timing of such costs.</w:t>
      </w:r>
    </w:p>
    <w:p>
      <w:pPr>
        <w:spacing w:after="0" w:line="169"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Changes in the laws and regulations affecting public companies will result in increased costs to us as we respond to their requirements. These laws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executive officers. We cannot predict or estimate the amount or timing of additional costs we may incur in order to comply with such requirements.</w:t>
      </w:r>
    </w:p>
    <w:p>
      <w:pPr>
        <w:spacing w:after="0" w:line="178" w:lineRule="exact"/>
        <w:rPr>
          <w:sz w:val="20"/>
          <w:szCs w:val="20"/>
          <w:color w:val="auto"/>
        </w:rPr>
      </w:pPr>
    </w:p>
    <w:p>
      <w:pPr>
        <w:ind w:left="120" w:right="419"/>
        <w:spacing w:after="0" w:line="277" w:lineRule="auto"/>
        <w:rPr>
          <w:sz w:val="20"/>
          <w:szCs w:val="20"/>
          <w:color w:val="auto"/>
        </w:rPr>
      </w:pPr>
      <w:r>
        <w:rPr>
          <w:rFonts w:ascii="Arial" w:cs="Arial" w:eastAsia="Arial" w:hAnsi="Arial"/>
          <w:sz w:val="18"/>
          <w:szCs w:val="18"/>
          <w:b w:val="1"/>
          <w:bCs w:val="1"/>
          <w:i w:val="1"/>
          <w:iCs w:val="1"/>
          <w:color w:val="auto"/>
        </w:rPr>
        <w:t>We have never paid cash dividends on our share capital, and we do not anticipate paying any cash dividends in the foreseeable future.</w:t>
      </w:r>
    </w:p>
    <w:p>
      <w:pPr>
        <w:spacing w:after="0" w:line="170"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3" w:name="page24"/>
    <w:bookmarkEnd w:id="23"/>
    <w:p>
      <w:pPr>
        <w:ind w:left="120" w:right="379"/>
        <w:spacing w:after="0" w:line="312" w:lineRule="auto"/>
        <w:rPr>
          <w:sz w:val="20"/>
          <w:szCs w:val="20"/>
          <w:color w:val="auto"/>
        </w:rPr>
      </w:pPr>
      <w:r>
        <w:rPr>
          <w:rFonts w:ascii="Arial" w:cs="Arial" w:eastAsia="Arial" w:hAnsi="Arial"/>
          <w:sz w:val="16"/>
          <w:szCs w:val="16"/>
          <w:b w:val="1"/>
          <w:bCs w:val="1"/>
          <w:i w:val="1"/>
          <w:iCs w:val="1"/>
          <w:color w:val="auto"/>
        </w:rPr>
        <w:t>As a foreign private issuer, we are permitted, and intend, to follow certain home country corporate governance practices instead of otherwise applicable SEC and NASDAQ Stock Market, or NASDAQ, requirements, which may result in less protection than is accorded to investors under rules applicable to domestic U.S. issuers.</w:t>
      </w:r>
    </w:p>
    <w:p>
      <w:pPr>
        <w:spacing w:after="0" w:line="147"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As a foreign private issuer, in reliance on Rule 5615(a)(3) of the NASDAQ Listing Rules, which permits a foreign private issuer to follow the corporate governance practices of its home country, we will be permitted to follow certain Israeli corporate governance practices instead of those otherwise required under the corporate governance standards for U.S. domestic issuers. Following the listing of our ordinary shares on the NASDAQ Global Market, we intend to follow Israeli home country practices with regard to the quorum requirement for shareholder meetings. As permitted under the Israeli Companies Law, our articles of association to be effective upon the closing of this offering will provide that the quorum for any meeting of shareholders shall be the presence of at least two shareholders present in person, by proxy or</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by a voting instrument, who hold at least 25% of the voting power of our shares instead of 33 </w:t>
      </w:r>
      <w:r>
        <w:rPr>
          <w:rFonts w:ascii="Arial" w:cs="Arial" w:eastAsia="Arial" w:hAnsi="Arial"/>
          <w:sz w:val="26"/>
          <w:szCs w:val="26"/>
          <w:color w:val="auto"/>
          <w:vertAlign w:val="superscript"/>
        </w:rPr>
        <w:t>1</w:t>
      </w:r>
      <w:r>
        <w:rPr>
          <w:rFonts w:ascii="Arial" w:cs="Arial" w:eastAsia="Arial" w:hAnsi="Arial"/>
          <w:sz w:val="13"/>
          <w:szCs w:val="13"/>
          <w:color w:val="auto"/>
        </w:rPr>
        <w:t>/</w:t>
      </w:r>
      <w:r>
        <w:rPr>
          <w:rFonts w:ascii="Arial" w:cs="Arial" w:eastAsia="Arial" w:hAnsi="Arial"/>
          <w:sz w:val="14"/>
          <w:szCs w:val="14"/>
          <w:color w:val="auto"/>
        </w:rPr>
        <w:t>3</w:t>
      </w:r>
      <w:r>
        <w:rPr>
          <w:rFonts w:ascii="Arial" w:cs="Arial" w:eastAsia="Arial" w:hAnsi="Arial"/>
          <w:sz w:val="16"/>
          <w:szCs w:val="16"/>
          <w:color w:val="auto"/>
        </w:rPr>
        <w:t>% of our issued share</w:t>
      </w:r>
    </w:p>
    <w:p>
      <w:pPr>
        <w:spacing w:after="0" w:line="10" w:lineRule="exact"/>
        <w:rPr>
          <w:sz w:val="20"/>
          <w:szCs w:val="20"/>
          <w:color w:val="auto"/>
        </w:rPr>
      </w:pPr>
    </w:p>
    <w:p>
      <w:pPr>
        <w:ind w:left="120" w:right="159"/>
        <w:spacing w:after="0" w:line="267" w:lineRule="auto"/>
        <w:rPr>
          <w:sz w:val="20"/>
          <w:szCs w:val="20"/>
          <w:color w:val="auto"/>
        </w:rPr>
      </w:pPr>
      <w:r>
        <w:rPr>
          <w:rFonts w:ascii="Arial" w:cs="Arial" w:eastAsia="Arial" w:hAnsi="Arial"/>
          <w:sz w:val="17"/>
          <w:szCs w:val="17"/>
          <w:color w:val="auto"/>
        </w:rPr>
        <w:t>capital. We may in the future elect to follow Israeli home country practices with regard to other matters such as the formation and composition of a nominating and corporate governance committee or a compensation committee, separate executive sessions of independent directors and the requirement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“Management—Corporate Governance Practices.”</w:t>
      </w:r>
    </w:p>
    <w:p>
      <w:pPr>
        <w:spacing w:after="0" w:line="186" w:lineRule="exact"/>
        <w:rPr>
          <w:sz w:val="20"/>
          <w:szCs w:val="20"/>
          <w:color w:val="auto"/>
        </w:rPr>
      </w:pPr>
    </w:p>
    <w:p>
      <w:pPr>
        <w:ind w:left="120" w:right="359"/>
        <w:spacing w:after="0" w:line="277" w:lineRule="auto"/>
        <w:rPr>
          <w:sz w:val="20"/>
          <w:szCs w:val="20"/>
          <w:color w:val="auto"/>
        </w:rPr>
      </w:pPr>
      <w:r>
        <w:rPr>
          <w:rFonts w:ascii="Arial" w:cs="Arial" w:eastAsia="Arial" w:hAnsi="Arial"/>
          <w:sz w:val="18"/>
          <w:szCs w:val="18"/>
          <w:b w:val="1"/>
          <w:bCs w:val="1"/>
          <w:i w:val="1"/>
          <w:iCs w:val="1"/>
          <w:color w:val="auto"/>
        </w:rPr>
        <w:t>As a foreign private issuer, we will not be subject to the provisions of Regulation FD or U.S. proxy rules and will be exempt from filing certain Exchange Act reports.</w:t>
      </w:r>
    </w:p>
    <w:p>
      <w:pPr>
        <w:spacing w:after="0" w:line="170" w:lineRule="exact"/>
        <w:rPr>
          <w:sz w:val="20"/>
          <w:szCs w:val="20"/>
          <w:color w:val="auto"/>
        </w:rPr>
      </w:pPr>
    </w:p>
    <w:p>
      <w:pPr>
        <w:ind w:left="120" w:right="199" w:firstLine="216"/>
        <w:spacing w:after="0" w:line="287" w:lineRule="auto"/>
        <w:rPr>
          <w:sz w:val="20"/>
          <w:szCs w:val="20"/>
          <w:color w:val="auto"/>
        </w:rPr>
      </w:pPr>
      <w:r>
        <w:rPr>
          <w:rFonts w:ascii="Arial" w:cs="Arial" w:eastAsia="Arial" w:hAnsi="Arial"/>
          <w:sz w:val="16"/>
          <w:szCs w:val="16"/>
          <w:color w:val="auto"/>
        </w:rPr>
        <w:t>As a foreign private issuer, we will be exempt from a number of requirements under U.S. securities laws that apply to public companies that are not foreign private issuers. In particular,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and current reports and financial statements with the SEC as frequently or as promptly as U.S. domestic companies whose securities are registered under the Exchange Act and we will generally be exempt from filing quarterly reports with the SEC under the Exchange Act. We will also be exempt from the provisions of Regulation FD, which prohibits the selective disclosure of material nonpublic information to, among others, broker-dealers and holders of a company’s securities under circumstances in which it is reasonably foreseeable that the holder will trade in the company’s securities on the basis of the information. Even though we intend to comply voluntarily with Regulation FD, these exemptions and leniencies will reduce the frequency and scope of information and protections to which you are entitled as an investor.</w:t>
      </w:r>
    </w:p>
    <w:p>
      <w:pPr>
        <w:spacing w:after="0" w:line="169"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a recent amendment to the regulations promulgated under the Israeli Companies Law will require us, after we become a public company,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78"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120" w:right="219"/>
        <w:spacing w:after="0" w:line="257" w:lineRule="auto"/>
        <w:rPr>
          <w:sz w:val="20"/>
          <w:szCs w:val="20"/>
          <w:color w:val="auto"/>
        </w:rPr>
      </w:pPr>
      <w:r>
        <w:rPr>
          <w:rFonts w:ascii="Arial" w:cs="Arial" w:eastAsia="Arial" w:hAnsi="Arial"/>
          <w:sz w:val="18"/>
          <w:szCs w:val="18"/>
          <w:color w:val="auto"/>
        </w:rPr>
        <w:t>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188" w:lineRule="exact"/>
        <w:rPr>
          <w:sz w:val="20"/>
          <w:szCs w:val="20"/>
          <w:color w:val="auto"/>
        </w:rPr>
      </w:pPr>
    </w:p>
    <w:p>
      <w:pPr>
        <w:ind w:left="120" w:right="579"/>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will not be required to comply with the auditor attestation requirements of Section 404 of the Sarbanes-Oxley Act for up to five fiscal years after the date of this offering. We will remain an emerging growth company until the earliest of: (a) the last day of our fiscal year during which we have total annual gross revenues of at least $1.0 billion; (b) the last day of our fiscal year following the fifth anniversary of the completion of this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3" w:lineRule="exact"/>
        <w:rPr>
          <w:sz w:val="20"/>
          <w:szCs w:val="20"/>
          <w:color w:val="auto"/>
        </w:rPr>
      </w:pPr>
    </w:p>
    <w:p>
      <w:pPr>
        <w:jc w:val="both"/>
        <w:ind w:left="120" w:right="119"/>
        <w:spacing w:after="0" w:line="264" w:lineRule="auto"/>
        <w:rPr>
          <w:sz w:val="20"/>
          <w:szCs w:val="20"/>
          <w:color w:val="auto"/>
        </w:rPr>
      </w:pPr>
      <w:r>
        <w:rPr>
          <w:rFonts w:ascii="Arial" w:cs="Arial" w:eastAsia="Arial" w:hAnsi="Arial"/>
          <w:sz w:val="18"/>
          <w:szCs w:val="18"/>
          <w:b w:val="1"/>
          <w:bCs w:val="1"/>
          <w:i w:val="1"/>
          <w:iCs w:val="1"/>
          <w:color w:val="auto"/>
        </w:rPr>
        <w:t>We have not yet determined whether our existing internal controls over financial reporting systems are compliant with Section 404 of the Sarbanes-Oxley Act, and we cannot provide any assurance that there are no material weaknesses or significant deficiencies in our existing internal controls.</w:t>
      </w:r>
    </w:p>
    <w:p>
      <w:pPr>
        <w:spacing w:after="0" w:line="181"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Pursuant to Section 404 of the Sarbanes-Oxley Act and the related rules adopted by the SEC and the Public Company Accounting Oversight Board, starting with the second annual report that we file with the SEC after the consummation of this offering, our management will be required to report on the effectiveness of our internal control over financial reporting. In addition, once we no longer qualify as an “emerging growth company” under the JOBS Act and lose the ability to rely on the exemptions related thereto discussed above, our independent registered public accounting firm will also need to attest to the effectiveness of our internal control over financial reporting under Section 404. We have not yet commenced the process of determining whether our existing internal controls over financial reporting systems are compliant with Section 404 and whether there are any material weaknesses or significant deficiencies in our existing internal controls. This process will require the investment of substantial time and resources, including by our Chief Financial Officer and other members of our senior management. In addition, we cannot predict the outcome of this determination and whether we will need to implement remedial actions in order to implement effective internal control over financial reporting. The determination and any remedial actions required could result in us incurring additional costs that we did not anticipate. Irrespective of compliance with Section 404, any failure of our internal controls could have a material adverse effect on our stated results of operations and harm our reputation. As a result,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190" w:lineRule="exact"/>
        <w:rPr>
          <w:sz w:val="20"/>
          <w:szCs w:val="20"/>
          <w:color w:val="auto"/>
        </w:rPr>
      </w:pPr>
    </w:p>
    <w:p>
      <w:pPr>
        <w:ind w:left="120" w:right="159"/>
        <w:spacing w:after="0" w:line="277" w:lineRule="auto"/>
        <w:rPr>
          <w:sz w:val="20"/>
          <w:szCs w:val="20"/>
          <w:color w:val="auto"/>
        </w:rPr>
      </w:pPr>
      <w:r>
        <w:rPr>
          <w:rFonts w:ascii="Arial" w:cs="Arial" w:eastAsia="Arial" w:hAnsi="Arial"/>
          <w:sz w:val="18"/>
          <w:szCs w:val="18"/>
          <w:b w:val="1"/>
          <w:bCs w:val="1"/>
          <w:i w:val="1"/>
          <w:iCs w:val="1"/>
          <w:color w:val="auto"/>
        </w:rPr>
        <w:t>Our U.S. shareholders may suffer adverse tax consequences if we are characterized as a passive foreign investment company.</w:t>
      </w:r>
    </w:p>
    <w:p>
      <w:pPr>
        <w:spacing w:after="0" w:line="170"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Our status as a PFIC may also depend on how quickly we use the cash proceeds from this offering in our business. Based on certain estimates of our gross income and gross assets,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120" w:right="159"/>
        <w:spacing w:after="0" w:line="288" w:lineRule="auto"/>
        <w:rPr>
          <w:sz w:val="20"/>
          <w:szCs w:val="20"/>
          <w:color w:val="auto"/>
        </w:rPr>
      </w:pPr>
      <w:r>
        <w:rPr>
          <w:rFonts w:ascii="Arial" w:cs="Arial" w:eastAsia="Arial" w:hAnsi="Arial"/>
          <w:sz w:val="16"/>
          <w:szCs w:val="16"/>
          <w:color w:val="auto"/>
        </w:rPr>
        <w:t>our intended use of proceeds of this offering, and the nature of our business, we do not expect that we will be classified as a PFIC for the taxable year ending December 31, 2014.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“U.S. and Israeli Tax Consequences for our Shareholders—United States Federal Income Tax Consequences”), and having interest charges apply to distributions by us and the proceeds of share sales. Certain elections exist that may alleviate some of the adverse consequences of PFIC status and would result in an alternative treatment (such as mark-to-market treatment) of our ordinary shares; however, we do not intend to provide the information necessary for U.S. holders to make qualified electing fund elections if we are classified as a PFIC.</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ind w:left="120" w:right="419"/>
        <w:spacing w:after="0" w:line="308" w:lineRule="auto"/>
        <w:rPr>
          <w:sz w:val="20"/>
          <w:szCs w:val="20"/>
          <w:color w:val="auto"/>
        </w:rPr>
      </w:pPr>
      <w:r>
        <w:rPr>
          <w:rFonts w:ascii="Arial" w:cs="Arial" w:eastAsia="Arial" w:hAnsi="Arial"/>
          <w:sz w:val="17"/>
          <w:szCs w:val="17"/>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47"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 involving Israel could adversely affect our operations and results of operations.</w:t>
      </w:r>
    </w:p>
    <w:p>
      <w:pPr>
        <w:spacing w:after="0" w:line="188"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Further, our operations could be disrupted by the obligations of personnel to perform military service. As of September 30, 2014, we had 169 employees based in Israel, certain of which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167"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73" w:lineRule="exact"/>
        <w:rPr>
          <w:sz w:val="20"/>
          <w:szCs w:val="20"/>
          <w:color w:val="auto"/>
        </w:rPr>
      </w:pPr>
    </w:p>
    <w:p>
      <w:pPr>
        <w:ind w:left="120" w:right="179" w:firstLine="216"/>
        <w:spacing w:after="0" w:line="297" w:lineRule="auto"/>
        <w:rPr>
          <w:sz w:val="20"/>
          <w:szCs w:val="20"/>
          <w:color w:val="auto"/>
        </w:rPr>
      </w:pPr>
      <w:r>
        <w:rPr>
          <w:rFonts w:ascii="Arial" w:cs="Arial" w:eastAsia="Arial" w:hAnsi="Arial"/>
          <w:sz w:val="16"/>
          <w:szCs w:val="16"/>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58" w:lineRule="exact"/>
        <w:rPr>
          <w:sz w:val="20"/>
          <w:szCs w:val="20"/>
          <w:color w:val="auto"/>
        </w:rPr>
      </w:pPr>
    </w:p>
    <w:p>
      <w:pPr>
        <w:ind w:left="120" w:right="199"/>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ind w:left="120" w:right="219" w:firstLine="216"/>
        <w:spacing w:after="0" w:line="264" w:lineRule="auto"/>
        <w:rPr>
          <w:sz w:val="20"/>
          <w:szCs w:val="20"/>
          <w:color w:val="auto"/>
        </w:rPr>
      </w:pPr>
      <w:r>
        <w:rPr>
          <w:rFonts w:ascii="Arial" w:cs="Arial" w:eastAsia="Arial" w:hAnsi="Arial"/>
          <w:sz w:val="18"/>
          <w:szCs w:val="18"/>
          <w:color w:val="auto"/>
        </w:rPr>
        <w:t>We and our wholly-owned Israeli subsidiary, Kornit Digital Technologies Ltd., or Kornit Technologies, are entitled to various tax benefits under the Israeli Law for the Encouragement of Capital Investments, 1959, or the Investment Law. As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6" w:name="page27"/>
    <w:bookmarkEnd w:id="26"/>
    <w:p>
      <w:pPr>
        <w:ind w:left="120" w:right="139"/>
        <w:spacing w:after="0" w:line="269" w:lineRule="auto"/>
        <w:rPr>
          <w:sz w:val="20"/>
          <w:szCs w:val="20"/>
          <w:color w:val="auto"/>
        </w:rPr>
      </w:pPr>
      <w:r>
        <w:rPr>
          <w:rFonts w:ascii="Arial" w:cs="Arial" w:eastAsia="Arial" w:hAnsi="Arial"/>
          <w:sz w:val="17"/>
          <w:szCs w:val="17"/>
          <w:color w:val="auto"/>
        </w:rPr>
        <w:t>result of this status, the effective tax rate for our taxable income generated in Israel is expected to be between zero and 5% starting in 2014. However, if we do not meet the requirements for maintaining these benefits, they may be reduced or cancelled and the relevant operations would be subject to Israeli corporate tax at the standard rate, which is currently set at 26.5% for 2014 and onwards. In addition to being subject to the standard corporate tax rate, we could be required to refund any tax benefits that we have already received, plus interest and penalties thereon. Even if we continue to meet the relevant requirements, the tax benefits that our current beneficiary enterprises receive may not be continued in the future at their current levels or at all. If these tax benefits were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“Taxation and Israeli Government Programs Applicable to our Company—Law for the Encouragement of Capital Investments, 5719-1959.”</w:t>
      </w:r>
    </w:p>
    <w:p>
      <w:pPr>
        <w:spacing w:after="0" w:line="180" w:lineRule="exact"/>
        <w:rPr>
          <w:sz w:val="20"/>
          <w:szCs w:val="20"/>
          <w:color w:val="auto"/>
        </w:rPr>
      </w:pPr>
    </w:p>
    <w:p>
      <w:pPr>
        <w:jc w:val="both"/>
        <w:ind w:left="120" w:right="559"/>
        <w:spacing w:after="0" w:line="264"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require us to satisfy specified conditions and to pay penalties in addition to repayment of the grants upon certain events.</w:t>
      </w:r>
    </w:p>
    <w:p>
      <w:pPr>
        <w:spacing w:after="0" w:line="181" w:lineRule="exact"/>
        <w:rPr>
          <w:sz w:val="20"/>
          <w:szCs w:val="20"/>
          <w:color w:val="auto"/>
        </w:rPr>
      </w:pPr>
    </w:p>
    <w:p>
      <w:pPr>
        <w:ind w:left="120" w:right="259" w:firstLine="216"/>
        <w:spacing w:after="0" w:line="287" w:lineRule="auto"/>
        <w:rPr>
          <w:sz w:val="20"/>
          <w:szCs w:val="20"/>
          <w:color w:val="auto"/>
        </w:rPr>
      </w:pPr>
      <w:r>
        <w:rPr>
          <w:rFonts w:ascii="Arial" w:cs="Arial" w:eastAsia="Arial" w:hAnsi="Arial"/>
          <w:sz w:val="16"/>
          <w:szCs w:val="16"/>
          <w:color w:val="auto"/>
        </w:rPr>
        <w:t>Our research and development efforts were financed in part through grants from the Israeli Office of the Chief Scientist, or OCS. As of December 31, 2013, the balance of the principal and interest in respect of our commitments for future payments to the OCS totals approximately $0.2 million. Even following full repayment of any OCS grants, we must nevertheless continue to comply with the requirements of the Israeli Law for the Encouragement of Industrial Research and Development, 5744-1984, and related regulations, or collectively, the R&amp;D Law. When a company develops know-how, technology or products using OCS grants, the terms of these grants and the R&amp;D Law restrict the transfer outside of Israel of such know-how, and the manufacturing or manufacturing rights of such products, technologies or know-how,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We may not receive those approvals. Furthermore, the OCS may impose certain conditions on any arrangement under which it permits us to transfer technology out of Israel.</w:t>
      </w:r>
    </w:p>
    <w:p>
      <w:pPr>
        <w:spacing w:after="0" w:line="169" w:lineRule="exact"/>
        <w:rPr>
          <w:sz w:val="20"/>
          <w:szCs w:val="20"/>
          <w:color w:val="auto"/>
        </w:rPr>
      </w:pPr>
    </w:p>
    <w:p>
      <w:pPr>
        <w:ind w:left="120" w:right="179" w:firstLine="216"/>
        <w:spacing w:after="0" w:line="254" w:lineRule="auto"/>
        <w:rPr>
          <w:sz w:val="20"/>
          <w:szCs w:val="20"/>
          <w:color w:val="auto"/>
        </w:rPr>
      </w:pPr>
      <w:r>
        <w:rPr>
          <w:rFonts w:ascii="Arial" w:cs="Arial" w:eastAsia="Arial" w:hAnsi="Arial"/>
          <w:sz w:val="18"/>
          <w:szCs w:val="18"/>
          <w:color w:val="auto"/>
        </w:rPr>
        <w:t>The transfer of OCS-supported technology or know-how outside of Israel may involve the payment of significant penalties and other amounts, depending upon the value of the transferred technology or know-how, the amount of OCS support, the time of completion of the OCS-supported research project and other factors. These restrictions and requirements for payment may impair our ability to sell our technology assets outside of Israel or to outsource or transfer manufacturing activities with respect to any product or technology outside of Israel.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92" w:lineRule="exact"/>
        <w:rPr>
          <w:sz w:val="20"/>
          <w:szCs w:val="20"/>
          <w:color w:val="auto"/>
        </w:rPr>
      </w:pPr>
    </w:p>
    <w:p>
      <w:pPr>
        <w:jc w:val="both"/>
        <w:ind w:left="120" w:right="159"/>
        <w:spacing w:after="0" w:line="264" w:lineRule="auto"/>
        <w:rPr>
          <w:sz w:val="20"/>
          <w:szCs w:val="20"/>
          <w:color w:val="auto"/>
        </w:rPr>
      </w:pPr>
      <w:r>
        <w:rPr>
          <w:rFonts w:ascii="Arial" w:cs="Arial" w:eastAsia="Arial" w:hAnsi="Arial"/>
          <w:sz w:val="18"/>
          <w:szCs w:val="18"/>
          <w:b w:val="1"/>
          <w:bCs w:val="1"/>
          <w:i w:val="1"/>
          <w:iCs w:val="1"/>
          <w:color w:val="auto"/>
        </w:rPr>
        <w:t>Provisions of Israeli law and our amended and restated articles of association may delay, prevent or otherwise impede a merger with, or an acquisition of, our company, even when the terms of such a transaction are favorable to us and our shareholders.</w:t>
      </w:r>
    </w:p>
    <w:p>
      <w:pPr>
        <w:spacing w:after="0" w:line="181" w:lineRule="exact"/>
        <w:rPr>
          <w:sz w:val="20"/>
          <w:szCs w:val="20"/>
          <w:color w:val="auto"/>
        </w:rPr>
      </w:pPr>
    </w:p>
    <w:p>
      <w:pPr>
        <w:ind w:left="120" w:right="279" w:firstLine="216"/>
        <w:spacing w:after="0" w:line="287" w:lineRule="auto"/>
        <w:rPr>
          <w:sz w:val="20"/>
          <w:szCs w:val="20"/>
          <w:color w:val="auto"/>
        </w:rPr>
      </w:pPr>
      <w:r>
        <w:rPr>
          <w:rFonts w:ascii="Arial" w:cs="Arial" w:eastAsia="Arial" w:hAnsi="Arial"/>
          <w:sz w:val="16"/>
          <w:szCs w:val="16"/>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“Description of Share Capital—Acquisitions under Israeli Law” for additional information.</w:t>
      </w:r>
    </w:p>
    <w:p>
      <w:pPr>
        <w:spacing w:after="0" w:line="173"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Our articles of association provide that our directors (other than external directors) are elected on a staggered basis, such that a potential acquirer cannot readily replace our entire board of directors at a single annual general shareholder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7" w:name="page28"/>
    <w:bookmarkEnd w:id="27"/>
    <w:p>
      <w:pPr>
        <w:ind w:left="120" w:right="259" w:firstLine="216"/>
        <w:spacing w:after="0" w:line="290"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the tax deferral is limited in time, and when such time expires, the tax becomes payable even if no disposition of the shares has occurred.</w:t>
      </w:r>
    </w:p>
    <w:p>
      <w:pPr>
        <w:spacing w:after="0" w:line="166" w:lineRule="exact"/>
        <w:rPr>
          <w:sz w:val="20"/>
          <w:szCs w:val="20"/>
          <w:color w:val="auto"/>
        </w:rPr>
      </w:pPr>
    </w:p>
    <w:p>
      <w:pPr>
        <w:ind w:left="120" w:right="419"/>
        <w:spacing w:after="0" w:line="264"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our officers and directors or the Israeli experts named in this prospectus in Israel or the United States, to assert U.S. securities laws claims in Israel or to serve process on our officers and directors and these experts.</w:t>
      </w:r>
    </w:p>
    <w:p>
      <w:pPr>
        <w:spacing w:after="0" w:line="181"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color w:val="auto"/>
        </w:rPr>
        <w:t>We are incorporated in Israel. The majority of our directors and executive officers, and the Israeli experts listed in this prospectus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See “Enforceability of Civil Liabilities” for additional information on your ability to enforce a civil claim against us and our executive officers or directors named in this prospectus.</w:t>
      </w:r>
    </w:p>
    <w:p>
      <w:pPr>
        <w:spacing w:after="0" w:line="183" w:lineRule="exact"/>
        <w:rPr>
          <w:sz w:val="20"/>
          <w:szCs w:val="20"/>
          <w:color w:val="auto"/>
        </w:rPr>
      </w:pPr>
    </w:p>
    <w:p>
      <w:pPr>
        <w:ind w:left="120" w:right="679"/>
        <w:spacing w:after="0" w:line="308" w:lineRule="auto"/>
        <w:rPr>
          <w:sz w:val="20"/>
          <w:szCs w:val="20"/>
          <w:color w:val="auto"/>
        </w:rPr>
      </w:pPr>
      <w:r>
        <w:rPr>
          <w:rFonts w:ascii="Arial" w:cs="Arial" w:eastAsia="Arial" w:hAnsi="Arial"/>
          <w:sz w:val="17"/>
          <w:szCs w:val="17"/>
          <w:b w:val="1"/>
          <w:bCs w:val="1"/>
          <w:i w:val="1"/>
          <w:iCs w:val="1"/>
          <w:color w:val="auto"/>
        </w:rPr>
        <w:t>Your rights and responsibilities as a shareholder will be governed by Israeli law, which differs in some material respects from the rights and responsibilities of shareholders of U.S. companies.</w:t>
      </w:r>
    </w:p>
    <w:p>
      <w:pPr>
        <w:spacing w:after="0" w:line="147"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of association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We make forward-looking statements in this prospectus that are subject to risks and uncertainties. These forward-looking statements include information about possible or assumed future results of our business, financial condition, results of operations, liquidity, plans and objectives. In some cases, you can identify forward-looking statements by terminology such as “believe,” “may,” “estimate,” “continue,” “anticipate,” “intend,” “should,” “plan,” “expect,” “predict,” “potential,” or the negative of these terms or other similar expressions. The statements we make regarding the following matters are forward-looking by their nature:</w:t>
      </w:r>
    </w:p>
    <w:p>
      <w:pPr>
        <w:spacing w:after="0" w:line="184" w:lineRule="exact"/>
        <w:rPr>
          <w:sz w:val="20"/>
          <w:szCs w:val="20"/>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future gross margins and operating expenses;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growth and overall profitability;</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impacts of variability on our future revenues;</w:t>
      </w:r>
    </w:p>
    <w:p>
      <w:pPr>
        <w:spacing w:after="0" w:line="215" w:lineRule="exact"/>
        <w:rPr>
          <w:rFonts w:ascii="Arial" w:cs="Arial" w:eastAsia="Arial" w:hAnsi="Arial"/>
          <w:sz w:val="22"/>
          <w:szCs w:val="22"/>
          <w:color w:val="auto"/>
        </w:rPr>
      </w:pPr>
    </w:p>
    <w:p>
      <w:pPr>
        <w:ind w:left="560" w:right="479" w:hanging="219"/>
        <w:spacing w:after="0" w:line="232" w:lineRule="auto"/>
        <w:tabs>
          <w:tab w:leader="none" w:pos="572"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into new product markets;</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continue to invest in research and develop to introduce new systems and improved solutions;</w:t>
      </w:r>
    </w:p>
    <w:p>
      <w:pPr>
        <w:spacing w:after="0" w:line="192" w:lineRule="exact"/>
        <w:rPr>
          <w:rFonts w:ascii="Arial" w:cs="Arial" w:eastAsia="Arial" w:hAnsi="Arial"/>
          <w:sz w:val="21"/>
          <w:szCs w:val="21"/>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success of our new products and systems;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impact of government laws and regulations;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tax classifications and reserves;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our anticipated cash requirements for the next 12 months;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expand our international operations and increase our global operations;</w:t>
      </w:r>
    </w:p>
    <w:p>
      <w:pPr>
        <w:spacing w:after="0" w:line="215" w:lineRule="exact"/>
        <w:rPr>
          <w:rFonts w:ascii="Arial" w:cs="Arial" w:eastAsia="Arial" w:hAnsi="Arial"/>
          <w:sz w:val="22"/>
          <w:szCs w:val="22"/>
          <w:color w:val="auto"/>
        </w:rPr>
      </w:pPr>
    </w:p>
    <w:p>
      <w:pPr>
        <w:ind w:left="560" w:right="819" w:hanging="219"/>
        <w:spacing w:after="0" w:line="232" w:lineRule="auto"/>
        <w:tabs>
          <w:tab w:leader="none" w:pos="572"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plans to file and procure additional patents relating to our intellectual property rights and the adequate protection of these rights;</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1"/>
          <w:szCs w:val="21"/>
          <w:color w:val="auto"/>
        </w:rPr>
      </w:pPr>
      <w:r>
        <w:rPr>
          <w:rFonts w:ascii="Arial" w:cs="Arial" w:eastAsia="Arial" w:hAnsi="Arial"/>
          <w:sz w:val="17"/>
          <w:szCs w:val="17"/>
          <w:color w:val="auto"/>
        </w:rPr>
        <w:t>our plans to pursue strategic acquisitions or invest in complementary companies, products or technologies;</w:t>
      </w:r>
    </w:p>
    <w:p>
      <w:pPr>
        <w:spacing w:after="0" w:line="215" w:lineRule="exact"/>
        <w:rPr>
          <w:rFonts w:ascii="Arial" w:cs="Arial" w:eastAsia="Arial" w:hAnsi="Arial"/>
          <w:sz w:val="21"/>
          <w:szCs w:val="21"/>
          <w:color w:val="auto"/>
        </w:rPr>
      </w:pPr>
    </w:p>
    <w:p>
      <w:pPr>
        <w:ind w:left="560" w:right="379" w:hanging="219"/>
        <w:spacing w:after="0" w:line="232" w:lineRule="auto"/>
        <w:tabs>
          <w:tab w:leader="none" w:pos="572"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our expectations regarding the use of proceeds from this offering.</w:t>
      </w:r>
    </w:p>
    <w:p>
      <w:pPr>
        <w:spacing w:after="0" w:line="202"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provided under “Risk Factors” in this prospectus.</w:t>
      </w:r>
    </w:p>
    <w:p>
      <w:pPr>
        <w:spacing w:after="0" w:line="18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 Except as required by law, we undertake no obligation to update publicly any forward-looking statements for any reason after the date of this prospectus, to conform these statements to actual results or to changes in our expectations.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We estimate that we will receive net proceeds from this offering, after deducting underwriting discounts and</w:t>
      </w:r>
    </w:p>
    <w:p>
      <w:pPr>
        <w:spacing w:after="0" w:line="35" w:lineRule="exact"/>
        <w:rPr>
          <w:sz w:val="20"/>
          <w:szCs w:val="20"/>
          <w:color w:val="auto"/>
        </w:rPr>
      </w:pPr>
    </w:p>
    <w:p>
      <w:pPr>
        <w:ind w:left="120" w:right="159"/>
        <w:spacing w:after="0" w:line="265" w:lineRule="auto"/>
        <w:rPr>
          <w:sz w:val="20"/>
          <w:szCs w:val="20"/>
          <w:color w:val="auto"/>
        </w:rPr>
      </w:pPr>
      <w:r>
        <w:rPr>
          <w:rFonts w:ascii="Arial" w:cs="Arial" w:eastAsia="Arial" w:hAnsi="Arial"/>
          <w:sz w:val="17"/>
          <w:szCs w:val="17"/>
          <w:color w:val="auto"/>
        </w:rPr>
        <w:t>commissions and estimated offering expenses payable by us, of approximately $ million, or approximately $ million if the underwriters exercise in full their option to purchase additional ordinary shares, based on an assumed initial</w:t>
      </w:r>
    </w:p>
    <w:p>
      <w:pPr>
        <w:ind w:left="120"/>
        <w:spacing w:after="0"/>
        <w:tabs>
          <w:tab w:leader="none" w:pos="2360" w:val="left"/>
        </w:tabs>
        <w:rPr>
          <w:sz w:val="20"/>
          <w:szCs w:val="20"/>
          <w:color w:val="auto"/>
        </w:rPr>
      </w:pPr>
      <w:r>
        <w:rPr>
          <w:rFonts w:ascii="Arial" w:cs="Arial" w:eastAsia="Arial" w:hAnsi="Arial"/>
          <w:sz w:val="18"/>
          <w:szCs w:val="18"/>
          <w:color w:val="auto"/>
        </w:rPr>
        <w:t>public offering price of $</w:t>
      </w:r>
      <w:r>
        <w:rPr>
          <w:sz w:val="20"/>
          <w:szCs w:val="20"/>
          <w:color w:val="auto"/>
        </w:rPr>
        <w:tab/>
      </w:r>
      <w:r>
        <w:rPr>
          <w:rFonts w:ascii="Arial" w:cs="Arial" w:eastAsia="Arial" w:hAnsi="Arial"/>
          <w:sz w:val="16"/>
          <w:szCs w:val="16"/>
          <w:color w:val="auto"/>
        </w:rPr>
        <w:t>per ordinary share.</w:t>
      </w:r>
    </w:p>
    <w:p>
      <w:pPr>
        <w:spacing w:after="0" w:line="211" w:lineRule="exact"/>
        <w:rPr>
          <w:sz w:val="20"/>
          <w:szCs w:val="20"/>
          <w:color w:val="auto"/>
        </w:rPr>
      </w:pPr>
    </w:p>
    <w:p>
      <w:pPr>
        <w:jc w:val="center"/>
        <w:ind w:left="120" w:right="119"/>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ordinary share would increase (decrease) the net proceeds that we receive from this offering by approximately $     million, assuming that the number</w:t>
      </w:r>
    </w:p>
    <w:p>
      <w:pPr>
        <w:ind w:left="120" w:right="139"/>
        <w:spacing w:after="0" w:line="281" w:lineRule="auto"/>
        <w:rPr>
          <w:sz w:val="20"/>
          <w:szCs w:val="20"/>
          <w:color w:val="auto"/>
        </w:rPr>
      </w:pPr>
      <w:r>
        <w:rPr>
          <w:rFonts w:ascii="Arial" w:cs="Arial" w:eastAsia="Arial" w:hAnsi="Arial"/>
          <w:sz w:val="16"/>
          <w:szCs w:val="16"/>
          <w:color w:val="auto"/>
        </w:rPr>
        <w:t>of ordinary shares offered, as set forth on the cover page of this prospectus, remains the same and after deducting underwriting discounts and commissions and estimated offering expenses payable by us. Similarly, each increase (decrease) of 100,000 shares in the number of ordinary shares offered by us would increase (decrease) the net proceeds to</w:t>
      </w:r>
    </w:p>
    <w:p>
      <w:pPr>
        <w:spacing w:after="0" w:line="2" w:lineRule="exact"/>
        <w:rPr>
          <w:sz w:val="20"/>
          <w:szCs w:val="20"/>
          <w:color w:val="auto"/>
        </w:rPr>
      </w:pPr>
    </w:p>
    <w:p>
      <w:pPr>
        <w:ind w:left="120" w:right="119"/>
        <w:spacing w:after="0" w:line="323" w:lineRule="auto"/>
        <w:rPr>
          <w:sz w:val="20"/>
          <w:szCs w:val="20"/>
          <w:color w:val="auto"/>
        </w:rPr>
      </w:pPr>
      <w:r>
        <w:rPr>
          <w:rFonts w:ascii="Arial" w:cs="Arial" w:eastAsia="Arial" w:hAnsi="Arial"/>
          <w:sz w:val="16"/>
          <w:szCs w:val="16"/>
          <w:color w:val="auto"/>
        </w:rPr>
        <w:t>us from this offering by approximately $ million, assuming that the assumed initial public offering price remains the same, and after deducting the underwriting discounts and commissions and estimated offering expenses payable by us.</w:t>
      </w:r>
    </w:p>
    <w:p>
      <w:pPr>
        <w:spacing w:after="0" w:line="139"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The principal purposes of this offering are to obtain additional capital, to increase our financial flexibility and visibility in the marketplace, to create a public market for our ordinary shares and to facilitate our future access to the public equity markets. We intend to use the net proceeds from this offering for general corporate purposes, including working capital, sales and marketing activities, research and development, and general and administrative matters. We may also use a portion of the net proceeds for the acquisition of, or investment in, technologies, solutions or businesses that complement our business, although we are not currently a party to, or involved with, discussions regarding any material acquisition that is probable. We will have broad discretion over the uses of the net proceeds in this offering, and, as of the date of this prospectus, we have not allocated the net proceeds to particular uses. Until we use the proceeds we receive from this offering for the above mentioned purposes, we intend to invest the net proceeds in short-term, investment-grade interest-bearing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right="279" w:firstLine="216"/>
        <w:spacing w:after="0" w:line="273" w:lineRule="auto"/>
        <w:rPr>
          <w:sz w:val="20"/>
          <w:szCs w:val="20"/>
          <w:color w:val="auto"/>
        </w:rPr>
      </w:pPr>
      <w:r>
        <w:rPr>
          <w:rFonts w:ascii="Arial" w:cs="Arial" w:eastAsia="Arial" w:hAnsi="Arial"/>
          <w:sz w:val="17"/>
          <w:szCs w:val="17"/>
          <w:color w:val="auto"/>
        </w:rPr>
        <w:t>We have never declared or paid cash dividends to our shareholders and we do not intend to pay cash dividends in the foreseeable future. We currently intend to reinvest any earnings in developing and expanding our business. Any future determination relating to our dividend policy will be at the discretion of our board of directors and will depend on a number of factors, including future earnings, our financial condition, operating results, contractual restrictions, capital requirements, business prospects, our strategic goals and plans to expand our business, applicable law and other factors that our board of directors may deem relevant.</w:t>
      </w:r>
    </w:p>
    <w:p>
      <w:pPr>
        <w:spacing w:after="0" w:line="17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cash and cash equivalents and capitalization as of September 30, 2014:</w:t>
      </w:r>
    </w:p>
    <w:p>
      <w:pPr>
        <w:spacing w:after="0" w:line="216" w:lineRule="exact"/>
        <w:rPr>
          <w:sz w:val="20"/>
          <w:szCs w:val="20"/>
          <w:color w:val="auto"/>
        </w:rPr>
      </w:pPr>
    </w:p>
    <w:p>
      <w:pPr>
        <w:ind w:left="560" w:hanging="219"/>
        <w:spacing w:after="0"/>
        <w:tabs>
          <w:tab w:leader="none" w:pos="5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an actual basis;</w:t>
      </w:r>
    </w:p>
    <w:p>
      <w:pPr>
        <w:spacing w:after="0" w:line="215" w:lineRule="exact"/>
        <w:rPr>
          <w:rFonts w:ascii="Arial" w:cs="Arial" w:eastAsia="Arial" w:hAnsi="Arial"/>
          <w:sz w:val="22"/>
          <w:szCs w:val="22"/>
          <w:color w:val="auto"/>
        </w:rPr>
      </w:pPr>
    </w:p>
    <w:p>
      <w:pPr>
        <w:ind w:left="560" w:right="379" w:hanging="219"/>
        <w:spacing w:after="0" w:line="232" w:lineRule="auto"/>
        <w:tabs>
          <w:tab w:leader="none" w:pos="572" w:val="left"/>
        </w:tabs>
        <w:numPr>
          <w:ilvl w:val="0"/>
          <w:numId w:val="20"/>
        </w:numPr>
        <w:rPr>
          <w:rFonts w:ascii="Arial" w:cs="Arial" w:eastAsia="Arial" w:hAnsi="Arial"/>
          <w:sz w:val="22"/>
          <w:szCs w:val="22"/>
          <w:color w:val="auto"/>
        </w:rPr>
      </w:pPr>
      <w:r>
        <w:rPr>
          <w:rFonts w:ascii="Arial" w:cs="Arial" w:eastAsia="Arial" w:hAnsi="Arial"/>
          <w:sz w:val="18"/>
          <w:szCs w:val="18"/>
          <w:color w:val="auto"/>
        </w:rPr>
        <w:t>on a pro forma basis, to give effect to the conversion of all outstanding Series A-1 preferred shares into an equal number of ordinary shares immediately prior to the closing of this offering; and</w:t>
      </w:r>
    </w:p>
    <w:p>
      <w:pPr>
        <w:spacing w:after="0" w:line="206" w:lineRule="exact"/>
        <w:rPr>
          <w:rFonts w:ascii="Arial" w:cs="Arial" w:eastAsia="Arial" w:hAnsi="Arial"/>
          <w:sz w:val="22"/>
          <w:szCs w:val="22"/>
          <w:color w:val="auto"/>
        </w:rPr>
      </w:pPr>
    </w:p>
    <w:p>
      <w:pPr>
        <w:ind w:left="620" w:hanging="279"/>
        <w:spacing w:after="0"/>
        <w:tabs>
          <w:tab w:leader="none" w:pos="620" w:val="left"/>
        </w:tabs>
        <w:numPr>
          <w:ilvl w:val="0"/>
          <w:numId w:val="20"/>
        </w:numPr>
        <w:rPr>
          <w:rFonts w:ascii="Arial" w:cs="Arial" w:eastAsia="Arial" w:hAnsi="Arial"/>
          <w:sz w:val="21"/>
          <w:szCs w:val="21"/>
          <w:color w:val="auto"/>
        </w:rPr>
      </w:pPr>
      <w:r>
        <w:rPr>
          <w:rFonts w:ascii="Arial" w:cs="Arial" w:eastAsia="Arial" w:hAnsi="Arial"/>
          <w:sz w:val="17"/>
          <w:szCs w:val="17"/>
          <w:color w:val="auto"/>
        </w:rPr>
        <w:t>on a pro forma as adjusted basis, to give further effect to the issuance of ordinary shares in this offering, at an</w:t>
      </w:r>
    </w:p>
    <w:p>
      <w:pPr>
        <w:spacing w:after="0" w:line="1" w:lineRule="exact"/>
        <w:rPr>
          <w:rFonts w:ascii="Arial" w:cs="Arial" w:eastAsia="Arial" w:hAnsi="Arial"/>
          <w:sz w:val="21"/>
          <w:szCs w:val="21"/>
          <w:color w:val="auto"/>
        </w:rPr>
      </w:pPr>
    </w:p>
    <w:p>
      <w:pPr>
        <w:ind w:left="560" w:right="119"/>
        <w:spacing w:after="0" w:line="259" w:lineRule="auto"/>
        <w:rPr>
          <w:rFonts w:ascii="Arial" w:cs="Arial" w:eastAsia="Arial" w:hAnsi="Arial"/>
          <w:sz w:val="21"/>
          <w:szCs w:val="21"/>
          <w:color w:val="auto"/>
        </w:rPr>
      </w:pPr>
      <w:r>
        <w:rPr>
          <w:rFonts w:ascii="Arial" w:cs="Arial" w:eastAsia="Arial" w:hAnsi="Arial"/>
          <w:sz w:val="18"/>
          <w:szCs w:val="18"/>
          <w:color w:val="auto"/>
        </w:rPr>
        <w:t>assumed initial public offering price of $ per share, after deducting underwriting discounts and commissions and estimated offering expenses payable by us.</w:t>
      </w:r>
    </w:p>
    <w:p>
      <w:pPr>
        <w:spacing w:after="0" w:line="186" w:lineRule="exact"/>
        <w:rPr>
          <w:sz w:val="20"/>
          <w:szCs w:val="20"/>
          <w:color w:val="auto"/>
        </w:rPr>
      </w:pPr>
    </w:p>
    <w:p>
      <w:pPr>
        <w:jc w:val="center"/>
        <w:ind w:left="120" w:right="179"/>
        <w:spacing w:after="0" w:line="34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our consolidated financial statements and related notes included elsewhere in this prospectus.</w:t>
      </w:r>
    </w:p>
    <w:p>
      <w:pPr>
        <w:spacing w:after="0" w:line="12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w w:val="88"/>
              </w:rPr>
              <w:t>As of September 30, 2014</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Pro forma</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Actual</w:t>
            </w:r>
          </w:p>
        </w:tc>
        <w:tc>
          <w:tcPr>
            <w:tcW w:w="140" w:type="dxa"/>
            <w:vAlign w:val="bottom"/>
          </w:tcPr>
          <w:p>
            <w:pPr>
              <w:spacing w:after="0"/>
              <w:rPr>
                <w:sz w:val="20"/>
                <w:szCs w:val="20"/>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Pro forma</w:t>
            </w:r>
          </w:p>
        </w:tc>
        <w:tc>
          <w:tcPr>
            <w:tcW w:w="20" w:type="dxa"/>
            <w:vAlign w:val="bottom"/>
          </w:tcPr>
          <w:p>
            <w:pPr>
              <w:spacing w:after="0"/>
              <w:rPr>
                <w:sz w:val="20"/>
                <w:szCs w:val="20"/>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as 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gridSpan w:val="7"/>
          </w:tcPr>
          <w:p>
            <w:pPr>
              <w:jc w:val="center"/>
              <w:ind w:right="14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75"/>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80"/>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3"/>
          </w:tcPr>
          <w:p>
            <w:pPr>
              <w:spacing w:after="0" w:line="201" w:lineRule="exact"/>
              <w:rPr>
                <w:sz w:val="20"/>
                <w:szCs w:val="20"/>
                <w:color w:val="auto"/>
              </w:rPr>
            </w:pPr>
            <w:r>
              <w:rPr>
                <w:rFonts w:ascii="Arial" w:cs="Arial" w:eastAsia="Arial" w:hAnsi="Arial"/>
                <w:sz w:val="18"/>
                <w:szCs w:val="18"/>
                <w:color w:val="auto"/>
              </w:rPr>
              <w:t>Ordinary shares, NIS 0.01 par value: 4,020,280 shares</w:t>
            </w: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authorized (actual and pro forma) and</w:t>
            </w:r>
          </w:p>
        </w:tc>
        <w:tc>
          <w:tcPr>
            <w:tcW w:w="1060" w:type="dxa"/>
            <w:vAlign w:val="bottom"/>
            <w:gridSpan w:val="2"/>
          </w:tcPr>
          <w:p>
            <w:pPr>
              <w:jc w:val="right"/>
              <w:ind w:right="525"/>
              <w:spacing w:after="0"/>
              <w:rPr>
                <w:sz w:val="20"/>
                <w:szCs w:val="20"/>
                <w:color w:val="auto"/>
              </w:rPr>
            </w:pPr>
            <w:r>
              <w:rPr>
                <w:rFonts w:ascii="Arial" w:cs="Arial" w:eastAsia="Arial" w:hAnsi="Arial"/>
                <w:sz w:val="18"/>
                <w:szCs w:val="18"/>
                <w:color w:val="auto"/>
                <w:w w:val="81"/>
              </w:rPr>
              <w:t>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w w:val="98"/>
              </w:rPr>
              <w:t>authorized (pro forma as adjusted); 1,369,310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issued and outstanding (actual), 3,296,450 shares</w:t>
            </w: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w w:val="98"/>
              </w:rPr>
              <w:t>issued and outstanding (pro forma), and</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w w:val="88"/>
              </w:rPr>
              <w:t>sharesi ssued and outstanding (pro forma as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ind w:left="200"/>
              <w:spacing w:after="0"/>
              <w:rPr>
                <w:sz w:val="20"/>
                <w:szCs w:val="20"/>
                <w:color w:val="auto"/>
              </w:rPr>
            </w:pPr>
            <w:r>
              <w:rPr>
                <w:rFonts w:ascii="Arial" w:cs="Arial" w:eastAsia="Arial" w:hAnsi="Arial"/>
                <w:sz w:val="18"/>
                <w:szCs w:val="18"/>
                <w:color w:val="auto"/>
              </w:rPr>
              <w:t>adjusted)</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Series A-1 preferred shares, NIS 0.01 par value:</w:t>
            </w: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1,927,220 shares authorized (actual) and no shares</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authorized (pro forma and pro forma as adjusted);</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1,927,140 issued and outstanding (actual) and no</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shares issued and outstanding (pro forma and pro</w:t>
            </w: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forma as adjusted)</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Retained earnings</w:t>
            </w:r>
          </w:p>
        </w:tc>
        <w:tc>
          <w:tcPr>
            <w:tcW w:w="8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Pr>
          <w:p>
            <w:pPr>
              <w:ind w:left="420"/>
              <w:spacing w:after="0"/>
              <w:rPr>
                <w:sz w:val="20"/>
                <w:szCs w:val="20"/>
                <w:color w:val="auto"/>
              </w:rPr>
            </w:pPr>
            <w:r>
              <w:rPr>
                <w:rFonts w:ascii="Arial" w:cs="Arial" w:eastAsia="Arial" w:hAnsi="Arial"/>
                <w:sz w:val="18"/>
                <w:szCs w:val="18"/>
                <w:color w:val="auto"/>
              </w:rPr>
              <w:t>Total capitalization</w:t>
            </w:r>
          </w:p>
        </w:tc>
        <w:tc>
          <w:tcPr>
            <w:tcW w:w="8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1075"/>
              <w:spacing w:after="0"/>
              <w:rPr>
                <w:sz w:val="20"/>
                <w:szCs w:val="20"/>
                <w:color w:val="auto"/>
              </w:rPr>
            </w:pPr>
            <w:r>
              <w:rPr>
                <w:rFonts w:ascii="Arial" w:cs="Arial" w:eastAsia="Arial" w:hAnsi="Arial"/>
                <w:sz w:val="15"/>
                <w:szCs w:val="15"/>
                <w:color w:val="auto"/>
                <w:w w:val="71"/>
              </w:rPr>
              <w:t>$</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80"/>
              <w:spacing w:after="0"/>
              <w:rPr>
                <w:sz w:val="20"/>
                <w:szCs w:val="20"/>
                <w:color w:val="auto"/>
              </w:rPr>
            </w:pPr>
            <w:r>
              <w:rPr>
                <w:rFonts w:ascii="Arial" w:cs="Arial" w:eastAsia="Arial" w:hAnsi="Arial"/>
                <w:sz w:val="10"/>
                <w:szCs w:val="10"/>
                <w:color w:val="auto"/>
                <w:w w:val="71"/>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35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ind w:left="120" w:right="379" w:firstLine="216"/>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would increase (decrease) the pro forma as adjusted amount of each of additional paid-in capital, total shareholders’ equity and total capitalization by</w:t>
      </w:r>
    </w:p>
    <w:p>
      <w:pPr>
        <w:ind w:left="120" w:right="199"/>
        <w:spacing w:after="0" w:line="255" w:lineRule="auto"/>
        <w:rPr>
          <w:sz w:val="20"/>
          <w:szCs w:val="20"/>
          <w:color w:val="auto"/>
        </w:rPr>
      </w:pPr>
      <w:r>
        <w:rPr>
          <w:rFonts w:ascii="Arial" w:cs="Arial" w:eastAsia="Arial" w:hAnsi="Arial"/>
          <w:sz w:val="18"/>
          <w:szCs w:val="18"/>
          <w:color w:val="auto"/>
        </w:rPr>
        <w:t>approximately $ million, assuming that the number of ordinary shares offered, as set forth on the cover page of this prospectus, remains the same and after deducting underwriting discounts and commissions and estimated offering expenses payable by 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279" w:firstLine="216"/>
        <w:spacing w:after="0" w:line="288" w:lineRule="auto"/>
        <w:rPr>
          <w:sz w:val="20"/>
          <w:szCs w:val="20"/>
          <w:color w:val="auto"/>
        </w:rPr>
      </w:pPr>
      <w:r>
        <w:rPr>
          <w:rFonts w:ascii="Arial" w:cs="Arial" w:eastAsia="Arial" w:hAnsi="Arial"/>
          <w:sz w:val="16"/>
          <w:szCs w:val="16"/>
          <w:color w:val="auto"/>
        </w:rPr>
        <w:t>If you invest in our ordinary shares in this offering, your ownership interest will be immediately diluted to the extent of the difference between the initial public offering price per share and the net tangible book value per ordinary share after this offering. On a pro forma basis, our consolidated net tangible book value as of September 30, 2014 was $</w:t>
      </w:r>
    </w:p>
    <w:p>
      <w:pPr>
        <w:ind w:left="120" w:right="279"/>
        <w:spacing w:after="0" w:line="261" w:lineRule="auto"/>
        <w:rPr>
          <w:sz w:val="20"/>
          <w:szCs w:val="20"/>
          <w:color w:val="auto"/>
        </w:rPr>
      </w:pPr>
      <w:r>
        <w:rPr>
          <w:rFonts w:ascii="Arial" w:cs="Arial" w:eastAsia="Arial" w:hAnsi="Arial"/>
          <w:sz w:val="18"/>
          <w:szCs w:val="18"/>
          <w:color w:val="auto"/>
        </w:rPr>
        <w:t>million, or $ per ordinary share. Pro forma consolidated net tangible book value per ordinary share was calculated by:</w:t>
      </w:r>
    </w:p>
    <w:p>
      <w:pPr>
        <w:spacing w:after="0" w:line="175" w:lineRule="exact"/>
        <w:rPr>
          <w:sz w:val="20"/>
          <w:szCs w:val="20"/>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subtracting our consolidated liabilities from our consolidated tangible assets;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21"/>
        </w:numPr>
        <w:rPr>
          <w:rFonts w:ascii="Arial" w:cs="Arial" w:eastAsia="Arial" w:hAnsi="Arial"/>
          <w:sz w:val="22"/>
          <w:szCs w:val="22"/>
          <w:color w:val="auto"/>
        </w:rPr>
      </w:pPr>
      <w:r>
        <w:rPr>
          <w:rFonts w:ascii="Arial" w:cs="Arial" w:eastAsia="Arial" w:hAnsi="Arial"/>
          <w:sz w:val="18"/>
          <w:szCs w:val="18"/>
          <w:color w:val="auto"/>
        </w:rPr>
        <w:t>dividing the difference by the number of ordinary shares outstanding on a pro forma basis.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After giving effect to adjustments relating to this offering, our pro forma as adjusted consolidated net tangible book</w:t>
      </w:r>
    </w:p>
    <w:p>
      <w:pPr>
        <w:spacing w:after="0" w:line="35" w:lineRule="exact"/>
        <w:rPr>
          <w:sz w:val="20"/>
          <w:szCs w:val="20"/>
          <w:color w:val="auto"/>
        </w:rPr>
      </w:pPr>
    </w:p>
    <w:p>
      <w:pPr>
        <w:ind w:left="120"/>
        <w:spacing w:after="0"/>
        <w:tabs>
          <w:tab w:leader="none" w:pos="5140" w:val="left"/>
          <w:tab w:leader="none" w:pos="7280" w:val="left"/>
        </w:tabs>
        <w:rPr>
          <w:sz w:val="20"/>
          <w:szCs w:val="20"/>
          <w:color w:val="auto"/>
        </w:rPr>
      </w:pPr>
      <w:r>
        <w:rPr>
          <w:rFonts w:ascii="Arial" w:cs="Arial" w:eastAsia="Arial" w:hAnsi="Arial"/>
          <w:sz w:val="18"/>
          <w:szCs w:val="18"/>
          <w:color w:val="auto"/>
        </w:rPr>
        <w:t>value on September 30, 2014 would have been approximately $</w:t>
      </w:r>
      <w:r>
        <w:rPr>
          <w:sz w:val="20"/>
          <w:szCs w:val="20"/>
          <w:color w:val="auto"/>
        </w:rPr>
        <w:tab/>
      </w:r>
      <w:r>
        <w:rPr>
          <w:rFonts w:ascii="Arial" w:cs="Arial" w:eastAsia="Arial" w:hAnsi="Arial"/>
          <w:sz w:val="18"/>
          <w:szCs w:val="18"/>
          <w:color w:val="auto"/>
        </w:rPr>
        <w:t>million, equivalent to $</w:t>
      </w:r>
      <w:r>
        <w:rPr>
          <w:sz w:val="20"/>
          <w:szCs w:val="20"/>
          <w:color w:val="auto"/>
        </w:rPr>
        <w:tab/>
      </w:r>
      <w:r>
        <w:rPr>
          <w:rFonts w:ascii="Arial" w:cs="Arial" w:eastAsia="Arial" w:hAnsi="Arial"/>
          <w:sz w:val="15"/>
          <w:szCs w:val="15"/>
          <w:color w:val="auto"/>
        </w:rPr>
        <w:t>per ordinary share.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adjustments made to determine our pro forma as adjusted consolidated net tangible book value are as follows:</w:t>
      </w:r>
    </w:p>
    <w:p>
      <w:pPr>
        <w:spacing w:after="0" w:line="213" w:lineRule="exact"/>
        <w:rPr>
          <w:sz w:val="20"/>
          <w:szCs w:val="20"/>
          <w:color w:val="auto"/>
        </w:rPr>
      </w:pPr>
    </w:p>
    <w:p>
      <w:pPr>
        <w:ind w:left="560" w:hanging="219"/>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18"/>
          <w:szCs w:val="18"/>
          <w:color w:val="auto"/>
        </w:rPr>
        <w:t>the conversion of all outstanding Series A-1 preferred shares into an equal number of ordinary shares;</w:t>
      </w:r>
    </w:p>
    <w:p>
      <w:pPr>
        <w:spacing w:after="0" w:line="215" w:lineRule="exact"/>
        <w:rPr>
          <w:rFonts w:ascii="Arial" w:cs="Arial" w:eastAsia="Arial" w:hAnsi="Arial"/>
          <w:sz w:val="22"/>
          <w:szCs w:val="22"/>
          <w:color w:val="auto"/>
        </w:rPr>
      </w:pPr>
    </w:p>
    <w:p>
      <w:pPr>
        <w:ind w:left="560" w:right="379" w:hanging="219"/>
        <w:spacing w:after="0" w:line="232" w:lineRule="auto"/>
        <w:tabs>
          <w:tab w:leader="none" w:pos="572" w:val="left"/>
        </w:tabs>
        <w:numPr>
          <w:ilvl w:val="0"/>
          <w:numId w:val="22"/>
        </w:numPr>
        <w:rPr>
          <w:rFonts w:ascii="Arial" w:cs="Arial" w:eastAsia="Arial" w:hAnsi="Arial"/>
          <w:sz w:val="22"/>
          <w:szCs w:val="22"/>
          <w:color w:val="auto"/>
        </w:rPr>
      </w:pPr>
      <w:r>
        <w:rPr>
          <w:rFonts w:ascii="Arial" w:cs="Arial" w:eastAsia="Arial" w:hAnsi="Arial"/>
          <w:sz w:val="18"/>
          <w:szCs w:val="18"/>
          <w:color w:val="auto"/>
        </w:rPr>
        <w:t>an increase in consolidated tangible assets to reflect the net proceeds of this offering received by us as described under “Use of Proceeds”; and</w:t>
      </w:r>
    </w:p>
    <w:p>
      <w:pPr>
        <w:spacing w:after="0" w:line="183" w:lineRule="exact"/>
        <w:rPr>
          <w:sz w:val="20"/>
          <w:szCs w:val="20"/>
          <w:color w:val="auto"/>
        </w:rPr>
      </w:pPr>
    </w:p>
    <w:p>
      <w:pPr>
        <w:ind w:left="340"/>
        <w:spacing w:after="0"/>
        <w:tabs>
          <w:tab w:leader="none" w:pos="2320" w:val="left"/>
        </w:tabs>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addition of the</w:t>
      </w:r>
      <w:r>
        <w:rPr>
          <w:sz w:val="20"/>
          <w:szCs w:val="20"/>
          <w:color w:val="auto"/>
        </w:rPr>
        <w:tab/>
      </w:r>
      <w:r>
        <w:rPr>
          <w:rFonts w:ascii="Arial" w:cs="Arial" w:eastAsia="Arial" w:hAnsi="Arial"/>
          <w:sz w:val="16"/>
          <w:szCs w:val="16"/>
          <w:color w:val="auto"/>
        </w:rPr>
        <w:t>ordinary shares offered in this prospectus to the number of ordinary shares outstanding.</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immediate increase in our pro forma as adjusted consolidated net tangible book</w:t>
      </w:r>
    </w:p>
    <w:p>
      <w:pPr>
        <w:spacing w:after="0" w:line="35" w:lineRule="exact"/>
        <w:rPr>
          <w:sz w:val="20"/>
          <w:szCs w:val="20"/>
          <w:color w:val="auto"/>
        </w:rPr>
      </w:pPr>
    </w:p>
    <w:p>
      <w:pPr>
        <w:ind w:left="120"/>
        <w:spacing w:after="0"/>
        <w:tabs>
          <w:tab w:leader="none" w:pos="1280" w:val="left"/>
        </w:tabs>
        <w:rPr>
          <w:sz w:val="20"/>
          <w:szCs w:val="20"/>
          <w:color w:val="auto"/>
        </w:rPr>
      </w:pPr>
      <w:r>
        <w:rPr>
          <w:rFonts w:ascii="Arial" w:cs="Arial" w:eastAsia="Arial" w:hAnsi="Arial"/>
          <w:sz w:val="18"/>
          <w:szCs w:val="18"/>
          <w:color w:val="auto"/>
        </w:rPr>
        <w:t>value of $</w:t>
      </w:r>
      <w:r>
        <w:rPr>
          <w:sz w:val="20"/>
          <w:szCs w:val="20"/>
          <w:color w:val="auto"/>
        </w:rPr>
        <w:tab/>
      </w:r>
      <w:r>
        <w:rPr>
          <w:rFonts w:ascii="Arial" w:cs="Arial" w:eastAsia="Arial" w:hAnsi="Arial"/>
          <w:sz w:val="16"/>
          <w:szCs w:val="16"/>
          <w:color w:val="auto"/>
        </w:rPr>
        <w:t>per ordinary share and the immediate pro forma as adjusted dilution to new investors: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ordinary share</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55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w w:val="99"/>
              </w:rPr>
              <w:t>Net tangible book value per ordinary share as of September 30, 2014</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Increase in net tangible book value per ordinary share attributable to the</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182"/>
        </w:trPr>
        <w:tc>
          <w:tcPr>
            <w:tcW w:w="20" w:type="dxa"/>
            <w:vAlign w:val="bottom"/>
          </w:tcPr>
          <w:p>
            <w:pPr>
              <w:spacing w:after="0"/>
              <w:rPr>
                <w:sz w:val="15"/>
                <w:szCs w:val="15"/>
                <w:color w:val="auto"/>
              </w:rPr>
            </w:pPr>
          </w:p>
        </w:tc>
        <w:tc>
          <w:tcPr>
            <w:tcW w:w="5700" w:type="dxa"/>
            <w:vAlign w:val="bottom"/>
          </w:tcPr>
          <w:p>
            <w:pPr>
              <w:spacing w:after="0" w:line="182" w:lineRule="exact"/>
              <w:rPr>
                <w:sz w:val="20"/>
                <w:szCs w:val="20"/>
                <w:color w:val="auto"/>
              </w:rPr>
            </w:pPr>
            <w:r>
              <w:rPr>
                <w:rFonts w:ascii="Arial" w:cs="Arial" w:eastAsia="Arial" w:hAnsi="Arial"/>
                <w:sz w:val="18"/>
                <w:szCs w:val="18"/>
                <w:color w:val="auto"/>
                <w:w w:val="93"/>
              </w:rPr>
              <w:t>Pro forma as adjusted net tangible book value per ordinary share after giving</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57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effect to the offering</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Dilution per ordinary share to new investors</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8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r>
      <w:tr>
        <w:trPr>
          <w:trHeight w:val="377"/>
        </w:trPr>
        <w:tc>
          <w:tcPr>
            <w:tcW w:w="20" w:type="dxa"/>
            <w:vAlign w:val="bottom"/>
          </w:tcPr>
          <w:p>
            <w:pPr>
              <w:spacing w:after="0"/>
              <w:rPr>
                <w:sz w:val="24"/>
                <w:szCs w:val="24"/>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w w:val="92"/>
              </w:rPr>
              <w:t>A $1.00 increase (decrease) in the assumed initial public offering price of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20" w:type="dxa"/>
            <w:vAlign w:val="bottom"/>
            <w:gridSpan w:val="4"/>
          </w:tcPr>
          <w:p>
            <w:pPr>
              <w:jc w:val="center"/>
              <w:spacing w:after="0"/>
              <w:rPr>
                <w:sz w:val="20"/>
                <w:szCs w:val="20"/>
                <w:color w:val="auto"/>
              </w:rPr>
            </w:pPr>
            <w:r>
              <w:rPr>
                <w:rFonts w:ascii="Arial" w:cs="Arial" w:eastAsia="Arial" w:hAnsi="Arial"/>
                <w:sz w:val="18"/>
                <w:szCs w:val="18"/>
                <w:color w:val="auto"/>
                <w:w w:val="89"/>
              </w:rPr>
              <w:t>per ordinary share would increase</w:t>
            </w: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w w:val="92"/>
              </w:rPr>
              <w:t>(decrease) the consolidated net tangible book value attributable to this offering by $</w:t>
            </w:r>
          </w:p>
        </w:tc>
        <w:tc>
          <w:tcPr>
            <w:tcW w:w="262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per ordinary share, the pro</w:t>
            </w:r>
          </w:p>
        </w:tc>
      </w:tr>
      <w:tr>
        <w:trPr>
          <w:trHeight w:val="216"/>
        </w:trPr>
        <w:tc>
          <w:tcPr>
            <w:tcW w:w="7040" w:type="dxa"/>
            <w:vAlign w:val="bottom"/>
            <w:gridSpan w:val="5"/>
          </w:tcPr>
          <w:p>
            <w:pPr>
              <w:spacing w:after="0"/>
              <w:rPr>
                <w:sz w:val="20"/>
                <w:szCs w:val="20"/>
                <w:color w:val="auto"/>
              </w:rPr>
            </w:pPr>
            <w:r>
              <w:rPr>
                <w:rFonts w:ascii="Arial" w:cs="Arial" w:eastAsia="Arial" w:hAnsi="Arial"/>
                <w:sz w:val="18"/>
                <w:szCs w:val="18"/>
                <w:color w:val="auto"/>
                <w:w w:val="95"/>
              </w:rPr>
              <w:t>forma as adjusted consolidated net tangible book value after giving effect to this offering by $</w:t>
            </w:r>
          </w:p>
        </w:tc>
        <w:tc>
          <w:tcPr>
            <w:tcW w:w="1740" w:type="dxa"/>
            <w:vAlign w:val="bottom"/>
            <w:gridSpan w:val="3"/>
          </w:tcPr>
          <w:p>
            <w:pPr>
              <w:ind w:left="260"/>
              <w:spacing w:after="0"/>
              <w:rPr>
                <w:sz w:val="20"/>
                <w:szCs w:val="20"/>
                <w:color w:val="auto"/>
              </w:rPr>
            </w:pPr>
            <w:r>
              <w:rPr>
                <w:rFonts w:ascii="Arial" w:cs="Arial" w:eastAsia="Arial" w:hAnsi="Arial"/>
                <w:sz w:val="18"/>
                <w:szCs w:val="18"/>
                <w:color w:val="auto"/>
                <w:w w:val="99"/>
              </w:rPr>
              <w:t>per ordinary share</w:t>
            </w: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and the dilution per ordinary share to new investors in this offering by $</w:t>
            </w:r>
          </w:p>
        </w:tc>
        <w:tc>
          <w:tcPr>
            <w:tcW w:w="3060" w:type="dxa"/>
            <w:vAlign w:val="bottom"/>
            <w:gridSpan w:val="6"/>
          </w:tcPr>
          <w:p>
            <w:pPr>
              <w:ind w:left="60"/>
              <w:spacing w:after="0"/>
              <w:rPr>
                <w:sz w:val="20"/>
                <w:szCs w:val="20"/>
                <w:color w:val="auto"/>
              </w:rPr>
            </w:pPr>
            <w:r>
              <w:rPr>
                <w:rFonts w:ascii="Arial" w:cs="Arial" w:eastAsia="Arial" w:hAnsi="Arial"/>
                <w:sz w:val="18"/>
                <w:szCs w:val="18"/>
                <w:color w:val="auto"/>
                <w:w w:val="96"/>
              </w:rPr>
              <w:t>, assuming that the number of ordinary</w:t>
            </w:r>
          </w:p>
        </w:tc>
      </w:tr>
    </w:tbl>
    <w:p>
      <w:pPr>
        <w:ind w:left="120" w:right="619"/>
        <w:spacing w:after="0" w:line="261" w:lineRule="auto"/>
        <w:rPr>
          <w:sz w:val="20"/>
          <w:szCs w:val="20"/>
          <w:color w:val="auto"/>
        </w:rPr>
      </w:pPr>
      <w:r>
        <w:rPr>
          <w:rFonts w:ascii="Arial" w:cs="Arial" w:eastAsia="Arial" w:hAnsi="Arial"/>
          <w:sz w:val="18"/>
          <w:szCs w:val="18"/>
          <w:color w:val="auto"/>
        </w:rPr>
        <w:t>shares offered, as set forth on the cover page of this prospectus, remains the same and after deducting underwriting discounts and commissions and estimated offering expenses payable by us.</w:t>
      </w:r>
    </w:p>
    <w:p>
      <w:pPr>
        <w:spacing w:after="0" w:line="184" w:lineRule="exact"/>
        <w:rPr>
          <w:sz w:val="20"/>
          <w:szCs w:val="20"/>
          <w:color w:val="auto"/>
        </w:rPr>
      </w:pPr>
    </w:p>
    <w:p>
      <w:pPr>
        <w:ind w:left="120" w:right="459" w:firstLine="216"/>
        <w:spacing w:after="0" w:line="288" w:lineRule="auto"/>
        <w:rPr>
          <w:sz w:val="20"/>
          <w:szCs w:val="20"/>
          <w:color w:val="auto"/>
        </w:rPr>
      </w:pPr>
      <w:r>
        <w:rPr>
          <w:rFonts w:ascii="Arial" w:cs="Arial" w:eastAsia="Arial" w:hAnsi="Arial"/>
          <w:sz w:val="16"/>
          <w:szCs w:val="16"/>
          <w:color w:val="auto"/>
        </w:rPr>
        <w:t>The table below summarizes, as of September 30, 2014, on the pro forma as adjusted basis described above, the differences between the number of ordinary shares purchased from us, the total consideration paid and the weighted average price per ordinary share paid by existing shareholders, on the one hand, and by new investors purchasing our</w:t>
      </w:r>
    </w:p>
    <w:p>
      <w:pPr>
        <w:ind w:left="120" w:right="239"/>
        <w:spacing w:after="0" w:line="290" w:lineRule="auto"/>
        <w:rPr>
          <w:sz w:val="20"/>
          <w:szCs w:val="20"/>
          <w:color w:val="auto"/>
        </w:rPr>
      </w:pPr>
      <w:r>
        <w:rPr>
          <w:rFonts w:ascii="Arial" w:cs="Arial" w:eastAsia="Arial" w:hAnsi="Arial"/>
          <w:sz w:val="17"/>
          <w:szCs w:val="17"/>
          <w:color w:val="auto"/>
        </w:rPr>
        <w:t>ordinary shares in this offering, on the other hand, at an assumed initial public offering price of $ per ordinary share before deducting underwriting discounts and commissions and estimated offering expenses payable by us.</w:t>
      </w:r>
    </w:p>
    <w:p>
      <w:pPr>
        <w:spacing w:after="0" w:line="16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6"/>
                <w:szCs w:val="16"/>
                <w:b w:val="1"/>
                <w:bCs w:val="1"/>
                <w:color w:val="auto"/>
              </w:rPr>
              <w:t>Shares Purchased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center"/>
              <w:ind w:right="292"/>
              <w:spacing w:after="0"/>
              <w:rPr>
                <w:sz w:val="20"/>
                <w:szCs w:val="20"/>
                <w:color w:val="auto"/>
              </w:rPr>
            </w:pPr>
            <w:r>
              <w:rPr>
                <w:rFonts w:ascii="Arial" w:cs="Arial" w:eastAsia="Arial" w:hAnsi="Arial"/>
                <w:sz w:val="16"/>
                <w:szCs w:val="16"/>
                <w:b w:val="1"/>
                <w:bCs w:val="1"/>
                <w:color w:val="auto"/>
                <w:w w:val="91"/>
              </w:rPr>
              <w:t>Total Consideration</w:t>
            </w:r>
          </w:p>
        </w:tc>
        <w:tc>
          <w:tcPr>
            <w:tcW w:w="8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Price per</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2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1160" w:type="dxa"/>
            <w:vAlign w:val="bottom"/>
            <w:tcBorders>
              <w:top w:val="single" w:sz="8" w:color="auto"/>
            </w:tcBorders>
            <w:gridSpan w:val="2"/>
          </w:tcPr>
          <w:p>
            <w:pPr>
              <w:jc w:val="right"/>
              <w:ind w:right="27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Amount</w:t>
            </w:r>
          </w:p>
        </w:tc>
        <w:tc>
          <w:tcPr>
            <w:tcW w:w="880" w:type="dxa"/>
            <w:vAlign w:val="bottom"/>
            <w:tcBorders>
              <w:top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0" w:type="dxa"/>
            <w:vAlign w:val="bottom"/>
            <w:gridSpan w:val="3"/>
          </w:tcPr>
          <w:p>
            <w:pPr>
              <w:spacing w:after="0"/>
              <w:rPr>
                <w:sz w:val="20"/>
                <w:szCs w:val="20"/>
                <w:color w:val="auto"/>
              </w:rPr>
            </w:pPr>
            <w:r>
              <w:rPr>
                <w:rFonts w:ascii="Arial" w:cs="Arial" w:eastAsia="Arial" w:hAnsi="Arial"/>
                <w:sz w:val="18"/>
                <w:szCs w:val="18"/>
                <w:color w:val="auto"/>
              </w:rPr>
              <w:t>New investors</w:t>
            </w: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22"/>
                <w:szCs w:val="22"/>
                <w:color w:val="auto"/>
              </w:rPr>
              <w:t>%</w:t>
            </w: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3780" w:type="dxa"/>
            <w:vAlign w:val="bottom"/>
            <w:gridSpan w:val="2"/>
          </w:tcPr>
          <w:p>
            <w:pPr>
              <w:ind w:left="200"/>
              <w:spacing w:after="0"/>
              <w:rPr>
                <w:sz w:val="20"/>
                <w:szCs w:val="20"/>
                <w:color w:val="auto"/>
              </w:rPr>
            </w:pPr>
            <w:r>
              <w:rPr>
                <w:rFonts w:ascii="Arial" w:cs="Arial" w:eastAsia="Arial" w:hAnsi="Arial"/>
                <w:sz w:val="18"/>
                <w:szCs w:val="18"/>
                <w:color w:val="auto"/>
                <w:w w:val="95"/>
              </w:rPr>
              <w:t>The above discussion and tables are based on</w:t>
            </w:r>
          </w:p>
        </w:tc>
        <w:tc>
          <w:tcPr>
            <w:tcW w:w="4980" w:type="dxa"/>
            <w:vAlign w:val="bottom"/>
            <w:gridSpan w:val="12"/>
          </w:tcPr>
          <w:p>
            <w:pPr>
              <w:jc w:val="center"/>
              <w:spacing w:after="0"/>
              <w:rPr>
                <w:sz w:val="20"/>
                <w:szCs w:val="20"/>
                <w:color w:val="auto"/>
              </w:rPr>
            </w:pPr>
            <w:r>
              <w:rPr>
                <w:rFonts w:ascii="Arial" w:cs="Arial" w:eastAsia="Arial" w:hAnsi="Arial"/>
                <w:sz w:val="18"/>
                <w:szCs w:val="18"/>
                <w:color w:val="auto"/>
                <w:w w:val="88"/>
              </w:rPr>
              <w:t>ordinary shares issued and outstanding as of September 30, 2014,</w:t>
            </w:r>
          </w:p>
        </w:tc>
        <w:tc>
          <w:tcPr>
            <w:tcW w:w="0" w:type="dxa"/>
            <w:vAlign w:val="bottom"/>
          </w:tcPr>
          <w:p>
            <w:pPr>
              <w:spacing w:after="0"/>
              <w:rPr>
                <w:sz w:val="1"/>
                <w:szCs w:val="1"/>
                <w:color w:val="auto"/>
              </w:rPr>
            </w:pPr>
          </w:p>
        </w:tc>
      </w:tr>
      <w:tr>
        <w:trPr>
          <w:trHeight w:val="230"/>
        </w:trPr>
        <w:tc>
          <w:tcPr>
            <w:tcW w:w="3800" w:type="dxa"/>
            <w:vAlign w:val="bottom"/>
            <w:gridSpan w:val="3"/>
          </w:tcPr>
          <w:p>
            <w:pPr>
              <w:spacing w:after="0"/>
              <w:rPr>
                <w:sz w:val="20"/>
                <w:szCs w:val="20"/>
                <w:color w:val="auto"/>
              </w:rPr>
            </w:pPr>
            <w:r>
              <w:rPr>
                <w:rFonts w:ascii="Arial" w:cs="Arial" w:eastAsia="Arial" w:hAnsi="Arial"/>
                <w:sz w:val="18"/>
                <w:szCs w:val="18"/>
                <w:color w:val="auto"/>
                <w:w w:val="88"/>
              </w:rPr>
              <w:t>on a pro forma as adjusted basis as described above.</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4"/>
                <w:szCs w:val="14"/>
                <w:color w:val="auto"/>
              </w:rPr>
              <w:t>30</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3" w:name="page34"/>
    <w:bookmarkEnd w:id="33"/>
    <w:p>
      <w:pPr>
        <w:ind w:left="120" w:right="179" w:firstLine="216"/>
        <w:spacing w:after="0" w:line="291" w:lineRule="auto"/>
        <w:rPr>
          <w:sz w:val="20"/>
          <w:szCs w:val="20"/>
          <w:color w:val="auto"/>
        </w:rPr>
      </w:pPr>
      <w:r>
        <w:rPr>
          <w:rFonts w:ascii="Arial" w:cs="Arial" w:eastAsia="Arial" w:hAnsi="Arial"/>
          <w:sz w:val="16"/>
          <w:szCs w:val="16"/>
          <w:color w:val="auto"/>
        </w:rPr>
        <w:t>The discussion and table above assume no exercise of the underwriters’ option to purchase additional ordinary shares. If the underwriters exercise their option to purchase additional ordinary shares in full, the pro forma number of our</w:t>
      </w:r>
    </w:p>
    <w:p>
      <w:pPr>
        <w:ind w:left="120" w:right="179"/>
        <w:spacing w:after="0" w:line="261" w:lineRule="auto"/>
        <w:rPr>
          <w:sz w:val="20"/>
          <w:szCs w:val="20"/>
          <w:color w:val="auto"/>
        </w:rPr>
      </w:pPr>
      <w:r>
        <w:rPr>
          <w:rFonts w:ascii="Arial" w:cs="Arial" w:eastAsia="Arial" w:hAnsi="Arial"/>
          <w:sz w:val="18"/>
          <w:szCs w:val="18"/>
          <w:color w:val="auto"/>
        </w:rPr>
        <w:t>ordinary shares held by new investors will increase to , or approximately %, of the total pro forma number of our ordinary shares outstanding after this offering.</w:t>
      </w:r>
    </w:p>
    <w:p>
      <w:pPr>
        <w:spacing w:after="0" w:line="184" w:lineRule="exact"/>
        <w:rPr>
          <w:sz w:val="20"/>
          <w:szCs w:val="20"/>
          <w:color w:val="auto"/>
        </w:rPr>
      </w:pPr>
    </w:p>
    <w:p>
      <w:pPr>
        <w:ind w:left="120" w:right="359" w:firstLine="216"/>
        <w:spacing w:after="0" w:line="264" w:lineRule="auto"/>
        <w:rPr>
          <w:sz w:val="20"/>
          <w:szCs w:val="20"/>
          <w:color w:val="auto"/>
        </w:rPr>
      </w:pPr>
      <w:r>
        <w:rPr>
          <w:rFonts w:ascii="Arial" w:cs="Arial" w:eastAsia="Arial" w:hAnsi="Arial"/>
          <w:sz w:val="18"/>
          <w:szCs w:val="18"/>
          <w:color w:val="auto"/>
        </w:rPr>
        <w:t>The preceding table excludes 402,149 ordinary shares reserved for issuance under our equity incentive plans as of September 30, 2014 in respect of which we had outstanding options to purchase 333,932 ordinary shares at a weighted average exercise price of $8.96 per share.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all of such outstanding options were exercised, pro forma as adjusted consolidated net tangible book value per share</w:t>
      </w:r>
    </w:p>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color w:val="auto"/>
              </w:rPr>
              <w:t>would be $</w:t>
            </w:r>
          </w:p>
        </w:tc>
        <w:tc>
          <w:tcPr>
            <w:tcW w:w="4560" w:type="dxa"/>
            <w:vAlign w:val="bottom"/>
            <w:gridSpan w:val="4"/>
          </w:tcPr>
          <w:p>
            <w:pPr>
              <w:jc w:val="right"/>
              <w:ind w:right="150"/>
              <w:spacing w:after="0"/>
              <w:rPr>
                <w:sz w:val="20"/>
                <w:szCs w:val="20"/>
                <w:color w:val="auto"/>
              </w:rPr>
            </w:pPr>
            <w:r>
              <w:rPr>
                <w:rFonts w:ascii="Arial" w:cs="Arial" w:eastAsia="Arial" w:hAnsi="Arial"/>
                <w:sz w:val="18"/>
                <w:szCs w:val="18"/>
                <w:color w:val="auto"/>
                <w:w w:val="96"/>
              </w:rPr>
              <w:t>, dilution per ordinary share to new investors would be $</w:t>
            </w:r>
          </w:p>
        </w:tc>
        <w:tc>
          <w:tcPr>
            <w:tcW w:w="3160" w:type="dxa"/>
            <w:vAlign w:val="bottom"/>
            <w:gridSpan w:val="2"/>
          </w:tcPr>
          <w:p>
            <w:pPr>
              <w:ind w:left="240"/>
              <w:spacing w:after="0"/>
              <w:rPr>
                <w:sz w:val="20"/>
                <w:szCs w:val="20"/>
                <w:color w:val="auto"/>
              </w:rPr>
            </w:pPr>
            <w:r>
              <w:rPr>
                <w:rFonts w:ascii="Arial" w:cs="Arial" w:eastAsia="Arial" w:hAnsi="Arial"/>
                <w:sz w:val="18"/>
                <w:szCs w:val="18"/>
                <w:color w:val="auto"/>
              </w:rPr>
              <w:t>, the number of shares held by our</w:t>
            </w:r>
          </w:p>
        </w:tc>
      </w:tr>
      <w:tr>
        <w:trPr>
          <w:trHeight w:val="216"/>
        </w:trPr>
        <w:tc>
          <w:tcPr>
            <w:tcW w:w="3240" w:type="dxa"/>
            <w:vAlign w:val="bottom"/>
            <w:gridSpan w:val="4"/>
          </w:tcPr>
          <w:p>
            <w:pPr>
              <w:spacing w:after="0"/>
              <w:rPr>
                <w:sz w:val="20"/>
                <w:szCs w:val="20"/>
                <w:color w:val="auto"/>
              </w:rPr>
            </w:pPr>
            <w:r>
              <w:rPr>
                <w:rFonts w:ascii="Arial" w:cs="Arial" w:eastAsia="Arial" w:hAnsi="Arial"/>
                <w:sz w:val="18"/>
                <w:szCs w:val="18"/>
                <w:color w:val="auto"/>
              </w:rPr>
              <w:t>existing shareholders would increase to</w:t>
            </w:r>
          </w:p>
        </w:tc>
        <w:tc>
          <w:tcPr>
            <w:tcW w:w="1460" w:type="dxa"/>
            <w:vAlign w:val="bottom"/>
          </w:tcPr>
          <w:p>
            <w:pPr>
              <w:jc w:val="right"/>
              <w:ind w:right="296"/>
              <w:spacing w:after="0"/>
              <w:rPr>
                <w:sz w:val="20"/>
                <w:szCs w:val="20"/>
                <w:color w:val="auto"/>
              </w:rPr>
            </w:pPr>
            <w:r>
              <w:rPr>
                <w:rFonts w:ascii="Arial" w:cs="Arial" w:eastAsia="Arial" w:hAnsi="Arial"/>
                <w:sz w:val="18"/>
                <w:szCs w:val="18"/>
                <w:color w:val="auto"/>
              </w:rPr>
              <w:t>, constituting</w:t>
            </w:r>
          </w:p>
        </w:tc>
        <w:tc>
          <w:tcPr>
            <w:tcW w:w="4080" w:type="dxa"/>
            <w:vAlign w:val="bottom"/>
            <w:gridSpan w:val="3"/>
          </w:tcPr>
          <w:p>
            <w:pPr>
              <w:ind w:left="200"/>
              <w:spacing w:after="0"/>
              <w:rPr>
                <w:sz w:val="20"/>
                <w:szCs w:val="20"/>
                <w:color w:val="auto"/>
              </w:rPr>
            </w:pPr>
            <w:r>
              <w:rPr>
                <w:rFonts w:ascii="Arial" w:cs="Arial" w:eastAsia="Arial" w:hAnsi="Arial"/>
                <w:sz w:val="18"/>
                <w:szCs w:val="18"/>
                <w:color w:val="auto"/>
                <w:w w:val="91"/>
              </w:rPr>
              <w:t>% of our total issued shares (while new shareholders</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rPr>
              <w:t>in this offering would only hold</w:t>
            </w:r>
          </w:p>
        </w:tc>
        <w:tc>
          <w:tcPr>
            <w:tcW w:w="6180" w:type="dxa"/>
            <w:vAlign w:val="bottom"/>
            <w:gridSpan w:val="5"/>
          </w:tcPr>
          <w:p>
            <w:pPr>
              <w:ind w:left="240"/>
              <w:spacing w:after="0"/>
              <w:rPr>
                <w:sz w:val="20"/>
                <w:szCs w:val="20"/>
                <w:color w:val="auto"/>
              </w:rPr>
            </w:pPr>
            <w:r>
              <w:rPr>
                <w:rFonts w:ascii="Arial" w:cs="Arial" w:eastAsia="Arial" w:hAnsi="Arial"/>
                <w:sz w:val="18"/>
                <w:szCs w:val="18"/>
                <w:color w:val="auto"/>
              </w:rPr>
              <w:t>% of our issued shares), the total consideration amount paid by existing</w:t>
            </w: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color w:val="auto"/>
                <w:w w:val="97"/>
              </w:rPr>
              <w:t>shareholders would increase to $</w:t>
            </w:r>
          </w:p>
        </w:tc>
        <w:tc>
          <w:tcPr>
            <w:tcW w:w="640" w:type="dxa"/>
            <w:vAlign w:val="bottom"/>
          </w:tcPr>
          <w:p>
            <w:pPr>
              <w:ind w:left="260"/>
              <w:spacing w:after="0"/>
              <w:rPr>
                <w:sz w:val="20"/>
                <w:szCs w:val="20"/>
                <w:color w:val="auto"/>
              </w:rPr>
            </w:pPr>
            <w:r>
              <w:rPr>
                <w:rFonts w:ascii="Arial" w:cs="Arial" w:eastAsia="Arial" w:hAnsi="Arial"/>
                <w:sz w:val="18"/>
                <w:szCs w:val="18"/>
                <w:color w:val="auto"/>
              </w:rPr>
              <w:t>, or</w:t>
            </w:r>
          </w:p>
        </w:tc>
        <w:tc>
          <w:tcPr>
            <w:tcW w:w="5540" w:type="dxa"/>
            <w:vAlign w:val="bottom"/>
            <w:gridSpan w:val="4"/>
          </w:tcPr>
          <w:p>
            <w:pPr>
              <w:ind w:left="400"/>
              <w:spacing w:after="0"/>
              <w:rPr>
                <w:sz w:val="20"/>
                <w:szCs w:val="20"/>
                <w:color w:val="auto"/>
              </w:rPr>
            </w:pPr>
            <w:r>
              <w:rPr>
                <w:rFonts w:ascii="Arial" w:cs="Arial" w:eastAsia="Arial" w:hAnsi="Arial"/>
                <w:sz w:val="18"/>
                <w:szCs w:val="18"/>
                <w:color w:val="auto"/>
              </w:rPr>
              <w:t>% of total consideration received by us for our shares (while the</w:t>
            </w:r>
          </w:p>
        </w:tc>
      </w:tr>
      <w:tr>
        <w:trPr>
          <w:trHeight w:val="216"/>
        </w:trPr>
        <w:tc>
          <w:tcPr>
            <w:tcW w:w="6600" w:type="dxa"/>
            <w:vAlign w:val="bottom"/>
            <w:gridSpan w:val="7"/>
          </w:tcPr>
          <w:p>
            <w:pPr>
              <w:spacing w:after="0"/>
              <w:rPr>
                <w:sz w:val="20"/>
                <w:szCs w:val="20"/>
                <w:color w:val="auto"/>
              </w:rPr>
            </w:pPr>
            <w:r>
              <w:rPr>
                <w:rFonts w:ascii="Arial" w:cs="Arial" w:eastAsia="Arial" w:hAnsi="Arial"/>
                <w:sz w:val="18"/>
                <w:szCs w:val="18"/>
                <w:color w:val="auto"/>
                <w:w w:val="93"/>
              </w:rPr>
              <w:t>percentage of consideration paid by new shareholders in this offering would decrease to</w:t>
            </w:r>
          </w:p>
        </w:tc>
        <w:tc>
          <w:tcPr>
            <w:tcW w:w="2180" w:type="dxa"/>
            <w:vAlign w:val="bottom"/>
          </w:tcPr>
          <w:p>
            <w:pPr>
              <w:ind w:left="260"/>
              <w:spacing w:after="0"/>
              <w:rPr>
                <w:sz w:val="20"/>
                <w:szCs w:val="20"/>
                <w:color w:val="auto"/>
              </w:rPr>
            </w:pPr>
            <w:r>
              <w:rPr>
                <w:rFonts w:ascii="Arial" w:cs="Arial" w:eastAsia="Arial" w:hAnsi="Arial"/>
                <w:sz w:val="18"/>
                <w:szCs w:val="18"/>
                <w:color w:val="auto"/>
                <w:w w:val="94"/>
              </w:rPr>
              <w:t>%) and the average price</w:t>
            </w:r>
          </w:p>
        </w:tc>
      </w:tr>
      <w:tr>
        <w:trPr>
          <w:trHeight w:val="230"/>
        </w:trPr>
        <w:tc>
          <w:tcPr>
            <w:tcW w:w="4700" w:type="dxa"/>
            <w:vAlign w:val="bottom"/>
            <w:gridSpan w:val="5"/>
          </w:tcPr>
          <w:p>
            <w:pPr>
              <w:spacing w:after="0"/>
              <w:rPr>
                <w:sz w:val="20"/>
                <w:szCs w:val="20"/>
                <w:color w:val="auto"/>
              </w:rPr>
            </w:pPr>
            <w:r>
              <w:rPr>
                <w:rFonts w:ascii="Arial" w:cs="Arial" w:eastAsia="Arial" w:hAnsi="Arial"/>
                <w:sz w:val="18"/>
                <w:szCs w:val="18"/>
                <w:color w:val="auto"/>
                <w:w w:val="93"/>
              </w:rPr>
              <w:t>per share paid by our existing shareholders would instead be $</w:t>
            </w:r>
          </w:p>
        </w:tc>
        <w:tc>
          <w:tcPr>
            <w:tcW w:w="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color w:val="auto"/>
              </w:rPr>
              <w:t>31</w:t>
            </w: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prospectus, including “Management’s Discussion and Analysis of Financial Condition and Results of Operations” and our consolidated financial statements and the related notes appearing elsewhere in this prospectus.</w:t>
      </w:r>
    </w:p>
    <w:p>
      <w:pPr>
        <w:spacing w:after="0" w:line="188" w:lineRule="exact"/>
        <w:rPr>
          <w:sz w:val="20"/>
          <w:szCs w:val="20"/>
          <w:color w:val="auto"/>
        </w:rPr>
      </w:pPr>
    </w:p>
    <w:p>
      <w:pPr>
        <w:ind w:left="120" w:right="299" w:firstLine="216"/>
        <w:spacing w:after="0" w:line="254" w:lineRule="auto"/>
        <w:rPr>
          <w:sz w:val="20"/>
          <w:szCs w:val="20"/>
          <w:color w:val="auto"/>
        </w:rPr>
      </w:pPr>
      <w:r>
        <w:rPr>
          <w:rFonts w:ascii="Arial" w:cs="Arial" w:eastAsia="Arial" w:hAnsi="Arial"/>
          <w:sz w:val="18"/>
          <w:szCs w:val="18"/>
          <w:color w:val="auto"/>
        </w:rPr>
        <w:t>The selected consolidated statements of income data for the years ended December 31, 2012 and 2013 and selected consolidated balance sheet data as of December 31, 2012 and 2013 are derived from our audited consolidated financial statements appearing elsewhere in this prospectus. The selected consolidated statements of income data for the nine months ended September 30, 2013 and 2014 and the selected consolidated balance sheet data as of September 30, 2014 are derived from our unaudited interim consolidated financial statements included elsewhere in this prospectus. The historical results set forth below are not necessarily indicative of the results to be expected in future periods. Our financial statements have been prepared in accordance with U.S. Generally Accepted Accounting Principles, or U.S. GAAP.</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3"/>
              </w:rPr>
              <w:t>Year Ended 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720" w:type="dxa"/>
            <w:vAlign w:val="bottom"/>
            <w:gridSpan w:val="11"/>
          </w:tcPr>
          <w:p>
            <w:pPr>
              <w:ind w:left="260"/>
              <w:spacing w:after="0"/>
              <w:rPr>
                <w:sz w:val="20"/>
                <w:szCs w:val="20"/>
                <w:color w:val="auto"/>
              </w:rPr>
            </w:pPr>
            <w:r>
              <w:rPr>
                <w:rFonts w:ascii="Arial" w:cs="Arial" w:eastAsia="Arial" w:hAnsi="Arial"/>
                <w:sz w:val="16"/>
                <w:szCs w:val="16"/>
                <w:b w:val="1"/>
                <w:bCs w:val="1"/>
                <w:color w:val="auto"/>
              </w:rPr>
              <w:t>(in thousands, except share amounts and per share data)</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39,167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49,395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34,185</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Cost of revenues</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3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Pr>
          <w:p>
            <w:pPr>
              <w:ind w:left="200"/>
              <w:spacing w:after="0" w:line="243"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8"/>
                <w:szCs w:val="28"/>
                <w:b w:val="1"/>
                <w:bCs w:val="1"/>
                <w:color w:val="auto"/>
                <w:vertAlign w:val="superscript"/>
              </w:rPr>
              <w:t>(1)</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4,839</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7,443</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4,878</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shd w:val="clear" w:color="auto" w:fill="CCEEFF"/>
          </w:tcPr>
          <w:p>
            <w:pPr>
              <w:ind w:left="200"/>
              <w:spacing w:after="0" w:line="243"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8"/>
                <w:szCs w:val="28"/>
                <w:b w:val="1"/>
                <w:bCs w:val="1"/>
                <w:color w:val="auto"/>
                <w:vertAlign w:val="superscript"/>
              </w:rPr>
              <w:t>(1)</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40" w:type="dxa"/>
            <w:vAlign w:val="bottom"/>
            <w:tcBorders>
              <w:bottom w:val="single" w:sz="8" w:color="CCEEFF"/>
            </w:tcBorders>
          </w:tcPr>
          <w:p>
            <w:pPr>
              <w:ind w:left="200"/>
              <w:spacing w:after="0" w:line="24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8"/>
                <w:szCs w:val="28"/>
                <w:b w:val="1"/>
                <w:bCs w:val="1"/>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1,932</w:t>
            </w:r>
          </w:p>
        </w:tc>
        <w:tc>
          <w:tcPr>
            <w:tcW w:w="3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Income before taxes on income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3,542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1,599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3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w:t>
            </w:r>
          </w:p>
        </w:tc>
        <w:tc>
          <w:tcPr>
            <w:tcW w:w="300" w:type="dxa"/>
            <w:vAlign w:val="bottom"/>
          </w:tcPr>
          <w:p>
            <w:pPr>
              <w:spacing w:after="0"/>
              <w:rPr>
                <w:sz w:val="21"/>
                <w:szCs w:val="21"/>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spacing w:after="0" w:line="223" w:lineRule="exact"/>
              <w:rPr>
                <w:sz w:val="20"/>
                <w:szCs w:val="20"/>
                <w:color w:val="auto"/>
              </w:rPr>
            </w:pPr>
            <w:r>
              <w:rPr>
                <w:rFonts w:ascii="Arial" w:cs="Arial" w:eastAsia="Arial" w:hAnsi="Arial"/>
                <w:sz w:val="16"/>
                <w:szCs w:val="16"/>
                <w:color w:val="auto"/>
              </w:rPr>
              <w:t>Net earnings per ordinary share</w:t>
            </w:r>
            <w:r>
              <w:rPr>
                <w:rFonts w:ascii="Arial" w:cs="Arial" w:eastAsia="Arial" w:hAnsi="Arial"/>
                <w:sz w:val="25"/>
                <w:szCs w:val="25"/>
                <w:b w:val="1"/>
                <w:bCs w:val="1"/>
                <w:color w:val="auto"/>
                <w:vertAlign w:val="superscript"/>
              </w:rPr>
              <w:t>(2)</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0.43</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0.75</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87"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3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in computing income per ordinary share</w:t>
            </w:r>
            <w:r>
              <w:rPr>
                <w:rFonts w:ascii="Arial" w:cs="Arial" w:eastAsia="Arial" w:hAnsi="Arial"/>
                <w:sz w:val="28"/>
                <w:szCs w:val="28"/>
                <w:b w:val="1"/>
                <w:bCs w:val="1"/>
                <w:color w:val="auto"/>
                <w:vertAlign w:val="superscript"/>
              </w:rPr>
              <w:t>(2)</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1,368,565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1,472,521</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1,547,013</w:t>
            </w: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shd w:val="clear" w:color="auto" w:fill="CCEEFF"/>
          </w:tcPr>
          <w:p>
            <w:pPr>
              <w:spacing w:after="0" w:line="223" w:lineRule="exact"/>
              <w:rPr>
                <w:sz w:val="20"/>
                <w:szCs w:val="20"/>
                <w:color w:val="auto"/>
              </w:rPr>
            </w:pPr>
            <w:r>
              <w:rPr>
                <w:rFonts w:ascii="Arial" w:cs="Arial" w:eastAsia="Arial" w:hAnsi="Arial"/>
                <w:sz w:val="16"/>
                <w:szCs w:val="16"/>
                <w:color w:val="auto"/>
              </w:rPr>
              <w:t>Pro forma net earnings per ordinary share</w:t>
            </w:r>
            <w:r>
              <w:rPr>
                <w:rFonts w:ascii="Arial" w:cs="Arial" w:eastAsia="Arial" w:hAnsi="Arial"/>
                <w:sz w:val="25"/>
                <w:szCs w:val="25"/>
                <w:b w:val="1"/>
                <w:bCs w:val="1"/>
                <w:color w:val="auto"/>
                <w:vertAlign w:val="superscript"/>
              </w:rPr>
              <w:t>(3)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 average number of ordinary shares used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7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760" w:type="dxa"/>
            <w:vAlign w:val="bottom"/>
            <w:gridSpan w:val="2"/>
          </w:tcPr>
          <w:p>
            <w:pPr>
              <w:spacing w:after="0"/>
              <w:rPr>
                <w:sz w:val="20"/>
                <w:szCs w:val="20"/>
                <w:color w:val="auto"/>
              </w:rPr>
            </w:pPr>
            <w:r>
              <w:rPr>
                <w:rFonts w:ascii="Arial" w:cs="Arial" w:eastAsia="Arial" w:hAnsi="Arial"/>
                <w:sz w:val="18"/>
                <w:szCs w:val="18"/>
                <w:color w:val="auto"/>
              </w:rPr>
              <w:t>in computing pro forma income per ordinary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3760" w:type="dxa"/>
            <w:vAlign w:val="bottom"/>
            <w:gridSpan w:val="2"/>
          </w:tcPr>
          <w:p>
            <w:pPr>
              <w:spacing w:after="0" w:line="266" w:lineRule="exact"/>
              <w:rPr>
                <w:sz w:val="20"/>
                <w:szCs w:val="20"/>
                <w:color w:val="auto"/>
              </w:rPr>
            </w:pPr>
            <w:r>
              <w:rPr>
                <w:rFonts w:ascii="Arial" w:cs="Arial" w:eastAsia="Arial" w:hAnsi="Arial"/>
                <w:sz w:val="18"/>
                <w:szCs w:val="18"/>
                <w:color w:val="auto"/>
              </w:rPr>
              <w:t>share</w:t>
            </w:r>
            <w:r>
              <w:rPr>
                <w:rFonts w:ascii="Arial" w:cs="Arial" w:eastAsia="Arial" w:hAnsi="Arial"/>
                <w:sz w:val="28"/>
                <w:szCs w:val="28"/>
                <w:b w:val="1"/>
                <w:bCs w:val="1"/>
                <w:color w:val="auto"/>
                <w:vertAlign w:val="superscript"/>
              </w:rPr>
              <w:t>(3)</w:t>
            </w: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3,293,450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3,295,705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3,434,830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3,474,153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vMerge w:val="restart"/>
          </w:tcPr>
          <w:p>
            <w:pPr>
              <w:ind w:left="260"/>
              <w:spacing w:after="0"/>
              <w:rPr>
                <w:sz w:val="20"/>
                <w:szCs w:val="20"/>
                <w:color w:val="auto"/>
              </w:rPr>
            </w:pPr>
            <w:r>
              <w:rPr>
                <w:rFonts w:ascii="Arial" w:cs="Arial" w:eastAsia="Arial" w:hAnsi="Arial"/>
                <w:sz w:val="14"/>
                <w:szCs w:val="14"/>
                <w:color w:val="auto"/>
              </w:rPr>
              <w:t>32</w:t>
            </w: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7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35" w:name="page36"/>
    <w:bookmarkEnd w:id="3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As of</w:t>
            </w:r>
          </w:p>
        </w:tc>
      </w:tr>
      <w:tr>
        <w:trPr>
          <w:trHeight w:val="213"/>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6"/>
                <w:szCs w:val="16"/>
                <w:b w:val="1"/>
                <w:bCs w:val="1"/>
                <w:color w:val="auto"/>
              </w:rPr>
              <w:t>As of December 31,</w:t>
            </w:r>
          </w:p>
        </w:tc>
        <w:tc>
          <w:tcPr>
            <w:tcW w:w="50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September</w:t>
            </w: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2013</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93"/>
              <w:spacing w:after="0"/>
              <w:rPr>
                <w:sz w:val="20"/>
                <w:szCs w:val="20"/>
                <w:color w:val="auto"/>
              </w:rPr>
            </w:pPr>
            <w:r>
              <w:rPr>
                <w:rFonts w:ascii="Arial" w:cs="Arial" w:eastAsia="Arial" w:hAnsi="Arial"/>
                <w:sz w:val="16"/>
                <w:szCs w:val="16"/>
                <w:b w:val="1"/>
                <w:bCs w:val="1"/>
                <w:color w:val="auto"/>
                <w:w w:val="93"/>
              </w:rPr>
              <w:t>30, 2014</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(in thousands)</w:t>
            </w: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4,663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5,329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3400" w:type="dxa"/>
            <w:vAlign w:val="bottom"/>
            <w:shd w:val="clear" w:color="auto" w:fill="CCEEFF"/>
          </w:tcPr>
          <w:p>
            <w:pPr>
              <w:spacing w:after="0" w:line="243" w:lineRule="exact"/>
              <w:rPr>
                <w:sz w:val="20"/>
                <w:szCs w:val="20"/>
                <w:color w:val="auto"/>
              </w:rPr>
            </w:pPr>
            <w:r>
              <w:rPr>
                <w:rFonts w:ascii="Arial" w:cs="Arial" w:eastAsia="Arial" w:hAnsi="Arial"/>
                <w:sz w:val="18"/>
                <w:szCs w:val="18"/>
                <w:color w:val="auto"/>
              </w:rPr>
              <w:t>Working capital</w:t>
            </w:r>
            <w:r>
              <w:rPr>
                <w:rFonts w:ascii="Arial" w:cs="Arial" w:eastAsia="Arial" w:hAnsi="Arial"/>
                <w:sz w:val="28"/>
                <w:szCs w:val="28"/>
                <w:color w:val="auto"/>
                <w:vertAlign w:val="superscript"/>
              </w:rPr>
              <w:t>(4)</w:t>
            </w: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12,193</w:t>
            </w: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12,881</w:t>
            </w:r>
          </w:p>
        </w:tc>
        <w:tc>
          <w:tcPr>
            <w:tcW w:w="5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14,799</w:t>
            </w:r>
          </w:p>
        </w:tc>
        <w:tc>
          <w:tcPr>
            <w:tcW w:w="16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24,407</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31,627</w:t>
            </w:r>
          </w:p>
        </w:tc>
        <w:tc>
          <w:tcPr>
            <w:tcW w:w="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14,311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15,608</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17,799</w:t>
            </w:r>
          </w:p>
        </w:tc>
        <w:tc>
          <w:tcPr>
            <w:tcW w:w="1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w w:val="94"/>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6"/>
                <w:szCs w:val="16"/>
                <w:b w:val="1"/>
                <w:bCs w:val="1"/>
                <w:color w:val="auto"/>
              </w:rPr>
              <w:t>2013</w:t>
            </w:r>
          </w:p>
        </w:tc>
        <w:tc>
          <w:tcPr>
            <w:tcW w:w="34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20" w:type="dxa"/>
            <w:vAlign w:val="bottom"/>
            <w:gridSpan w:val="4"/>
          </w:tcPr>
          <w:p>
            <w:pPr>
              <w:jc w:val="right"/>
              <w:ind w:right="657"/>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Financial Data:</w:t>
            </w: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140" w:type="dxa"/>
            <w:vAlign w:val="bottom"/>
          </w:tcPr>
          <w:p>
            <w:pPr>
              <w:spacing w:after="0" w:line="228" w:lineRule="exact"/>
              <w:rPr>
                <w:sz w:val="20"/>
                <w:szCs w:val="20"/>
                <w:color w:val="auto"/>
              </w:rPr>
            </w:pPr>
            <w:r>
              <w:rPr>
                <w:rFonts w:ascii="Arial" w:cs="Arial" w:eastAsia="Arial" w:hAnsi="Arial"/>
                <w:sz w:val="17"/>
                <w:szCs w:val="17"/>
                <w:color w:val="auto"/>
              </w:rPr>
              <w:t>Adjusted EBITDA</w:t>
            </w:r>
            <w:r>
              <w:rPr>
                <w:rFonts w:ascii="Arial" w:cs="Arial" w:eastAsia="Arial" w:hAnsi="Arial"/>
                <w:sz w:val="26"/>
                <w:szCs w:val="26"/>
                <w:color w:val="auto"/>
                <w:vertAlign w:val="superscript"/>
              </w:rPr>
              <w:t>(5)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6"/>
              <w:spacing w:after="0"/>
              <w:rPr>
                <w:sz w:val="20"/>
                <w:szCs w:val="20"/>
                <w:color w:val="auto"/>
              </w:rPr>
            </w:pPr>
            <w:r>
              <w:rPr>
                <w:rFonts w:ascii="Arial" w:cs="Arial" w:eastAsia="Arial" w:hAnsi="Arial"/>
                <w:sz w:val="18"/>
                <w:szCs w:val="18"/>
                <w:color w:val="auto"/>
              </w:rPr>
              <w:t>4,690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4,281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7"/>
              <w:spacing w:after="0"/>
              <w:rPr>
                <w:sz w:val="20"/>
                <w:szCs w:val="20"/>
                <w:color w:val="auto"/>
              </w:rPr>
            </w:pPr>
            <w:r>
              <w:rPr>
                <w:rFonts w:ascii="Arial" w:cs="Arial" w:eastAsia="Arial" w:hAnsi="Arial"/>
                <w:sz w:val="18"/>
                <w:szCs w:val="18"/>
                <w:color w:val="auto"/>
              </w:rPr>
              <w:t>2,915</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4,021</w:t>
            </w:r>
          </w:p>
        </w:tc>
        <w:tc>
          <w:tcPr>
            <w:tcW w:w="140" w:type="dxa"/>
            <w:vAlign w:val="bottom"/>
          </w:tcPr>
          <w:p>
            <w:pPr>
              <w:spacing w:after="0"/>
              <w:rPr>
                <w:sz w:val="19"/>
                <w:szCs w:val="19"/>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Includes share-based compensation expense as follows: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ind w:left="18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160" w:type="dxa"/>
            <w:vAlign w:val="bottom"/>
            <w:tcBorders>
              <w:bottom w:val="single" w:sz="8" w:color="auto"/>
            </w:tcBorders>
            <w:gridSpan w:val="5"/>
          </w:tcPr>
          <w:p>
            <w:pPr>
              <w:jc w:val="right"/>
              <w:ind w:right="93"/>
              <w:spacing w:after="0"/>
              <w:rPr>
                <w:sz w:val="20"/>
                <w:szCs w:val="20"/>
                <w:color w:val="auto"/>
              </w:rPr>
            </w:pPr>
            <w:r>
              <w:rPr>
                <w:rFonts w:ascii="Arial" w:cs="Arial" w:eastAsia="Arial" w:hAnsi="Arial"/>
                <w:sz w:val="16"/>
                <w:szCs w:val="16"/>
                <w:b w:val="1"/>
                <w:bCs w:val="1"/>
                <w:color w:val="auto"/>
                <w:w w:val="99"/>
              </w:rPr>
              <w:t>Year Ended December 31,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213"/>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5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 of revenues</w:t>
            </w:r>
          </w:p>
        </w:tc>
        <w:tc>
          <w:tcPr>
            <w:tcW w:w="12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Total share-based compensation expense</w:t>
            </w:r>
          </w:p>
        </w:tc>
        <w:tc>
          <w:tcPr>
            <w:tcW w:w="540" w:type="dxa"/>
            <w:vAlign w:val="bottom"/>
          </w:tcPr>
          <w:p>
            <w:pPr>
              <w:spacing w:after="0"/>
              <w:rPr>
                <w:sz w:val="16"/>
                <w:szCs w:val="16"/>
                <w:color w:val="auto"/>
              </w:rPr>
            </w:pPr>
          </w:p>
        </w:tc>
        <w:tc>
          <w:tcPr>
            <w:tcW w:w="680" w:type="dxa"/>
            <w:vAlign w:val="bottom"/>
          </w:tcPr>
          <w:p>
            <w:pPr>
              <w:jc w:val="right"/>
              <w:ind w:right="522"/>
              <w:spacing w:after="0"/>
              <w:rPr>
                <w:sz w:val="20"/>
                <w:szCs w:val="20"/>
                <w:color w:val="auto"/>
              </w:rPr>
            </w:pPr>
            <w:r>
              <w:rPr>
                <w:rFonts w:ascii="Arial" w:cs="Arial" w:eastAsia="Arial" w:hAnsi="Arial"/>
                <w:sz w:val="15"/>
                <w:szCs w:val="15"/>
                <w:color w:val="auto"/>
                <w:w w:val="71"/>
              </w:rPr>
              <w:t>$</w:t>
            </w:r>
          </w:p>
        </w:tc>
        <w:tc>
          <w:tcPr>
            <w:tcW w:w="260" w:type="dxa"/>
            <w:vAlign w:val="bottom"/>
          </w:tcPr>
          <w:p>
            <w:pPr>
              <w:jc w:val="right"/>
              <w:spacing w:after="0" w:line="195" w:lineRule="exact"/>
              <w:rPr>
                <w:sz w:val="20"/>
                <w:szCs w:val="20"/>
                <w:color w:val="auto"/>
              </w:rPr>
            </w:pPr>
            <w:r>
              <w:rPr>
                <w:rFonts w:ascii="Arial" w:cs="Arial" w:eastAsia="Arial" w:hAnsi="Arial"/>
                <w:sz w:val="18"/>
                <w:szCs w:val="18"/>
                <w:color w:val="auto"/>
              </w:rPr>
              <w:t>77</w:t>
            </w:r>
          </w:p>
        </w:tc>
        <w:tc>
          <w:tcPr>
            <w:tcW w:w="30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126</w:t>
            </w:r>
          </w:p>
        </w:tc>
        <w:tc>
          <w:tcPr>
            <w:tcW w:w="300" w:type="dxa"/>
            <w:vAlign w:val="bottom"/>
          </w:tcPr>
          <w:p>
            <w:pPr>
              <w:spacing w:after="0"/>
              <w:rPr>
                <w:sz w:val="16"/>
                <w:szCs w:val="16"/>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92</w:t>
            </w:r>
          </w:p>
        </w:tc>
        <w:tc>
          <w:tcPr>
            <w:tcW w:w="280" w:type="dxa"/>
            <w:vAlign w:val="bottom"/>
          </w:tcPr>
          <w:p>
            <w:pPr>
              <w:spacing w:after="0"/>
              <w:rPr>
                <w:sz w:val="16"/>
                <w:szCs w:val="16"/>
                <w:color w:val="auto"/>
              </w:rPr>
            </w:pPr>
          </w:p>
        </w:tc>
        <w:tc>
          <w:tcPr>
            <w:tcW w:w="200" w:type="dxa"/>
            <w:vAlign w:val="bottom"/>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513</w:t>
            </w:r>
          </w:p>
        </w:tc>
        <w:tc>
          <w:tcPr>
            <w:tcW w:w="140" w:type="dxa"/>
            <w:vAlign w:val="bottom"/>
          </w:tcPr>
          <w:p>
            <w:pPr>
              <w:spacing w:after="0"/>
              <w:rPr>
                <w:sz w:val="16"/>
                <w:szCs w:val="16"/>
                <w:color w:val="auto"/>
              </w:rPr>
            </w:pPr>
          </w:p>
        </w:tc>
      </w:tr>
      <w:tr>
        <w:trPr>
          <w:trHeight w:val="230"/>
        </w:trPr>
        <w:tc>
          <w:tcPr>
            <w:tcW w:w="348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161" w:lineRule="exact"/>
        <w:rPr>
          <w:sz w:val="20"/>
          <w:szCs w:val="20"/>
          <w:color w:val="auto"/>
        </w:rPr>
      </w:pPr>
    </w:p>
    <w:p>
      <w:pPr>
        <w:ind w:left="440" w:right="459" w:hanging="315"/>
        <w:spacing w:after="0" w:line="286" w:lineRule="auto"/>
        <w:tabs>
          <w:tab w:leader="none" w:pos="4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Basic and diluted net earnings per ordinary share is computed based on the basic and diluted weighted average number of ordinary shares outstanding during each period. For additional information, see note 2w and 10 to our consolidated financial statements included elsewhere in this prospectus.</w:t>
      </w:r>
    </w:p>
    <w:p>
      <w:pPr>
        <w:spacing w:after="0" w:line="165" w:lineRule="exact"/>
        <w:rPr>
          <w:rFonts w:ascii="Arial" w:cs="Arial" w:eastAsia="Arial" w:hAnsi="Arial"/>
          <w:sz w:val="17"/>
          <w:szCs w:val="17"/>
          <w:color w:val="auto"/>
        </w:rPr>
      </w:pPr>
    </w:p>
    <w:p>
      <w:pPr>
        <w:ind w:left="440" w:right="319" w:hanging="315"/>
        <w:spacing w:after="0" w:line="257" w:lineRule="auto"/>
        <w:tabs>
          <w:tab w:leader="none" w:pos="4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 forma basic and diluted net earnings per ordinary share and pro forma weighted average shares outstanding assumes the conversion of all of our outstanding preferred shares into ordinary shares, which will occur upon the closing of this offering, but does not give effect to the issuance of shares in connection with this offering. For additional information on the conversion of the preferred shares see note 2d to our consolidated financial statements included elsewhere in this prospectus.</w:t>
      </w:r>
    </w:p>
    <w:p>
      <w:pPr>
        <w:spacing w:after="0" w:line="188" w:lineRule="exact"/>
        <w:rPr>
          <w:rFonts w:ascii="Arial" w:cs="Arial" w:eastAsia="Arial" w:hAnsi="Arial"/>
          <w:sz w:val="18"/>
          <w:szCs w:val="18"/>
          <w:color w:val="auto"/>
        </w:rPr>
      </w:pPr>
    </w:p>
    <w:p>
      <w:pPr>
        <w:ind w:left="420" w:hanging="295"/>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Working capital is defined as total current assets minus total current liabilities.</w:t>
      </w:r>
    </w:p>
    <w:p>
      <w:pPr>
        <w:spacing w:after="0" w:line="225" w:lineRule="exact"/>
        <w:rPr>
          <w:rFonts w:ascii="Arial" w:cs="Arial" w:eastAsia="Arial" w:hAnsi="Arial"/>
          <w:sz w:val="18"/>
          <w:szCs w:val="18"/>
          <w:color w:val="auto"/>
        </w:rPr>
      </w:pPr>
    </w:p>
    <w:p>
      <w:pPr>
        <w:ind w:left="420" w:hanging="295"/>
        <w:spacing w:after="0"/>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table reconciles net income to Adjusted EBITDA for the periods presented:</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4"/>
          </w:tcPr>
          <w:p>
            <w:pPr>
              <w:jc w:val="right"/>
              <w:ind w:right="92"/>
              <w:spacing w:after="0"/>
              <w:rPr>
                <w:sz w:val="20"/>
                <w:szCs w:val="20"/>
                <w:color w:val="auto"/>
              </w:rPr>
            </w:pPr>
            <w:r>
              <w:rPr>
                <w:rFonts w:ascii="Arial" w:cs="Arial" w:eastAsia="Arial" w:hAnsi="Arial"/>
                <w:sz w:val="16"/>
                <w:szCs w:val="16"/>
                <w:b w:val="1"/>
                <w:bCs w:val="1"/>
                <w:color w:val="auto"/>
                <w:w w:val="92"/>
              </w:rPr>
              <w:t>Year Ended 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jc w:val="right"/>
              <w:ind w:right="513"/>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5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Reconciliation of Net Income to Adjusted</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2,314</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Taxes on income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Share-based compensation expense</w:t>
            </w:r>
          </w:p>
        </w:tc>
        <w:tc>
          <w:tcPr>
            <w:tcW w:w="4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4,021</w:t>
            </w:r>
          </w:p>
        </w:tc>
        <w:tc>
          <w:tcPr>
            <w:tcW w:w="14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sectPr>
          <w:pgSz w:w="11900" w:h="16838" w:orient="portrait"/>
          <w:cols w:equalWidth="0" w:num="1">
            <w:col w:w="9019"/>
          </w:cols>
          <w:pgMar w:left="1440" w:top="126" w:right="1440" w:bottom="1440" w:gutter="0" w:footer="0" w:header="0"/>
        </w:sect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type w:val="continuous"/>
        </w:sectPr>
      </w:pPr>
    </w:p>
    <w:bookmarkStart w:id="36" w:name="page37"/>
    <w:bookmarkEnd w:id="36"/>
    <w:p>
      <w:pPr>
        <w:ind w:left="120" w:right="179" w:firstLine="216"/>
        <w:spacing w:after="0" w:line="288" w:lineRule="auto"/>
        <w:rPr>
          <w:sz w:val="20"/>
          <w:szCs w:val="20"/>
          <w:color w:val="auto"/>
        </w:rPr>
      </w:pPr>
      <w:r>
        <w:rPr>
          <w:rFonts w:ascii="Arial" w:cs="Arial" w:eastAsia="Arial" w:hAnsi="Arial"/>
          <w:sz w:val="16"/>
          <w:szCs w:val="16"/>
          <w:color w:val="auto"/>
        </w:rPr>
        <w:t>Adjusted EBITDA is a non-GAAP measure defined as net income before finance expenses, net (including foreign exchange gains and losses), income taxes, depreciation and amortization, and share-based compensation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w:t>
      </w:r>
    </w:p>
    <w:p>
      <w:pPr>
        <w:spacing w:after="0" w:line="183" w:lineRule="exact"/>
        <w:rPr>
          <w:sz w:val="20"/>
          <w:szCs w:val="20"/>
          <w:color w:val="auto"/>
        </w:rPr>
      </w:pPr>
    </w:p>
    <w:p>
      <w:pPr>
        <w:ind w:left="560" w:right="739" w:hanging="219"/>
        <w:spacing w:after="0" w:line="232" w:lineRule="auto"/>
        <w:tabs>
          <w:tab w:leader="none" w:pos="572" w:val="left"/>
        </w:tabs>
        <w:numPr>
          <w:ilvl w:val="0"/>
          <w:numId w:val="24"/>
        </w:numPr>
        <w:rPr>
          <w:rFonts w:ascii="Arial" w:cs="Arial" w:eastAsia="Arial" w:hAnsi="Arial"/>
          <w:sz w:val="22"/>
          <w:szCs w:val="22"/>
          <w:color w:val="auto"/>
        </w:rPr>
      </w:pPr>
      <w:r>
        <w:rPr>
          <w:rFonts w:ascii="Arial" w:cs="Arial" w:eastAsia="Arial" w:hAnsi="Arial"/>
          <w:sz w:val="18"/>
          <w:szCs w:val="18"/>
          <w:color w:val="auto"/>
        </w:rPr>
        <w:t>Adjusted EBITDA does not reflect our cash expenditures or future requirements for capital expenditures or contractual commitments;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Adjusted EBITDA does not reflect changes in, or cash requirements for, our working capital needs;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24"/>
        </w:numPr>
        <w:rPr>
          <w:rFonts w:ascii="Arial" w:cs="Arial" w:eastAsia="Arial" w:hAnsi="Arial"/>
          <w:sz w:val="22"/>
          <w:szCs w:val="22"/>
          <w:color w:val="auto"/>
        </w:rPr>
      </w:pPr>
      <w:r>
        <w:rPr>
          <w:rFonts w:ascii="Arial" w:cs="Arial" w:eastAsia="Arial" w:hAnsi="Arial"/>
          <w:sz w:val="18"/>
          <w:szCs w:val="18"/>
          <w:color w:val="auto"/>
        </w:rPr>
        <w:t>Although depreciation is a non-cash charge, the assets being depreciated will often have to be replaced in the future, and Adjusted EBITDA does not reflect any cash requirements for such replacements.</w:t>
      </w:r>
    </w:p>
    <w:p>
      <w:pPr>
        <w:spacing w:after="0" w:line="204"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euro (affecting finance expenses, net), tax positions (such as the impact on periods or companies of changes in effective tax rates), the age and book depreciation of fixed assets (affecting relative depreciation expense) and share-based compensation expense (because it is a non-cash expense).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consolidated financial statements and the related notes included elsewhere in this prospectus.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and elsewhere in this prospectus. You should read the following discussion in conjunction with “Special Note Regarding Forward-Looking Statements” and “Risk Factors.”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Our business is driven by the changing dynamics in the global printed textile industry, which is undergoing a transition from analog to digital printing methods. Recent technological advancements in digital printing technology have enabled printing of high resolution images and designs on textiles in large volumes and at high throughput levels. For example, these capabilities have enabled online businesses, whose business models are tailored to the growing demand for customized and personalized goods, to cater to customers who order single units or small runs of a particular design. We have identified the high throughput segment of the DTG market as a high growth area and have therefore focused our solutions to primarily address that area. We believe our early innovation in digital printing solutions has enabled us to evolve into a company that provides a comprehensive digital printing solution for the growing global printed textile industry and seek to further our presence by penetrating the roll-to-roll, or R2R, market in the next 18 months.</w:t>
      </w:r>
    </w:p>
    <w:p>
      <w:pPr>
        <w:spacing w:after="0" w:line="167" w:lineRule="exact"/>
        <w:rPr>
          <w:sz w:val="20"/>
          <w:szCs w:val="20"/>
          <w:color w:val="auto"/>
        </w:rPr>
      </w:pPr>
    </w:p>
    <w:p>
      <w:pPr>
        <w:ind w:left="120" w:right="239" w:firstLine="216"/>
        <w:spacing w:after="0" w:line="288" w:lineRule="auto"/>
        <w:rPr>
          <w:sz w:val="20"/>
          <w:szCs w:val="20"/>
          <w:color w:val="auto"/>
        </w:rPr>
      </w:pPr>
      <w:r>
        <w:rPr>
          <w:rFonts w:ascii="Arial" w:cs="Arial" w:eastAsia="Arial" w:hAnsi="Arial"/>
          <w:sz w:val="16"/>
          <w:szCs w:val="16"/>
          <w:color w:val="auto"/>
        </w:rPr>
        <w:t>We offer a broad portfolio of digital printing systems for the DTG market. We target customers that manufacture textiles in large quantities with a variety of high throughput digital printing systems. We market our systems to different customers based on their desired throughput level, overall cost of ownership, the allowable space in their manufacturing facilities, the degree of preexisting knowledge they have of printing among other considerations. Most of our sales in recent years have been to high throughput manufacturers, which we believe will continue to grow in the next several years. At the same time, we are seeking to expand our presence into the mass production market with the commercial launch of our Vulcan system, targeted to occur within the next 24 months. Furthermore, we believe that our advanced technology and years of experience in digital textile printing will enable us to penetrate the R2R market after the commercial launch of our Allegro system, which is targeted within the next 18 months. Our solutions also include our proprietary NeoPigment ink and other consumables, associated software and value added services.</w:t>
      </w:r>
    </w:p>
    <w:p>
      <w:pPr>
        <w:spacing w:after="0" w:line="169"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We sell the majority of our solutions through a global network of approximately 50 independent distributors and value added resellers that we refer to as our channel partners. Our channel partners, in turn, sell the solutions they purchase from us to customers directly or, in some cases, act as facilitators of our direct sales process. Our independent distributors are generally responsible for identifying potential leads, working with our sales force to convert leads into buying customers and maintaining relationships with our customers. 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8" w:name="page39"/>
    <w:bookmarkEnd w:id="38"/>
    <w:p>
      <w:pPr>
        <w:ind w:left="120" w:right="559" w:firstLine="216"/>
        <w:spacing w:after="0" w:line="286" w:lineRule="auto"/>
        <w:rPr>
          <w:sz w:val="20"/>
          <w:szCs w:val="20"/>
          <w:color w:val="auto"/>
        </w:rPr>
      </w:pPr>
      <w:r>
        <w:rPr>
          <w:rFonts w:ascii="Arial" w:cs="Arial" w:eastAsia="Arial" w:hAnsi="Arial"/>
          <w:sz w:val="17"/>
          <w:szCs w:val="17"/>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66"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We plan to accomplish these goals by investing in our direct sales force, developing new applications for existing systems, introducing new solutions and growing our relationships with channel partners. Since sales of our ink and other consumables are directly linked to the number and mix of our systems that are sold, installed and active worldwide, engaging with our customers before and after sales is a key contributor to growth. We intend to drive growth by focusing our efforts on sales of our higher throughput industrial systems, which generally utilize larger amounts of ink and other consumables due to their greater capacity and higher throughput levels.</w:t>
      </w:r>
    </w:p>
    <w:p>
      <w:pPr>
        <w:spacing w:after="0" w:line="182"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 26.1% increase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 the nine months ended September 30, 2014, we generated 54.1% of our revenues from the Americas, 29.3% from EMEA and 16.6% from the Asia Pacific region.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also generate a small portion of our revenues from the provision of spare parts to our distributors and customers, value added services consisting of time and material based support, post-warranty service contracts. In the future, we expect to generate revenues from other professional application development services.</w:t>
      </w:r>
    </w:p>
    <w:p>
      <w:pPr>
        <w:spacing w:after="0" w:line="193" w:lineRule="exact"/>
        <w:rPr>
          <w:sz w:val="20"/>
          <w:szCs w:val="20"/>
          <w:color w:val="auto"/>
        </w:rPr>
      </w:pPr>
    </w:p>
    <w:p>
      <w:pPr>
        <w:ind w:left="120" w:right="439" w:firstLine="216"/>
        <w:spacing w:after="0" w:line="264" w:lineRule="auto"/>
        <w:rPr>
          <w:sz w:val="20"/>
          <w:szCs w:val="20"/>
          <w:color w:val="auto"/>
        </w:rPr>
      </w:pPr>
      <w:r>
        <w:rPr>
          <w:rFonts w:ascii="Arial" w:cs="Arial" w:eastAsia="Arial" w:hAnsi="Arial"/>
          <w:sz w:val="18"/>
          <w:szCs w:val="18"/>
          <w:color w:val="auto"/>
        </w:rPr>
        <w:t>We principally sell our products through independent distributors who resell them to customers. Sales by our distributors accounted for approximately 72% of our revenues during the nine months ended September 30, 2014 and approximately 63% in 2013. The balance of our product sales is direct.</w:t>
      </w:r>
    </w:p>
    <w:p>
      <w:pPr>
        <w:spacing w:after="0" w:line="181" w:lineRule="exact"/>
        <w:rPr>
          <w:sz w:val="20"/>
          <w:szCs w:val="20"/>
          <w:color w:val="auto"/>
        </w:rPr>
      </w:pPr>
    </w:p>
    <w:p>
      <w:pPr>
        <w:ind w:left="120" w:right="119" w:firstLine="216"/>
        <w:spacing w:after="0" w:line="253" w:lineRule="auto"/>
        <w:rPr>
          <w:sz w:val="20"/>
          <w:szCs w:val="20"/>
          <w:color w:val="auto"/>
        </w:rPr>
      </w:pPr>
      <w:r>
        <w:rPr>
          <w:rFonts w:ascii="Arial" w:cs="Arial" w:eastAsia="Arial" w:hAnsi="Arial"/>
          <w:sz w:val="18"/>
          <w:szCs w:val="18"/>
          <w:color w:val="auto"/>
        </w:rPr>
        <w:t>We recognize revenues from sales of our systems upon installation of the system in the customer’s premises when installation is undertaken by us, provided that the collection of the resulting receivable is probable, there is persuasive evidence of an arrangement, no significant obligations in respect of installation remain and the price is fixed or determinable. This is also the case for sales made through independent distributors unless the independent distributor installs the system in which case we recognize revenues upon shipment to the independent distributor provided all other revenue recognition criteria are met. We recognize revenues net of sales commissions and returns. Revenues from ink and other consumables are generally recognized upon shipment. Revenues from provision of value added services are generally recognized at the time such support services are provided. See “—Critical Accounting Estimates—Revenue Recognition”.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120"/>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7"/>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ind w:left="480"/>
              <w:spacing w:after="0"/>
              <w:rPr>
                <w:sz w:val="20"/>
                <w:szCs w:val="20"/>
                <w:color w:val="auto"/>
              </w:rPr>
            </w:pPr>
            <w:r>
              <w:rPr>
                <w:rFonts w:ascii="Arial" w:cs="Arial" w:eastAsia="Arial" w:hAnsi="Arial"/>
                <w:sz w:val="16"/>
                <w:szCs w:val="16"/>
                <w:b w:val="1"/>
                <w:bCs w:val="1"/>
                <w:color w:val="auto"/>
                <w:w w:val="93"/>
              </w:rPr>
              <w:t>Nine months Ended September 30,</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b w:val="1"/>
                <w:bCs w:val="1"/>
                <w:color w:val="auto"/>
                <w:w w:val="89"/>
              </w:rPr>
              <w:t>2013</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9"/>
          </w:tcPr>
          <w:p>
            <w:pPr>
              <w:ind w:left="500"/>
              <w:spacing w:after="0"/>
              <w:rPr>
                <w:sz w:val="20"/>
                <w:szCs w:val="20"/>
                <w:color w:val="auto"/>
              </w:rPr>
            </w:pPr>
            <w:r>
              <w:rPr>
                <w:rFonts w:ascii="Arial" w:cs="Arial" w:eastAsia="Arial" w:hAnsi="Arial"/>
                <w:sz w:val="16"/>
                <w:szCs w:val="16"/>
                <w:b w:val="1"/>
                <w:bCs w:val="1"/>
                <w:color w:val="auto"/>
                <w:w w:val="91"/>
              </w:rPr>
              <w:t>(in thousands except percentages)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United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States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22,022</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14,877</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22,898</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5,732</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4,596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2,778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14,311</w:t>
            </w: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tcPr>
          <w:p>
            <w:pPr>
              <w:spacing w:after="0" w:line="201" w:lineRule="exact"/>
              <w:rPr>
                <w:sz w:val="20"/>
                <w:szCs w:val="20"/>
                <w:color w:val="auto"/>
              </w:rPr>
            </w:pPr>
            <w:r>
              <w:rPr>
                <w:rFonts w:ascii="Arial" w:cs="Arial" w:eastAsia="Arial" w:hAnsi="Arial"/>
                <w:sz w:val="18"/>
                <w:szCs w:val="18"/>
                <w:color w:val="auto"/>
              </w:rPr>
              <w:t>Asia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00" w:type="dxa"/>
            <w:vAlign w:val="bottom"/>
            <w:gridSpan w:val="2"/>
          </w:tcPr>
          <w:p>
            <w:pPr>
              <w:spacing w:after="0"/>
              <w:rPr>
                <w:sz w:val="20"/>
                <w:szCs w:val="20"/>
                <w:color w:val="auto"/>
              </w:rPr>
            </w:pPr>
            <w:r>
              <w:rPr>
                <w:rFonts w:ascii="Arial" w:cs="Arial" w:eastAsia="Arial" w:hAnsi="Arial"/>
                <w:sz w:val="18"/>
                <w:szCs w:val="18"/>
                <w:color w:val="auto"/>
              </w:rPr>
              <w:t>Pacific</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r>
              <w:rPr>
                <w:rFonts w:ascii="Arial" w:cs="Arial" w:eastAsia="Arial" w:hAnsi="Arial"/>
                <w:sz w:val="18"/>
                <w:szCs w:val="18"/>
                <w:u w:val="single" w:color="auto"/>
                <w:color w:val="auto"/>
              </w:rPr>
              <w:t>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7,330</w:t>
            </w: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5,242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7,884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3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30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49,395</w:t>
            </w:r>
          </w:p>
        </w:tc>
        <w:tc>
          <w:tcPr>
            <w:tcW w:w="28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34,185</w:t>
            </w: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47,495</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0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12" w:lineRule="exact"/>
        <w:rPr>
          <w:sz w:val="20"/>
          <w:szCs w:val="20"/>
          <w:color w:val="auto"/>
        </w:rPr>
      </w:pPr>
    </w:p>
    <w:p>
      <w:pPr>
        <w:ind w:left="120" w:right="219" w:firstLine="216"/>
        <w:spacing w:after="0" w:line="289" w:lineRule="auto"/>
        <w:rPr>
          <w:sz w:val="20"/>
          <w:szCs w:val="20"/>
          <w:color w:val="auto"/>
        </w:rPr>
      </w:pPr>
      <w:r>
        <w:rPr>
          <w:rFonts w:ascii="Arial" w:cs="Arial" w:eastAsia="Arial" w:hAnsi="Arial"/>
          <w:sz w:val="16"/>
          <w:szCs w:val="16"/>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w:t>
      </w:r>
    </w:p>
    <w:p>
      <w:pPr>
        <w:spacing w:after="0" w:line="153"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w:t>
      </w:r>
    </w:p>
    <w:p>
      <w:pPr>
        <w:spacing w:after="0" w:line="166"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since they have historically been focused on serving the one-year warranty that is included in the price of our systems. In the future, we will seek to generate greater revenues from our service offering, and thereby leverage the fixed cost component associated with it, by increasing sales of post-warranty service contracts and providing other professional services.</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120" w:right="119" w:firstLine="216"/>
        <w:spacing w:after="0" w:line="293"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facilities leases. We expect personnel and allocated costs to continue to increase as we hire new employees to support the continued growth of our business. In the medium term, we expect operating expenses to decrease as a percentage of revenues.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120" w:right="139" w:firstLine="216"/>
        <w:spacing w:after="0" w:line="269"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and related personnel expenses for our research and development employees. Research and development expenses also include purchases of laboratory supplies;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and establish new beta sites for additional systems that we develop. Our current research and development efforts are primarily focused on beta testing of our Allegro R2R system, completing the development of our Vulcan DTG printing system, and enhancing our current DTG systems with new features and functionality, improving system reliability and uptime and making our systems even more user-friendly. We are also investing in the development of new ink formulas for our new systems and in order to expand the range of fabrics on which we can print and further improve the quality of our high resolution images and designs.</w:t>
      </w:r>
    </w:p>
    <w:p>
      <w:pPr>
        <w:spacing w:after="0" w:line="142"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The largest component of our sales and marketing expenses is salaries and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personnel expenses for our marketing, sales and other sales-support employees. Sales and marketing expenses also include advertising and promotions, including trade shows, distributor open houses, and media advertising; sales-based commissions;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add new distributors as we expand to new territories, and strengthen relationships with existing distributors.</w:t>
      </w:r>
    </w:p>
    <w:p>
      <w:pPr>
        <w:spacing w:after="0" w:line="140" w:lineRule="exact"/>
        <w:rPr>
          <w:sz w:val="20"/>
          <w:szCs w:val="20"/>
          <w:color w:val="auto"/>
        </w:rPr>
      </w:pPr>
    </w:p>
    <w:p>
      <w:pPr>
        <w:ind w:left="120" w:right="11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The largest component of our general and administrative expenses is salaries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related personnel expenses 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as our sales continue to grow and as we begin operating as a public company.</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Income (Expenses), Net</w:t>
      </w:r>
    </w:p>
    <w:p>
      <w:pPr>
        <w:spacing w:after="0" w:line="185"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Financial income (expenses), net consists of foreign currency exchange gains or losses and, to a lesser extent, interest income. Foreign currency exchange changes reflect gains or losses related to changes in the value of our non-U.S. dollar denominated financial assets, primarily cash and cash equivalents, and trade payables and receivables. As of September 30, 2014, we did not have any indebtedness for borrowed amounts. Interest income consists of interest earned on our cash, cash equivalents and short-term bank deposits. We expect interest income to vary depending on our average investment balances and market interest rates during each reporting period.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 on Income</w:t>
      </w:r>
    </w:p>
    <w:p>
      <w:pPr>
        <w:spacing w:after="0" w:line="185"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The standard corporate tax rate in Israel for 2014 and thereafter is 26.5% and was 25.0% in 2012 and 2013. At the parent company level, a small amount of the taxable income of Kornit Digital was taxed prior to 2014 at the 25.0% rate. However, as discussed in greater detail below under “Taxation — Israeli Tax Considerations and Government Programs,” we and our wholly-owned Israeli subsidiary, Kornit Digital Technologies Ltd., or Kornit Technologies, are entitled to various tax benefits under the Israeli Law for the Encouragement of Capital Investments, 1959, or the Investment Law. As a result of these benefits, referred to as “beneficiary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29" w:lineRule="exact"/>
        <w:rPr>
          <w:sz w:val="20"/>
          <w:szCs w:val="20"/>
          <w:color w:val="auto"/>
        </w:rPr>
      </w:pPr>
    </w:p>
    <w:p>
      <w:pPr>
        <w:ind w:left="120" w:right="439" w:firstLine="216"/>
        <w:spacing w:after="0" w:line="291" w:lineRule="auto"/>
        <w:rPr>
          <w:sz w:val="20"/>
          <w:szCs w:val="20"/>
          <w:color w:val="auto"/>
        </w:rPr>
      </w:pPr>
      <w:r>
        <w:rPr>
          <w:rFonts w:ascii="Arial" w:cs="Arial" w:eastAsia="Arial" w:hAnsi="Arial"/>
          <w:sz w:val="16"/>
          <w:szCs w:val="16"/>
          <w:color w:val="auto"/>
        </w:rPr>
        <w:t>Starting from January 1, 2014, we have consolidated the results of our Israeli operations for tax purposes such that future net operating loss carryforwards of Kornit Technologies can be used to offset Israeli taxable income from</w:t>
      </w:r>
    </w:p>
    <w:p>
      <w:pPr>
        <w:ind w:left="120" w:right="159"/>
        <w:spacing w:after="0" w:line="254" w:lineRule="auto"/>
        <w:rPr>
          <w:sz w:val="20"/>
          <w:szCs w:val="20"/>
          <w:color w:val="auto"/>
        </w:rPr>
      </w:pPr>
      <w:r>
        <w:rPr>
          <w:rFonts w:ascii="Arial" w:cs="Arial" w:eastAsia="Arial" w:hAnsi="Arial"/>
          <w:sz w:val="18"/>
          <w:szCs w:val="18"/>
          <w:color w:val="auto"/>
        </w:rPr>
        <w:t>us. Kornit Technologies currently generates sufficient net operating loss carryforwards to offset the taxable income of the parent. Accordingly, we do not expect to be subject to income tax in Israel in 2014 and our effective tax rate will be the blended rate of our Israeli tax obligations and those of our non-Israeli subsidiaries in their respective jurisdictions of organization.</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1" w:name="page42"/>
    <w:bookmarkEnd w:id="41"/>
    <w:p>
      <w:pPr>
        <w:ind w:left="120" w:right="279" w:firstLine="216"/>
        <w:spacing w:after="0" w:line="312" w:lineRule="auto"/>
        <w:rPr>
          <w:sz w:val="20"/>
          <w:szCs w:val="20"/>
          <w:color w:val="auto"/>
        </w:rPr>
      </w:pPr>
      <w:r>
        <w:rPr>
          <w:rFonts w:ascii="Arial" w:cs="Arial" w:eastAsia="Arial" w:hAnsi="Arial"/>
          <w:sz w:val="16"/>
          <w:szCs w:val="16"/>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Period to Period Results of Operations</w:t>
      </w:r>
    </w:p>
    <w:p>
      <w:pPr>
        <w:spacing w:after="0" w:line="229" w:lineRule="exact"/>
        <w:rPr>
          <w:sz w:val="20"/>
          <w:szCs w:val="20"/>
          <w:color w:val="auto"/>
        </w:rPr>
      </w:pPr>
    </w:p>
    <w:p>
      <w:pPr>
        <w:ind w:left="120" w:right="619" w:firstLine="216"/>
        <w:spacing w:after="0" w:line="277" w:lineRule="auto"/>
        <w:rPr>
          <w:sz w:val="20"/>
          <w:szCs w:val="20"/>
          <w:color w:val="auto"/>
        </w:rPr>
      </w:pPr>
      <w:r>
        <w:rPr>
          <w:rFonts w:ascii="Arial" w:cs="Arial" w:eastAsia="Arial" w:hAnsi="Arial"/>
          <w:sz w:val="18"/>
          <w:szCs w:val="18"/>
          <w:color w:val="auto"/>
        </w:rPr>
        <w:t>The following tables set forth our results of operations in dollars and as a percentage of revenues for the periods indicated:</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40"/>
              <w:spacing w:after="0"/>
              <w:rPr>
                <w:sz w:val="20"/>
                <w:szCs w:val="20"/>
                <w:color w:val="auto"/>
              </w:rPr>
            </w:pPr>
            <w:r>
              <w:rPr>
                <w:rFonts w:ascii="Arial" w:cs="Arial" w:eastAsia="Arial" w:hAnsi="Arial"/>
                <w:sz w:val="16"/>
                <w:szCs w:val="16"/>
                <w:b w:val="1"/>
                <w:bCs w:val="1"/>
                <w:color w:val="auto"/>
                <w:w w:val="92"/>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820"/>
              <w:spacing w:after="0"/>
              <w:rPr>
                <w:sz w:val="20"/>
                <w:szCs w:val="20"/>
                <w:color w:val="auto"/>
              </w:rPr>
            </w:pPr>
            <w:r>
              <w:rPr>
                <w:rFonts w:ascii="Arial" w:cs="Arial" w:eastAsia="Arial" w:hAnsi="Arial"/>
                <w:sz w:val="16"/>
                <w:szCs w:val="16"/>
                <w:b w:val="1"/>
                <w:bCs w:val="1"/>
                <w:color w:val="auto"/>
              </w:rPr>
              <w:t>(in thousands)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2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34,185</w:t>
            </w:r>
          </w:p>
        </w:tc>
        <w:tc>
          <w:tcPr>
            <w:tcW w:w="2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27,953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19,652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7,734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5,357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18,455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12,601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18,136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1,393</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1,013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gridSpan w:val="7"/>
          </w:tcPr>
          <w:p>
            <w:pPr>
              <w:jc w:val="right"/>
              <w:ind w:right="400"/>
              <w:spacing w:after="0"/>
              <w:rPr>
                <w:sz w:val="20"/>
                <w:szCs w:val="20"/>
                <w:color w:val="auto"/>
              </w:rPr>
            </w:pPr>
            <w:r>
              <w:rPr>
                <w:rFonts w:ascii="Arial" w:cs="Arial" w:eastAsia="Arial" w:hAnsi="Arial"/>
                <w:sz w:val="16"/>
                <w:szCs w:val="16"/>
                <w:b w:val="1"/>
                <w:bCs w:val="1"/>
                <w:color w:val="auto"/>
                <w:w w:val="94"/>
              </w:rPr>
              <w:t>Year Ended December 31,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2013</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8"/>
          </w:tcPr>
          <w:p>
            <w:pPr>
              <w:jc w:val="right"/>
              <w:ind w:right="580"/>
              <w:spacing w:after="0"/>
              <w:rPr>
                <w:sz w:val="20"/>
                <w:szCs w:val="20"/>
                <w:color w:val="auto"/>
              </w:rPr>
            </w:pPr>
            <w:r>
              <w:rPr>
                <w:rFonts w:ascii="Arial" w:cs="Arial" w:eastAsia="Arial" w:hAnsi="Arial"/>
                <w:sz w:val="16"/>
                <w:szCs w:val="16"/>
                <w:b w:val="1"/>
                <w:bCs w:val="1"/>
                <w:color w:val="auto"/>
              </w:rPr>
              <w:t>(as a % of revenues)</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Finance expenses, net</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Taxes on income</w:t>
            </w:r>
          </w:p>
        </w:tc>
        <w:tc>
          <w:tcPr>
            <w:tcW w:w="8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Nine Months Ended September 30, 2013 and 2014</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259" w:firstLine="216"/>
        <w:spacing w:after="0" w:line="257" w:lineRule="auto"/>
        <w:rPr>
          <w:sz w:val="20"/>
          <w:szCs w:val="20"/>
          <w:color w:val="auto"/>
        </w:rPr>
      </w:pPr>
      <w:r>
        <w:rPr>
          <w:rFonts w:ascii="Arial" w:cs="Arial" w:eastAsia="Arial" w:hAnsi="Arial"/>
          <w:sz w:val="18"/>
          <w:szCs w:val="18"/>
          <w:color w:val="auto"/>
        </w:rPr>
        <w:t>Revenues increased by $13.3 million, or 38.9%, to $47.5 million in the first nine months of 2014, as compared to $34.2 million in the first nine months of 2013. Substantially all of the growth in revenues resulted from an increase of $8.9 million in system revenues and an increase of $3.6 million from the sale of ink and other consumables. The substantial majority of the growth in revenues was attributable to increased sales of high throughput systems, which sell for higher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120" w:right="559"/>
        <w:spacing w:after="0" w:line="277" w:lineRule="auto"/>
        <w:rPr>
          <w:sz w:val="20"/>
          <w:szCs w:val="20"/>
          <w:color w:val="auto"/>
        </w:rPr>
      </w:pPr>
      <w:r>
        <w:rPr>
          <w:rFonts w:ascii="Arial" w:cs="Arial" w:eastAsia="Arial" w:hAnsi="Arial"/>
          <w:sz w:val="18"/>
          <w:szCs w:val="18"/>
          <w:color w:val="auto"/>
        </w:rPr>
        <w:t>average selling prices than our entry level systems. We sold a greater number of our high throughput systems in this period compared to the prior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59" w:firstLine="216"/>
        <w:spacing w:after="0" w:line="264" w:lineRule="auto"/>
        <w:rPr>
          <w:sz w:val="20"/>
          <w:szCs w:val="20"/>
          <w:color w:val="auto"/>
        </w:rPr>
      </w:pPr>
      <w:r>
        <w:rPr>
          <w:rFonts w:ascii="Arial" w:cs="Arial" w:eastAsia="Arial" w:hAnsi="Arial"/>
          <w:sz w:val="18"/>
          <w:szCs w:val="18"/>
          <w:color w:val="auto"/>
        </w:rPr>
        <w:t>Cost of revenues increased by $7.2 million, or 36.6%, to $26.9 million in the first nine months of 2014, as compared to $19.7 million in the first nine months of 2013. Gross profit increased by $6.1 million, or 42.1%, to $20.6 million in the first nine months of 2014, as compared to $14.5 million in the first nine months of 2013.</w:t>
      </w:r>
    </w:p>
    <w:p>
      <w:pPr>
        <w:spacing w:after="0" w:line="181" w:lineRule="exact"/>
        <w:rPr>
          <w:sz w:val="20"/>
          <w:szCs w:val="20"/>
          <w:color w:val="auto"/>
        </w:rPr>
      </w:pPr>
    </w:p>
    <w:p>
      <w:pPr>
        <w:ind w:left="120" w:right="419" w:firstLine="216"/>
        <w:spacing w:after="0" w:line="312" w:lineRule="auto"/>
        <w:rPr>
          <w:sz w:val="20"/>
          <w:szCs w:val="20"/>
          <w:color w:val="auto"/>
        </w:rPr>
      </w:pPr>
      <w:r>
        <w:rPr>
          <w:rFonts w:ascii="Arial" w:cs="Arial" w:eastAsia="Arial" w:hAnsi="Arial"/>
          <w:sz w:val="16"/>
          <w:szCs w:val="16"/>
          <w:color w:val="auto"/>
        </w:rPr>
        <w:t>Gross margin was 43.5% in the first nine months of 2014 compared to 42.5% in the first nine months of 2013. The increase in gross margin resulted from an increase in sales of high throughput systems relative to sales of entry level systems and increased sales of ink and consumables due to the continued growth of our installed base.</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9"/>
          </w:tcPr>
          <w:p>
            <w:pPr>
              <w:jc w:val="right"/>
              <w:ind w:right="200"/>
              <w:spacing w:after="0"/>
              <w:rPr>
                <w:sz w:val="20"/>
                <w:szCs w:val="20"/>
                <w:color w:val="auto"/>
              </w:rPr>
            </w:pPr>
            <w:r>
              <w:rPr>
                <w:rFonts w:ascii="Arial" w:cs="Arial" w:eastAsia="Arial" w:hAnsi="Arial"/>
                <w:sz w:val="16"/>
                <w:szCs w:val="16"/>
                <w:b w:val="1"/>
                <w:bCs w:val="1"/>
                <w:color w:val="auto"/>
                <w:w w:val="96"/>
              </w:rPr>
              <w:t>Nine Months Ended September 30,</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2014</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4,878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6,851</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300"/>
              <w:spacing w:after="0"/>
              <w:rPr>
                <w:sz w:val="20"/>
                <w:szCs w:val="20"/>
                <w:color w:val="auto"/>
              </w:rPr>
            </w:pPr>
            <w:r>
              <w:rPr>
                <w:rFonts w:ascii="Arial" w:cs="Arial" w:eastAsia="Arial" w:hAnsi="Arial"/>
                <w:sz w:val="18"/>
                <w:szCs w:val="18"/>
                <w:color w:val="auto"/>
                <w:w w:val="97"/>
              </w:rPr>
              <w:t>40.4%</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5"/>
              </w:rPr>
              <w:t>41.3</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2,366</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ind w:left="300"/>
              <w:spacing w:after="0"/>
              <w:rPr>
                <w:sz w:val="20"/>
                <w:szCs w:val="20"/>
                <w:color w:val="auto"/>
              </w:rPr>
            </w:pPr>
            <w:r>
              <w:rPr>
                <w:rFonts w:ascii="Arial" w:cs="Arial" w:eastAsia="Arial" w:hAnsi="Arial"/>
                <w:sz w:val="18"/>
                <w:szCs w:val="18"/>
                <w:color w:val="auto"/>
                <w:w w:val="85"/>
              </w:rPr>
              <w:t>57.1</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18,136</w:t>
            </w: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5,535</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7"/>
              </w:rPr>
              <w:t>43.9%</w:t>
            </w:r>
          </w:p>
        </w:tc>
      </w:tr>
    </w:tbl>
    <w:p>
      <w:pPr>
        <w:spacing w:after="0" w:line="161"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increased by 40.4% in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2014 compared to the first nine months of 2013. This resulted primarily from an increase of $1.1 million in salaries and related personnel expenses due to the hiring of additional personnel, of which $0.1 million was due to currency fluctuations. This increase related primarily to an increase in expenses relating to development of our new Vulcan system for the DTG market. As a percentage of total revenues, our research and development expenses did not increase materially in 2014 compared to 2013.</w:t>
      </w:r>
    </w:p>
    <w:p>
      <w:pPr>
        <w:spacing w:after="0" w:line="193" w:lineRule="exact"/>
        <w:rPr>
          <w:sz w:val="20"/>
          <w:szCs w:val="20"/>
          <w:color w:val="auto"/>
        </w:rPr>
      </w:pPr>
    </w:p>
    <w:p>
      <w:pPr>
        <w:ind w:left="120" w:right="199" w:firstLine="216"/>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41.3% in the first nine months of 2014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first nine months of 2013. This increase was primarily due to an increase of $1.4 million in salaries and related personnel expenses due to the hiring of sales and marketing personnel in 2014, an increase of $0.3 million in marketing activities, including trade shows and online marketing activities, of which $0.1 million was due to currency fluctuations. As a percentage of total revenues, our sales and marketing expenses rose slightly during this period, from 15.7% in 2013 to 16.0% in 2014. This increase reflects our strategy of continuing to increase our presence in new markets in which we operate and creating increased market awareness of our company from intensified marketing efforts.</w:t>
      </w:r>
    </w:p>
    <w:p>
      <w:pPr>
        <w:spacing w:after="0" w:line="167" w:lineRule="exact"/>
        <w:rPr>
          <w:sz w:val="20"/>
          <w:szCs w:val="20"/>
          <w:color w:val="auto"/>
        </w:rPr>
      </w:pPr>
    </w:p>
    <w:p>
      <w:pPr>
        <w:ind w:left="120" w:right="279" w:firstLine="216"/>
        <w:spacing w:after="0" w:line="297"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57.1% in the first nine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2014 compared to the first nine months of 2013. This resulted primarily from an increase of $0.9 million in salaries and related personnel expenses due to the hiring of additional personnel reflecting an increase in headcount compared to the previous year and management changes. As a percentage of our total revenues in those years, such expenses slightly increased, from 6.9% in 2013 to 7.8% in 2014 reflecting the expansion of our management team.</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7"/>
          <w:szCs w:val="17"/>
          <w:color w:val="auto"/>
        </w:rPr>
        <w:t>Finance expenses for the nine months ended September 30, 2013 were $0.3 million. For the same period in 2014, finance expenses were $0.2 million. This decrease resulted primarily from the effects of exchange rates on our non-dollar denominated financial assets, specifically the exchange rate of the U.S. dollar to the Israeli shekel.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3" w:name="page44"/>
    <w:bookmarkEnd w:id="43"/>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Taxes on income for the nine months ended September 30, 2013 were $1.0 million. For the same period in 2014, taxes on income were $0.5 million. Our effective tax rate was 20.7% for the nine months ended September 30, 2014 compared to 63.4% for the nine months ended September 30, 2013. Our tax rate in 2013 reflected a full valuation allowance applied against the current loss for tax purposes incurred by our Israeli subsidiary, Kornit Technologies, which was not consolidated for tax purposes with our parent entity, Kornit Digital, which generates taxable income. Starting in 2014, we have consolidated Kornit Technologies for tax purposes resulting in significantly lower taxable income and a correspondingly lower effective tax rate.</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2012 and 2013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120" w:right="159" w:firstLine="216"/>
        <w:spacing w:after="0" w:line="257" w:lineRule="auto"/>
        <w:rPr>
          <w:sz w:val="20"/>
          <w:szCs w:val="20"/>
          <w:color w:val="auto"/>
        </w:rPr>
      </w:pPr>
      <w:r>
        <w:rPr>
          <w:rFonts w:ascii="Arial" w:cs="Arial" w:eastAsia="Arial" w:hAnsi="Arial"/>
          <w:sz w:val="18"/>
          <w:szCs w:val="18"/>
          <w:color w:val="auto"/>
        </w:rPr>
        <w:t>Revenues increased by $10.2 million, or 26.0%, to $49.4 million in 2013 from $39.2 million in 2012. The growth in revenues in 2013 was primarily attributable to an increase in sales of ink and other consumables of $6.1 million due to our increased installed base in 2013 compared to 2012, and an increase of $3.8 million in sales of systems, resulting from greater sales of high throughput systems relative to entry level systems in 2013 compared to 2012, which sell for higher average selling prices than our entry level systems.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7"/>
          <w:szCs w:val="17"/>
          <w:color w:val="auto"/>
        </w:rPr>
        <w:t>Cost of revenues increased by $5.3 million, or 22.9%, to $28.0 million in 2013, as compared to $22.7 million in 2012. Gross profit increased by $5.0 million, or 30.5%, to $21.4 million in 2013, as compared to $16.4 million in 2012. This increase was attributable to increased sales of ink and other consumables compared to 2012.</w:t>
      </w:r>
    </w:p>
    <w:p>
      <w:pPr>
        <w:spacing w:after="0" w:line="166" w:lineRule="exact"/>
        <w:rPr>
          <w:sz w:val="20"/>
          <w:szCs w:val="20"/>
          <w:color w:val="auto"/>
        </w:rPr>
      </w:pPr>
    </w:p>
    <w:p>
      <w:pPr>
        <w:jc w:val="both"/>
        <w:ind w:left="120" w:right="379" w:firstLine="216"/>
        <w:spacing w:after="0" w:line="264" w:lineRule="auto"/>
        <w:rPr>
          <w:sz w:val="20"/>
          <w:szCs w:val="20"/>
          <w:color w:val="auto"/>
        </w:rPr>
      </w:pPr>
      <w:r>
        <w:rPr>
          <w:rFonts w:ascii="Arial" w:cs="Arial" w:eastAsia="Arial" w:hAnsi="Arial"/>
          <w:sz w:val="18"/>
          <w:szCs w:val="18"/>
          <w:color w:val="auto"/>
        </w:rPr>
        <w:t>Gross margin was 43.4% in 2013 compared to 41.9% in 2012. This increase was primarily attributable to increased sales of ink and other consumables offset by unfavorable currency exchange rate fluctuations impacting system gross profit.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Expenses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6"/>
                <w:szCs w:val="16"/>
                <w:b w:val="1"/>
                <w:bCs w:val="1"/>
                <w:color w:val="auto"/>
                <w:w w:val="94"/>
              </w:rPr>
              <w:t>Year Ended December 31,</w:t>
            </w:r>
          </w:p>
        </w:tc>
        <w:tc>
          <w:tcPr>
            <w:tcW w:w="8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2012</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8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188"/>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ind w:right="214"/>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jc w:val="right"/>
              <w:ind w:right="213"/>
              <w:spacing w:after="0"/>
              <w:rPr>
                <w:sz w:val="20"/>
                <w:szCs w:val="20"/>
                <w:color w:val="auto"/>
              </w:rPr>
            </w:pPr>
            <w:r>
              <w:rPr>
                <w:rFonts w:ascii="Arial" w:cs="Arial" w:eastAsia="Arial" w:hAnsi="Arial"/>
                <w:sz w:val="16"/>
                <w:szCs w:val="16"/>
                <w:b w:val="1"/>
                <w:bCs w:val="1"/>
                <w:color w:val="auto"/>
              </w:rPr>
              <w:t>% of</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w w:val="95"/>
              </w:rPr>
              <w:t>Amount</w:t>
            </w:r>
          </w:p>
        </w:tc>
        <w:tc>
          <w:tcPr>
            <w:tcW w:w="106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w w:val="89"/>
              </w:rPr>
              <w:t>Revenues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2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 in thousands)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46"/>
        </w:trPr>
        <w:tc>
          <w:tcPr>
            <w:tcW w:w="20" w:type="dxa"/>
            <w:vAlign w:val="bottom"/>
          </w:tcPr>
          <w:p>
            <w:pPr>
              <w:spacing w:after="0"/>
              <w:rPr>
                <w:sz w:val="21"/>
                <w:szCs w:val="21"/>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Operating expenses: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60" w:type="dxa"/>
            <w:vAlign w:val="bottom"/>
            <w:tcBorders>
              <w:right w:val="single" w:sz="8" w:color="CCEEFF"/>
            </w:tcBorders>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development</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4,839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7,443</w:t>
            </w:r>
          </w:p>
        </w:tc>
        <w:tc>
          <w:tcPr>
            <w:tcW w:w="3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w w:val="99"/>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360" w:type="dxa"/>
            <w:vAlign w:val="bottom"/>
            <w:tcBorders>
              <w:right w:val="single" w:sz="8" w:color="CCEEFF"/>
            </w:tcBorders>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60" w:type="dxa"/>
            <w:vAlign w:val="bottom"/>
          </w:tcPr>
          <w:p>
            <w:pPr>
              <w:spacing w:after="0" w:line="201" w:lineRule="exact"/>
              <w:rPr>
                <w:sz w:val="20"/>
                <w:szCs w:val="20"/>
                <w:color w:val="auto"/>
              </w:rPr>
            </w:pPr>
            <w:r>
              <w:rPr>
                <w:rFonts w:ascii="Arial" w:cs="Arial" w:eastAsia="Arial" w:hAnsi="Arial"/>
                <w:sz w:val="18"/>
                <w:szCs w:val="18"/>
                <w:color w:val="auto"/>
              </w:rPr>
              <w:t>General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administrative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3,278</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0"/>
                <w:szCs w:val="20"/>
                <w:color w:val="auto"/>
              </w:rPr>
            </w:pPr>
          </w:p>
        </w:tc>
      </w:tr>
      <w:tr>
        <w:trPr>
          <w:trHeight w:val="182"/>
        </w:trPr>
        <w:tc>
          <w:tcPr>
            <w:tcW w:w="20" w:type="dxa"/>
            <w:vAlign w:val="bottom"/>
          </w:tcPr>
          <w:p>
            <w:pPr>
              <w:spacing w:after="0"/>
              <w:rPr>
                <w:sz w:val="15"/>
                <w:szCs w:val="15"/>
                <w:color w:val="auto"/>
              </w:rPr>
            </w:pPr>
          </w:p>
        </w:tc>
        <w:tc>
          <w:tcPr>
            <w:tcW w:w="16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right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12,599</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18,455</w:t>
            </w:r>
          </w:p>
        </w:tc>
        <w:tc>
          <w:tcPr>
            <w:tcW w:w="360" w:type="dxa"/>
            <w:vAlign w:val="bottom"/>
            <w:tcBorders>
              <w:right w:val="single" w:sz="8" w:color="CCEEFF"/>
            </w:tcBorders>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39" w:firstLine="216"/>
        <w:spacing w:after="0" w:line="242"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53.8%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resulted primarily from an increase of $1.1 million in salaries and related personnel expenses, of which $0.3 million was due to currency fluctuations, and an increase of $0.7 million </w:t>
      </w:r>
      <w:r>
        <w:rPr>
          <w:rFonts w:ascii="Arial" w:cs="Arial" w:eastAsia="Arial" w:hAnsi="Arial"/>
          <w:sz w:val="34"/>
          <w:szCs w:val="34"/>
          <w:color w:val="auto"/>
          <w:vertAlign w:val="superscript"/>
        </w:rPr>
        <w:t>primarily</w:t>
      </w:r>
      <w:r>
        <w:rPr>
          <w:rFonts w:ascii="Arial" w:cs="Arial" w:eastAsia="Arial" w:hAnsi="Arial"/>
          <w:sz w:val="17"/>
          <w:szCs w:val="17"/>
          <w:color w:val="auto"/>
        </w:rPr>
        <w:t xml:space="preserve"> in materials and related costs for our two beta sites in 2013 compared to 2012, in each case, related to the Allegro and Vulcan systems. As a percentage of total revenues, our research and development expenses increased relatively from 12.4% in 2012 to 15.1% in 2013, reflecting our increased focus on development of these new systems.</w:t>
      </w:r>
    </w:p>
    <w:p>
      <w:pPr>
        <w:spacing w:after="0" w:line="200"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increased by 65.7% in 2013 compared to 2012.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an increase of $1.6 million in salaries and related personnel costs due to increased recruiting of sales and marketing personnel in 2013 as part of our strategic sales and marketing initiatives, of which $0.1 million was due to currency fluctuations, and an increase of $0.7 million in marketing activities, including trade shows and corporate rebranding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120" w:right="119"/>
        <w:spacing w:after="0" w:line="279" w:lineRule="auto"/>
        <w:rPr>
          <w:sz w:val="20"/>
          <w:szCs w:val="20"/>
          <w:color w:val="auto"/>
        </w:rPr>
      </w:pPr>
      <w:r>
        <w:rPr>
          <w:rFonts w:ascii="Arial" w:cs="Arial" w:eastAsia="Arial" w:hAnsi="Arial"/>
          <w:sz w:val="17"/>
          <w:szCs w:val="17"/>
          <w:color w:val="auto"/>
        </w:rPr>
        <w:t>in 2013. As a percentage of total revenues, our sales and marketing expenses rose during this period, from 11.9% in 2012 to 15.7% in 2013. This increase reflects our strategic determination to improve our presence in our active territories and deepen relationships with our existing distributors and entering into new markets, while also increasing market awareness of our company by intensifying our marketing efforts and adding distribution channels.</w:t>
      </w:r>
    </w:p>
    <w:p>
      <w:pPr>
        <w:spacing w:after="0" w:line="171" w:lineRule="exact"/>
        <w:rPr>
          <w:sz w:val="20"/>
          <w:szCs w:val="20"/>
          <w:color w:val="auto"/>
        </w:rPr>
      </w:pPr>
    </w:p>
    <w:p>
      <w:pPr>
        <w:ind w:left="120" w:right="179" w:firstLine="216"/>
        <w:spacing w:after="0" w:line="276"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6.0% in 2013 compared to 2012,</w:t>
      </w:r>
      <w:r>
        <w:rPr>
          <w:rFonts w:ascii="Arial" w:cs="Arial" w:eastAsia="Arial" w:hAnsi="Arial"/>
          <w:sz w:val="17"/>
          <w:szCs w:val="17"/>
          <w:i w:val="1"/>
          <w:iCs w:val="1"/>
          <w:color w:val="auto"/>
        </w:rPr>
        <w:t xml:space="preserve"> </w:t>
      </w:r>
      <w:r>
        <w:rPr>
          <w:rFonts w:ascii="Arial" w:cs="Arial" w:eastAsia="Arial" w:hAnsi="Arial"/>
          <w:sz w:val="17"/>
          <w:szCs w:val="17"/>
          <w:color w:val="auto"/>
        </w:rPr>
        <w:t>reflecting an increase in headcount generated by increased activity across all areas of our business in each of those years compared to the previous year. Despite the absolute increase in general and administrative expenses in 2013 compared to 2012, as a percentage of our total revenues in those years, such expenses decreased, from 7.9% in 2012 to 6.6% in 2013, reflecting our increased revenues as well as our efforts to manage our expansion efficiently.</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left="120" w:right="139" w:firstLine="216"/>
        <w:spacing w:after="0" w:line="264" w:lineRule="auto"/>
        <w:rPr>
          <w:sz w:val="20"/>
          <w:szCs w:val="20"/>
          <w:color w:val="auto"/>
        </w:rPr>
      </w:pPr>
      <w:r>
        <w:rPr>
          <w:rFonts w:ascii="Arial" w:cs="Arial" w:eastAsia="Arial" w:hAnsi="Arial"/>
          <w:sz w:val="18"/>
          <w:szCs w:val="18"/>
          <w:color w:val="auto"/>
        </w:rPr>
        <w:t>Finance expenses increased from $0.3 million in 2012 to $0.5 million in 2013. This increase was primarily attributable to expenses arising from foreign currency fluctuations in 2013, as changes in the U.S. dollar in relation to the new Israeli shekel and other currencies resulted in foreign currency exchange losses.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Taxes on income increased from $1.2 million in 2012 to $1.4 million in 2013. This increase was primarily attributable to the change in our subsidiaries operating on a cost-plus basis to a low-cost distributor basis.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 and Seasonality</w:t>
      </w:r>
    </w:p>
    <w:p>
      <w:pPr>
        <w:spacing w:after="0" w:line="229" w:lineRule="exact"/>
        <w:rPr>
          <w:sz w:val="20"/>
          <w:szCs w:val="20"/>
          <w:color w:val="auto"/>
        </w:rPr>
      </w:pPr>
    </w:p>
    <w:p>
      <w:pPr>
        <w:ind w:left="120" w:right="159" w:firstLine="216"/>
        <w:spacing w:after="0" w:line="302" w:lineRule="auto"/>
        <w:rPr>
          <w:sz w:val="20"/>
          <w:szCs w:val="20"/>
          <w:color w:val="auto"/>
        </w:rPr>
      </w:pPr>
      <w:r>
        <w:rPr>
          <w:rFonts w:ascii="Arial" w:cs="Arial" w:eastAsia="Arial" w:hAnsi="Arial"/>
          <w:sz w:val="16"/>
          <w:szCs w:val="16"/>
          <w:color w:val="auto"/>
        </w:rPr>
        <w:t>The following tables present our unaudited condensed consolidated quarterly results of operations in dollars and as a percentage of revenues for the periods indicated. This information should be read in conjunction with our consolidated financial statements and related notes included elsewhere in this prospectus. The historical quarterly results presented are not necessarily indicative of the results that may be expected for any future quarters or periods.</w:t>
      </w:r>
    </w:p>
    <w:p>
      <w:pPr>
        <w:spacing w:after="0" w:line="154" w:lineRule="exact"/>
        <w:rPr>
          <w:sz w:val="20"/>
          <w:szCs w:val="20"/>
          <w:color w:val="auto"/>
        </w:rPr>
      </w:pPr>
    </w:p>
    <w:p>
      <w:pPr>
        <w:ind w:left="120" w:right="479" w:firstLine="216"/>
        <w:spacing w:after="0" w:line="302" w:lineRule="auto"/>
        <w:rPr>
          <w:sz w:val="20"/>
          <w:szCs w:val="20"/>
          <w:color w:val="auto"/>
        </w:rPr>
      </w:pPr>
      <w:r>
        <w:rPr>
          <w:rFonts w:ascii="Arial" w:cs="Arial" w:eastAsia="Arial" w:hAnsi="Arial"/>
          <w:sz w:val="16"/>
          <w:szCs w:val="16"/>
          <w:color w:val="auto"/>
        </w:rPr>
        <w:t>The quarterly supplemental financial measures below include quarterly Adjusted EBITDA, which is a non-GAAP financial measure. See “Summary—Summary Consolidated Financial Data” for a description of how we calculate Adjusted EBITDA. A reconciliation of this non-GAAP financial measure to the most directly comparable GAAP measure and a discussion about the limitations of this non-GAAP financial measure is provided below.</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4"/>
          </w:tcPr>
          <w:p>
            <w:pPr>
              <w:jc w:val="center"/>
              <w:ind w:left="455"/>
              <w:spacing w:after="0"/>
              <w:rPr>
                <w:sz w:val="20"/>
                <w:szCs w:val="20"/>
                <w:color w:val="auto"/>
              </w:rPr>
            </w:pPr>
            <w:r>
              <w:rPr>
                <w:rFonts w:ascii="Arial" w:cs="Arial" w:eastAsia="Arial" w:hAnsi="Arial"/>
                <w:sz w:val="16"/>
                <w:szCs w:val="16"/>
                <w:b w:val="1"/>
                <w:bCs w:val="1"/>
                <w:color w:val="auto"/>
                <w:w w:val="92"/>
              </w:rPr>
              <w:t>Three Months Ended</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right"/>
              <w:ind w:right="252"/>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880" w:type="dxa"/>
            <w:vAlign w:val="bottom"/>
          </w:tcPr>
          <w:p>
            <w:pPr>
              <w:jc w:val="right"/>
              <w:ind w:right="255"/>
              <w:spacing w:after="0"/>
              <w:rPr>
                <w:sz w:val="20"/>
                <w:szCs w:val="20"/>
                <w:color w:val="auto"/>
              </w:rPr>
            </w:pPr>
            <w:r>
              <w:rPr>
                <w:rFonts w:ascii="Arial" w:cs="Arial" w:eastAsia="Arial" w:hAnsi="Arial"/>
                <w:sz w:val="16"/>
                <w:szCs w:val="16"/>
                <w:b w:val="1"/>
                <w:bCs w:val="1"/>
                <w:color w:val="auto"/>
                <w:w w:val="85"/>
              </w:rPr>
              <w:t>Sep. 30,</w:t>
            </w:r>
          </w:p>
        </w:tc>
        <w:tc>
          <w:tcPr>
            <w:tcW w:w="140" w:type="dxa"/>
            <w:vAlign w:val="bottom"/>
          </w:tcPr>
          <w:p>
            <w:pPr>
              <w:spacing w:after="0"/>
              <w:rPr>
                <w:sz w:val="16"/>
                <w:szCs w:val="16"/>
                <w:color w:val="auto"/>
              </w:rPr>
            </w:pPr>
          </w:p>
        </w:tc>
        <w:tc>
          <w:tcPr>
            <w:tcW w:w="880" w:type="dxa"/>
            <w:vAlign w:val="bottom"/>
          </w:tcPr>
          <w:p>
            <w:pPr>
              <w:jc w:val="center"/>
              <w:ind w:right="253"/>
              <w:spacing w:after="0"/>
              <w:rPr>
                <w:sz w:val="20"/>
                <w:szCs w:val="20"/>
                <w:color w:val="auto"/>
              </w:rPr>
            </w:pPr>
            <w:r>
              <w:rPr>
                <w:rFonts w:ascii="Arial" w:cs="Arial" w:eastAsia="Arial" w:hAnsi="Arial"/>
                <w:sz w:val="16"/>
                <w:szCs w:val="16"/>
                <w:b w:val="1"/>
                <w:bCs w:val="1"/>
                <w:color w:val="auto"/>
                <w:w w:val="89"/>
              </w:rPr>
              <w:t>Dec. 31,</w:t>
            </w:r>
          </w:p>
        </w:tc>
        <w:tc>
          <w:tcPr>
            <w:tcW w:w="1020" w:type="dxa"/>
            <w:vAlign w:val="bottom"/>
            <w:gridSpan w:val="2"/>
          </w:tcPr>
          <w:p>
            <w:pPr>
              <w:jc w:val="right"/>
              <w:ind w:right="232"/>
              <w:spacing w:after="0"/>
              <w:rPr>
                <w:sz w:val="20"/>
                <w:szCs w:val="20"/>
                <w:color w:val="auto"/>
              </w:rPr>
            </w:pPr>
            <w:r>
              <w:rPr>
                <w:rFonts w:ascii="Arial" w:cs="Arial" w:eastAsia="Arial" w:hAnsi="Arial"/>
                <w:sz w:val="16"/>
                <w:szCs w:val="16"/>
                <w:b w:val="1"/>
                <w:bCs w:val="1"/>
                <w:color w:val="auto"/>
              </w:rPr>
              <w:t>Mar. 31,</w:t>
            </w:r>
          </w:p>
        </w:tc>
        <w:tc>
          <w:tcPr>
            <w:tcW w:w="1020" w:type="dxa"/>
            <w:vAlign w:val="bottom"/>
            <w:gridSpan w:val="2"/>
          </w:tcPr>
          <w:p>
            <w:pPr>
              <w:jc w:val="center"/>
              <w:ind w:right="7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5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3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3"/>
          </w:tcPr>
          <w:p>
            <w:pPr>
              <w:jc w:val="center"/>
              <w:ind w:left="595"/>
              <w:spacing w:after="0"/>
              <w:rPr>
                <w:sz w:val="20"/>
                <w:szCs w:val="20"/>
                <w:color w:val="auto"/>
              </w:rPr>
            </w:pPr>
            <w:r>
              <w:rPr>
                <w:rFonts w:ascii="Arial" w:cs="Arial" w:eastAsia="Arial" w:hAnsi="Arial"/>
                <w:sz w:val="16"/>
                <w:szCs w:val="16"/>
                <w:b w:val="1"/>
                <w:bCs w:val="1"/>
                <w:color w:val="auto"/>
                <w:w w:val="88"/>
              </w:rPr>
              <w:t>(in thousands)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Statements of</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8,478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11,807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13,900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15,210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13,262</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15,739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18,494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3,014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5,574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5,945</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6,909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4,499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6,843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112"/>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0"/>
                <w:szCs w:val="20"/>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1,031</w:t>
            </w:r>
          </w:p>
        </w:tc>
        <w:tc>
          <w:tcPr>
            <w:tcW w:w="140" w:type="dxa"/>
            <w:vAlign w:val="bottom"/>
          </w:tcPr>
          <w:p>
            <w:pPr>
              <w:spacing w:after="0"/>
              <w:rPr>
                <w:sz w:val="20"/>
                <w:szCs w:val="20"/>
                <w:color w:val="auto"/>
              </w:rPr>
            </w:pPr>
          </w:p>
        </w:tc>
        <w:tc>
          <w:tcPr>
            <w:tcW w:w="880" w:type="dxa"/>
            <w:vAlign w:val="bottom"/>
          </w:tcPr>
          <w:p>
            <w:pPr>
              <w:jc w:val="right"/>
              <w:ind w:right="175"/>
              <w:spacing w:after="0"/>
              <w:rPr>
                <w:sz w:val="20"/>
                <w:szCs w:val="20"/>
                <w:color w:val="auto"/>
              </w:rPr>
            </w:pPr>
            <w:r>
              <w:rPr>
                <w:rFonts w:ascii="Arial" w:cs="Arial" w:eastAsia="Arial" w:hAnsi="Arial"/>
                <w:sz w:val="18"/>
                <w:szCs w:val="18"/>
                <w:color w:val="auto"/>
              </w:rPr>
              <w:t>1,440</w:t>
            </w:r>
          </w:p>
        </w:tc>
        <w:tc>
          <w:tcPr>
            <w:tcW w:w="140" w:type="dxa"/>
            <w:vAlign w:val="bottom"/>
          </w:tcPr>
          <w:p>
            <w:pPr>
              <w:spacing w:after="0"/>
              <w:rPr>
                <w:sz w:val="20"/>
                <w:szCs w:val="20"/>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1,055</w:t>
            </w:r>
          </w:p>
        </w:tc>
        <w:tc>
          <w:tcPr>
            <w:tcW w:w="140" w:type="dxa"/>
            <w:vAlign w:val="bottom"/>
          </w:tcPr>
          <w:p>
            <w:pPr>
              <w:spacing w:after="0"/>
              <w:rPr>
                <w:sz w:val="20"/>
                <w:szCs w:val="20"/>
                <w:color w:val="auto"/>
              </w:rPr>
            </w:pP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(1,586)</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3,447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994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140" w:type="dxa"/>
            <w:vAlign w:val="bottom"/>
            <w:shd w:val="clear" w:color="auto" w:fill="CCEEFF"/>
          </w:tcPr>
          <w:p>
            <w:pPr>
              <w:spacing w:after="0"/>
              <w:rPr>
                <w:sz w:val="18"/>
                <w:szCs w:val="18"/>
                <w:color w:val="auto"/>
              </w:rPr>
            </w:pPr>
          </w:p>
        </w:tc>
      </w:tr>
      <w:tr>
        <w:trPr>
          <w:trHeight w:val="453"/>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jc w:val="center"/>
              <w:ind w:right="172"/>
              <w:spacing w:after="0"/>
              <w:rPr>
                <w:sz w:val="20"/>
                <w:szCs w:val="20"/>
                <w:color w:val="auto"/>
              </w:rPr>
            </w:pPr>
            <w:r>
              <w:rPr>
                <w:rFonts w:ascii="Arial" w:cs="Arial" w:eastAsia="Arial" w:hAnsi="Arial"/>
                <w:sz w:val="16"/>
                <w:szCs w:val="16"/>
                <w:b w:val="1"/>
                <w:bCs w:val="1"/>
                <w:color w:val="auto"/>
                <w:w w:val="92"/>
              </w:rPr>
              <w:t>Three Months Ended</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8"/>
        </w:trPr>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6"/>
                <w:szCs w:val="16"/>
                <w:b w:val="1"/>
                <w:bCs w:val="1"/>
                <w:color w:val="auto"/>
              </w:rPr>
              <w:t>Mar. 31,</w:t>
            </w:r>
          </w:p>
        </w:tc>
        <w:tc>
          <w:tcPr>
            <w:tcW w:w="160" w:type="dxa"/>
            <w:vAlign w:val="bottom"/>
          </w:tcPr>
          <w:p>
            <w:pPr>
              <w:spacing w:after="0"/>
              <w:rPr>
                <w:sz w:val="16"/>
                <w:szCs w:val="16"/>
                <w:color w:val="auto"/>
              </w:rPr>
            </w:pPr>
          </w:p>
        </w:tc>
        <w:tc>
          <w:tcPr>
            <w:tcW w:w="860" w:type="dxa"/>
            <w:vAlign w:val="bottom"/>
          </w:tcPr>
          <w:p>
            <w:pPr>
              <w:jc w:val="right"/>
              <w:ind w:right="172"/>
              <w:spacing w:after="0"/>
              <w:rPr>
                <w:sz w:val="20"/>
                <w:szCs w:val="20"/>
                <w:color w:val="auto"/>
              </w:rPr>
            </w:pPr>
            <w:r>
              <w:rPr>
                <w:rFonts w:ascii="Arial" w:cs="Arial" w:eastAsia="Arial" w:hAnsi="Arial"/>
                <w:sz w:val="16"/>
                <w:szCs w:val="16"/>
                <w:b w:val="1"/>
                <w:bCs w:val="1"/>
                <w:color w:val="auto"/>
                <w:w w:val="90"/>
              </w:rPr>
              <w:t>June 30,</w:t>
            </w:r>
          </w:p>
        </w:tc>
        <w:tc>
          <w:tcPr>
            <w:tcW w:w="14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6"/>
                <w:szCs w:val="16"/>
                <w:b w:val="1"/>
                <w:bCs w:val="1"/>
                <w:color w:val="auto"/>
                <w:w w:val="92"/>
              </w:rPr>
              <w:t>Sep. 30,</w:t>
            </w:r>
          </w:p>
        </w:tc>
        <w:tc>
          <w:tcPr>
            <w:tcW w:w="140" w:type="dxa"/>
            <w:vAlign w:val="bottom"/>
          </w:tcPr>
          <w:p>
            <w:pPr>
              <w:spacing w:after="0"/>
              <w:rPr>
                <w:sz w:val="16"/>
                <w:szCs w:val="16"/>
                <w:color w:val="auto"/>
              </w:rPr>
            </w:pPr>
          </w:p>
        </w:tc>
        <w:tc>
          <w:tcPr>
            <w:tcW w:w="880" w:type="dxa"/>
            <w:vAlign w:val="bottom"/>
          </w:tcPr>
          <w:p>
            <w:pPr>
              <w:jc w:val="center"/>
              <w:ind w:right="173"/>
              <w:spacing w:after="0"/>
              <w:rPr>
                <w:sz w:val="20"/>
                <w:szCs w:val="20"/>
                <w:color w:val="auto"/>
              </w:rPr>
            </w:pPr>
            <w:r>
              <w:rPr>
                <w:rFonts w:ascii="Arial" w:cs="Arial" w:eastAsia="Arial" w:hAnsi="Arial"/>
                <w:sz w:val="16"/>
                <w:szCs w:val="16"/>
                <w:b w:val="1"/>
                <w:bCs w:val="1"/>
                <w:color w:val="auto"/>
                <w:w w:val="89"/>
              </w:rPr>
              <w:t>Dec. 31,</w:t>
            </w:r>
          </w:p>
        </w:tc>
        <w:tc>
          <w:tcPr>
            <w:tcW w:w="140" w:type="dxa"/>
            <w:vAlign w:val="bottom"/>
          </w:tcPr>
          <w:p>
            <w:pPr>
              <w:spacing w:after="0"/>
              <w:rPr>
                <w:sz w:val="16"/>
                <w:szCs w:val="16"/>
                <w:color w:val="auto"/>
              </w:rPr>
            </w:pPr>
          </w:p>
        </w:tc>
        <w:tc>
          <w:tcPr>
            <w:tcW w:w="880" w:type="dxa"/>
            <w:vAlign w:val="bottom"/>
          </w:tcPr>
          <w:p>
            <w:pPr>
              <w:jc w:val="right"/>
              <w:ind w:right="192"/>
              <w:spacing w:after="0"/>
              <w:rPr>
                <w:sz w:val="20"/>
                <w:szCs w:val="20"/>
                <w:color w:val="auto"/>
              </w:rPr>
            </w:pPr>
            <w:r>
              <w:rPr>
                <w:rFonts w:ascii="Arial" w:cs="Arial" w:eastAsia="Arial" w:hAnsi="Arial"/>
                <w:sz w:val="16"/>
                <w:szCs w:val="16"/>
                <w:b w:val="1"/>
                <w:bCs w:val="1"/>
                <w:color w:val="auto"/>
                <w:w w:val="97"/>
              </w:rPr>
              <w:t>Mar. 31,</w:t>
            </w:r>
          </w:p>
        </w:tc>
        <w:tc>
          <w:tcPr>
            <w:tcW w:w="140" w:type="dxa"/>
            <w:vAlign w:val="bottom"/>
          </w:tcPr>
          <w:p>
            <w:pPr>
              <w:spacing w:after="0"/>
              <w:rPr>
                <w:sz w:val="16"/>
                <w:szCs w:val="16"/>
                <w:color w:val="auto"/>
              </w:rPr>
            </w:pPr>
          </w:p>
        </w:tc>
        <w:tc>
          <w:tcPr>
            <w:tcW w:w="880" w:type="dxa"/>
            <w:vAlign w:val="bottom"/>
          </w:tcPr>
          <w:p>
            <w:pPr>
              <w:jc w:val="center"/>
              <w:ind w:right="212"/>
              <w:spacing w:after="0"/>
              <w:rPr>
                <w:sz w:val="20"/>
                <w:szCs w:val="20"/>
                <w:color w:val="auto"/>
              </w:rPr>
            </w:pPr>
            <w:r>
              <w:rPr>
                <w:rFonts w:ascii="Arial" w:cs="Arial" w:eastAsia="Arial" w:hAnsi="Arial"/>
                <w:sz w:val="16"/>
                <w:szCs w:val="16"/>
                <w:b w:val="1"/>
                <w:bCs w:val="1"/>
                <w:color w:val="auto"/>
                <w:w w:val="90"/>
              </w:rPr>
              <w:t>June 30,</w:t>
            </w:r>
          </w:p>
        </w:tc>
        <w:tc>
          <w:tcPr>
            <w:tcW w:w="16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Arial" w:cs="Arial" w:eastAsia="Arial" w:hAnsi="Arial"/>
                <w:sz w:val="16"/>
                <w:szCs w:val="16"/>
                <w:b w:val="1"/>
                <w:bCs w:val="1"/>
                <w:color w:val="auto"/>
                <w:w w:val="89"/>
              </w:rPr>
              <w:t>Sep. 30,</w:t>
            </w:r>
          </w:p>
        </w:tc>
        <w:tc>
          <w:tcPr>
            <w:tcW w:w="160" w:type="dxa"/>
            <w:vAlign w:val="bottom"/>
            <w:gridSpan w:val="2"/>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9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4"/>
          </w:tcPr>
          <w:p>
            <w:pPr>
              <w:jc w:val="center"/>
              <w:ind w:left="555"/>
              <w:spacing w:after="0"/>
              <w:rPr>
                <w:sz w:val="20"/>
                <w:szCs w:val="20"/>
                <w:color w:val="auto"/>
              </w:rPr>
            </w:pPr>
            <w:r>
              <w:rPr>
                <w:rFonts w:ascii="Arial" w:cs="Arial" w:eastAsia="Arial" w:hAnsi="Arial"/>
                <w:sz w:val="16"/>
                <w:szCs w:val="16"/>
                <w:b w:val="1"/>
                <w:bCs w:val="1"/>
                <w:color w:val="auto"/>
                <w:w w:val="90"/>
              </w:rPr>
              <w:t>(as a % of revenues)</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68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Consolidated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Statements of Income</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Data:</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Revenues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42.8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Operating income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00" w:type="dxa"/>
            <w:vAlign w:val="bottom"/>
            <w:gridSpan w:val="2"/>
          </w:tcPr>
          <w:p>
            <w:pPr>
              <w:spacing w:after="0"/>
              <w:rPr>
                <w:sz w:val="20"/>
                <w:szCs w:val="20"/>
                <w:color w:val="auto"/>
              </w:rPr>
            </w:pPr>
            <w:r>
              <w:rPr>
                <w:rFonts w:ascii="Arial" w:cs="Arial" w:eastAsia="Arial" w:hAnsi="Arial"/>
                <w:sz w:val="18"/>
                <w:szCs w:val="18"/>
                <w:color w:val="auto"/>
              </w:rPr>
              <w:t>(loss)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20"/>
                <w:szCs w:val="20"/>
                <w:color w:val="auto"/>
              </w:rPr>
            </w:pP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8.7</w:t>
            </w:r>
          </w:p>
        </w:tc>
        <w:tc>
          <w:tcPr>
            <w:tcW w:w="140" w:type="dxa"/>
            <w:vAlign w:val="bottom"/>
          </w:tcPr>
          <w:p>
            <w:pPr>
              <w:spacing w:after="0"/>
              <w:rPr>
                <w:sz w:val="20"/>
                <w:szCs w:val="20"/>
                <w:color w:val="auto"/>
              </w:rPr>
            </w:pPr>
          </w:p>
        </w:tc>
        <w:tc>
          <w:tcPr>
            <w:tcW w:w="880" w:type="dxa"/>
            <w:vAlign w:val="bottom"/>
          </w:tcPr>
          <w:p>
            <w:pPr>
              <w:jc w:val="right"/>
              <w:ind w:right="135"/>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80" w:type="dxa"/>
            <w:vAlign w:val="bottom"/>
          </w:tcPr>
          <w:p>
            <w:pPr>
              <w:jc w:val="right"/>
              <w:ind w:right="133"/>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(12.0)</w:t>
            </w:r>
          </w:p>
        </w:tc>
        <w:tc>
          <w:tcPr>
            <w:tcW w:w="140" w:type="dxa"/>
            <w:vAlign w:val="bottom"/>
          </w:tcPr>
          <w:p>
            <w:pPr>
              <w:spacing w:after="0"/>
              <w:rPr>
                <w:sz w:val="20"/>
                <w:szCs w:val="20"/>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84"/>
        </w:trPr>
        <w:tc>
          <w:tcPr>
            <w:tcW w:w="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color w:val="auto"/>
              </w:rPr>
              <w:t>42</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5" w:name="page46"/>
    <w:bookmarkEnd w:id="45"/>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7"/>
          </w:tcPr>
          <w:p>
            <w:pPr>
              <w:jc w:val="center"/>
              <w:ind w:left="312"/>
              <w:spacing w:after="0"/>
              <w:rPr>
                <w:sz w:val="20"/>
                <w:szCs w:val="20"/>
                <w:color w:val="auto"/>
              </w:rPr>
            </w:pPr>
            <w:r>
              <w:rPr>
                <w:rFonts w:ascii="Arial" w:cs="Arial" w:eastAsia="Arial" w:hAnsi="Arial"/>
                <w:sz w:val="16"/>
                <w:szCs w:val="16"/>
                <w:b w:val="1"/>
                <w:bCs w:val="1"/>
                <w:color w:val="auto"/>
                <w:w w:val="93"/>
              </w:rPr>
              <w:t>Three Months Ended</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300" w:type="dxa"/>
            <w:vAlign w:val="bottom"/>
          </w:tcPr>
          <w:p>
            <w:pPr>
              <w:spacing w:after="0"/>
              <w:rPr>
                <w:sz w:val="16"/>
                <w:szCs w:val="16"/>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9"/>
              </w:rPr>
              <w:t>Dec. 31,</w:t>
            </w:r>
          </w:p>
        </w:tc>
        <w:tc>
          <w:tcPr>
            <w:tcW w:w="80" w:type="dxa"/>
            <w:vAlign w:val="bottom"/>
          </w:tcPr>
          <w:p>
            <w:pPr>
              <w:spacing w:after="0"/>
              <w:rPr>
                <w:sz w:val="16"/>
                <w:szCs w:val="16"/>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rPr>
              <w:t>Mar. 31,</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June 30,</w:t>
            </w:r>
          </w:p>
        </w:tc>
        <w:tc>
          <w:tcPr>
            <w:tcW w:w="30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Sep. 30,</w:t>
            </w:r>
          </w:p>
        </w:tc>
        <w:tc>
          <w:tcPr>
            <w:tcW w:w="140" w:type="dxa"/>
            <w:vAlign w:val="bottom"/>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center"/>
              <w:ind w:right="71"/>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2014</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17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Supplemental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Data: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1,736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1,164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17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Reconciliation of net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to</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Net income (loss)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683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w:t>
            </w:r>
          </w:p>
        </w:tc>
        <w:tc>
          <w:tcPr>
            <w:tcW w:w="2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(1,713)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3,170</w:t>
            </w:r>
          </w:p>
        </w:tc>
        <w:tc>
          <w:tcPr>
            <w:tcW w:w="140" w:type="dxa"/>
            <w:vAlign w:val="bottom"/>
          </w:tcPr>
          <w:p>
            <w:pPr>
              <w:spacing w:after="0"/>
              <w:rPr>
                <w:sz w:val="18"/>
                <w:szCs w:val="18"/>
                <w:color w:val="auto"/>
              </w:rPr>
            </w:pPr>
          </w:p>
        </w:tc>
      </w:tr>
      <w:tr>
        <w:trPr>
          <w:trHeight w:val="182"/>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Finance expenses</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(income), net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Arial" w:cs="Arial" w:eastAsia="Arial" w:hAnsi="Arial"/>
                <w:sz w:val="18"/>
                <w:szCs w:val="18"/>
                <w:color w:val="auto"/>
              </w:rPr>
              <w:t>Share-based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740" w:type="dxa"/>
            <w:vAlign w:val="bottom"/>
            <w:gridSpan w:val="2"/>
          </w:tcPr>
          <w:p>
            <w:pPr>
              <w:spacing w:after="0"/>
              <w:rPr>
                <w:sz w:val="20"/>
                <w:szCs w:val="20"/>
                <w:color w:val="auto"/>
              </w:rPr>
            </w:pPr>
            <w:r>
              <w:rPr>
                <w:rFonts w:ascii="Arial" w:cs="Arial" w:eastAsia="Arial" w:hAnsi="Arial"/>
                <w:sz w:val="18"/>
                <w:szCs w:val="18"/>
                <w:color w:val="auto"/>
                <w:w w:val="92"/>
              </w:rPr>
              <w:t>compensation expense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140" w:type="dxa"/>
            <w:vAlign w:val="bottom"/>
            <w:tcBorders>
              <w:top w:val="single" w:sz="8" w:color="CCEEFF"/>
            </w:tcBorders>
            <w:shd w:val="clear" w:color="auto" w:fill="CCEEFF"/>
          </w:tcPr>
          <w:p>
            <w:pPr>
              <w:spacing w:after="0"/>
              <w:rPr>
                <w:sz w:val="18"/>
                <w:szCs w:val="18"/>
                <w:color w:val="auto"/>
              </w:rPr>
            </w:pPr>
          </w:p>
        </w:tc>
      </w:tr>
    </w:tbl>
    <w:p>
      <w:pPr>
        <w:spacing w:after="0" w:line="161"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i w:val="1"/>
          <w:iCs w:val="1"/>
          <w:color w:val="auto"/>
        </w:rPr>
        <w:t xml:space="preserve">Quarterly Revenue Trends. </w:t>
      </w:r>
      <w:r>
        <w:rPr>
          <w:rFonts w:ascii="Arial" w:cs="Arial" w:eastAsia="Arial" w:hAnsi="Arial"/>
          <w:sz w:val="16"/>
          <w:szCs w:val="16"/>
          <w:color w:val="auto"/>
        </w:rPr>
        <w:t>Our quarterly revenues increased year-over-year for all periods presented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sales of our systems, particularly increased sales of our industrial systems, and increased sales of ink and other consumables due to our growing installed base. Comparisons of our year-over-year total quarterly revenues are more meaningful than comparisons of our sequential results due to seasonality in sales of our solutions. Our fourth quarter has historically been our strongest quarter for sales due to increased sales of ink and other consumables to our customers in response to increased demand from consumers around the holiday season. As a result, the first quarter is generally our weakest quarter due to lower sales of ink and other consumables. While we believe that these seasonal trends have affected and will continue to affect our quarterly results, our growth has largely mitigated seasonal trends to date. We do not know whether our business will become more seasonal in the future. Historical patterns in our business may therefore not be a reliable indicator of our future sales activity or performance.</w:t>
      </w:r>
    </w:p>
    <w:p>
      <w:pPr>
        <w:spacing w:after="0" w:line="169" w:lineRule="exact"/>
        <w:rPr>
          <w:sz w:val="20"/>
          <w:szCs w:val="20"/>
          <w:color w:val="auto"/>
        </w:rPr>
      </w:pPr>
    </w:p>
    <w:p>
      <w:pPr>
        <w:ind w:left="120" w:right="299" w:firstLine="216"/>
        <w:spacing w:after="0" w:line="279" w:lineRule="auto"/>
        <w:rPr>
          <w:sz w:val="20"/>
          <w:szCs w:val="20"/>
          <w:color w:val="auto"/>
        </w:rPr>
      </w:pPr>
      <w:r>
        <w:rPr>
          <w:rFonts w:ascii="Arial" w:cs="Arial" w:eastAsia="Arial" w:hAnsi="Arial"/>
          <w:sz w:val="17"/>
          <w:szCs w:val="17"/>
          <w:i w:val="1"/>
          <w:iCs w:val="1"/>
          <w:color w:val="auto"/>
        </w:rPr>
        <w:t>Quarterly Gross Profit and Margin Trends</w:t>
      </w:r>
      <w:r>
        <w:rPr>
          <w:rFonts w:ascii="Arial" w:cs="Arial" w:eastAsia="Arial" w:hAnsi="Arial"/>
          <w:sz w:val="17"/>
          <w:szCs w:val="17"/>
          <w:color w:val="auto"/>
        </w:rPr>
        <w:t>. Our quarterly gross profit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Our quarterly gross margin has fluctuated over the periods presented due to lower sales of higher margin ink and other consumables in the first quarter. In addition, in the first quarter of 2014, gross profit was also impacted by pricing strategies implemented during 2013 to increase sales of entry level systems.</w:t>
      </w:r>
    </w:p>
    <w:p>
      <w:pPr>
        <w:spacing w:after="0" w:line="171"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i w:val="1"/>
          <w:iCs w:val="1"/>
          <w:color w:val="auto"/>
        </w:rPr>
        <w:t xml:space="preserve">Quarterly Operating Expense Trends. </w:t>
      </w:r>
      <w:r>
        <w:rPr>
          <w:rFonts w:ascii="Arial" w:cs="Arial" w:eastAsia="Arial" w:hAnsi="Arial"/>
          <w:sz w:val="17"/>
          <w:szCs w:val="17"/>
          <w:color w:val="auto"/>
        </w:rPr>
        <w:t>Our quarterly operating expenses increased year-over-year for all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presented primarily due to the addition of personnel in connection with the expansion of our business. Research and development expenses generally increased sequentially over the periods as we increased our headcount to support continued investment in our future solutions, increased expenditures relating to beta sites and increased overhead allocations. Sales and marketing expenses increased significantly over the periods as we incurred costs associated with commission expenses to sales people, personnel costs associated with increases in headcount and an increase in overhead allocations. In addition, sales and marketing expenses vary from quarter to quarter based on timing of trade shows, which generally occur in the second and fourth quarters. General and administrative expenses increased over the periods primarily due to an increase in personnel costs, legal expenses and professional services fees related to preparing to be a public company.</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120" w:right="559" w:firstLine="216"/>
        <w:spacing w:after="0" w:line="264" w:lineRule="auto"/>
        <w:rPr>
          <w:sz w:val="20"/>
          <w:szCs w:val="20"/>
          <w:color w:val="auto"/>
        </w:rPr>
      </w:pPr>
      <w:r>
        <w:rPr>
          <w:rFonts w:ascii="Arial" w:cs="Arial" w:eastAsia="Arial" w:hAnsi="Arial"/>
          <w:sz w:val="18"/>
          <w:szCs w:val="18"/>
          <w:color w:val="auto"/>
        </w:rPr>
        <w:t>We had $4.3 million of cash and cash equivalents as of September 30, 2014 and $5.3 million as of December 31, 2013. We fund our operations with cash generated from operating activities. In the past, we have also raised capital through the sale of equity securities to investors in private placements.</w:t>
      </w:r>
    </w:p>
    <w:p>
      <w:pPr>
        <w:spacing w:after="0" w:line="181"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Our cash requirements have principally been for working capital and, to a lesser extent, capital expenditures. Our working capital requirements reflect the growth in our business and its seasonality. Historically, we have funded our working capital (primarily inventory) and capital expenditures from cash flows provided by our operating activities, investments in our equity securities and cash and cash equivalents on hand. Our capital expenditures relate primarily to our manufacturing facility for the production and bottling of our ink and other consumables in Kiryat Gat, Israel, as well as investment in our research and development labs in Rosh Ha’ayin, Israel. In addition to investments in those facilities, our capital investments have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66" w:right="1440" w:bottom="1440" w:gutter="0" w:footer="0" w:header="0"/>
        </w:sectPr>
      </w:pPr>
    </w:p>
    <w:bookmarkStart w:id="46" w:name="page47"/>
    <w:bookmarkEnd w:id="46"/>
    <w:p>
      <w:pPr>
        <w:ind w:left="120" w:right="319"/>
        <w:spacing w:after="0" w:line="277" w:lineRule="auto"/>
        <w:rPr>
          <w:sz w:val="20"/>
          <w:szCs w:val="20"/>
          <w:color w:val="auto"/>
        </w:rPr>
      </w:pPr>
      <w:r>
        <w:rPr>
          <w:rFonts w:ascii="Arial" w:cs="Arial" w:eastAsia="Arial" w:hAnsi="Arial"/>
          <w:sz w:val="18"/>
          <w:szCs w:val="18"/>
          <w:color w:val="auto"/>
        </w:rPr>
        <w:t>included improvements and expansion of our distribution and corporate facilities to support our growth and investment and improvements in our information technology.</w:t>
      </w:r>
    </w:p>
    <w:p>
      <w:pPr>
        <w:spacing w:after="0" w:line="170"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The most significant element of our working capital requirements is for inventory. We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We are in the process of implementing changes to our inventory and manufacturing practices in order to better control our components inventory. Based on these initiatives, we expect inventory to continue to increase in the short term, but at a lower rate than the rate of revenue growth.</w:t>
      </w:r>
    </w:p>
    <w:p>
      <w:pPr>
        <w:spacing w:after="0" w:line="191"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As of December 1, 2014, we had several lines of credit with Israeli banks in a total amount of up to $3.0 million, all of which were undrawn. These lines of credit are unsecured and availability is based on our meeting a financial covenant. Interest rates across our credit lines varied from 2.2% to 5.3% as of December 1, 2014. Each line of credit prohibits us and our subsidiaries from encumbering our assets and we would be required to obtain the consent of the bank, or repay any amounts borrowed, in the event that we undergo a change of control, which would include our controlling shareholder, Fortissimo Capital, ceasing to control us.</w:t>
      </w:r>
    </w:p>
    <w:p>
      <w:pPr>
        <w:spacing w:after="0" w:line="220" w:lineRule="exact"/>
        <w:rPr>
          <w:sz w:val="20"/>
          <w:szCs w:val="20"/>
          <w:color w:val="auto"/>
        </w:rPr>
      </w:pPr>
    </w:p>
    <w:p>
      <w:pPr>
        <w:ind w:left="120" w:right="239" w:firstLine="216"/>
        <w:spacing w:after="0" w:line="273" w:lineRule="auto"/>
        <w:rPr>
          <w:sz w:val="20"/>
          <w:szCs w:val="20"/>
          <w:color w:val="auto"/>
        </w:rPr>
      </w:pPr>
      <w:r>
        <w:rPr>
          <w:rFonts w:ascii="Arial" w:cs="Arial" w:eastAsia="Arial" w:hAnsi="Arial"/>
          <w:sz w:val="17"/>
          <w:szCs w:val="17"/>
          <w:color w:val="auto"/>
        </w:rPr>
        <w:t>Based on our current business plans, we believe that our cash flows from operating activities, our existing cash resources and the net proceeds to us from this offering, will be sufficient to fund our projected cash requirements for at least the next 12 months. Our future capital requirements will depend on many factors, including our rate of revenue growth, the expansion of our sales and marketing activities and expansion into new geographic locations, the timing and extent of spending to support product development efforts, the timing of introductions of new solutions and the continuing market acceptance of our solutions as well as other business development efforts.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w w:val="93"/>
              </w:rPr>
              <w:t>Year Ended December 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4"/>
          </w:tcPr>
          <w:p>
            <w:pPr>
              <w:jc w:val="right"/>
              <w:ind w:right="740"/>
              <w:spacing w:after="0"/>
              <w:rPr>
                <w:sz w:val="20"/>
                <w:szCs w:val="20"/>
                <w:color w:val="auto"/>
              </w:rPr>
            </w:pPr>
            <w:r>
              <w:rPr>
                <w:rFonts w:ascii="Arial" w:cs="Arial" w:eastAsia="Arial" w:hAnsi="Arial"/>
                <w:sz w:val="16"/>
                <w:szCs w:val="16"/>
                <w:b w:val="1"/>
                <w:bCs w:val="1"/>
                <w:color w:val="auto"/>
              </w:rPr>
              <w:t>September 30,</w:t>
            </w: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60" w:type="dxa"/>
            <w:vAlign w:val="bottom"/>
            <w:gridSpan w:val="5"/>
          </w:tcPr>
          <w:p>
            <w:pPr>
              <w:jc w:val="right"/>
              <w:ind w:right="694"/>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cash provided by (used in) operating activities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(1,042)</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2,719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Net cash provided by (used in) investing activities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(3,121)</w:t>
            </w:r>
          </w:p>
        </w:tc>
        <w:tc>
          <w:tcPr>
            <w:tcW w:w="3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(1,654)</w:t>
            </w: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Nine Months Ended September 30, 2014</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used in operating activities in the nine months ended September 30, 2014 was $1.7 million.</w:t>
      </w:r>
    </w:p>
    <w:p>
      <w:pPr>
        <w:spacing w:after="0" w:line="252"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Our inventory balance on September 30, 2014 was $13.7 million, representing a $1.7 million increase in inventory compared to December 31, 2013, due to continued implementation of our strategy to grow inventory to support increased sales of parts and systems in finished goods and raw materials and spare parts. In particular, during the nine months ended September 30, 2014, we accumulated inventory of our ink and other consumables outside of Israel and continued to increase our inventory of parts and finished assemblies of our systems to facilitate the flexibility to meet short lead time demands from our customers.</w:t>
      </w:r>
    </w:p>
    <w:p>
      <w:pPr>
        <w:spacing w:after="0" w:line="207"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Trade payables decreased by $2.0 million from December 31, 2013 to September 30, 2014, primarily due to the mix of products sold in 2014, which led to a shift of production to a third-party manufacturer with shorter payment terms as well as obtaining components from suppliers with shorter payment terms. During the same period, we experienced an increase of $1.4 million in trade receivables despite the growth in our business. Our days sales’ outstanding, or DSO, for the nine months ended September 30, 2014 was 40 compared to 36 for the nine months ended September 30, 2013. Our relatively low DSO was primarily attributable to the payment terms that apply to our customers for systems, as a large portion of our cash received for systems includes payments made before the systems are shipped. Since we have not historically experienced any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7" w:name="page48"/>
    <w:bookmarkEnd w:id="47"/>
    <w:p>
      <w:pPr>
        <w:ind w:left="120" w:right="219"/>
        <w:spacing w:after="0" w:line="312" w:lineRule="auto"/>
        <w:rPr>
          <w:sz w:val="20"/>
          <w:szCs w:val="20"/>
          <w:color w:val="auto"/>
        </w:rPr>
      </w:pPr>
      <w:r>
        <w:rPr>
          <w:rFonts w:ascii="Arial" w:cs="Arial" w:eastAsia="Arial" w:hAnsi="Arial"/>
          <w:sz w:val="16"/>
          <w:szCs w:val="16"/>
          <w:color w:val="auto"/>
        </w:rPr>
        <w:t>material challenges with collections, changes in accounts receivable generally reflect activity in the final month of a given fiscal quarter or fiscal year. The net increases in accounts receivable balances in the nine months ended September 30, 2014 reflected the increased activity in the third quarter of that year compared to with the previous year.</w:t>
      </w:r>
    </w:p>
    <w:p>
      <w:pPr>
        <w:spacing w:after="0" w:line="160"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Our operating cash flows to fund the above activities were driven by our net income of $1.8 million (adjusted upward to reflect $1.5 million of non-cash expenses) as well as a $0.4 million increase in deferred revenues. The increase in our deferred revenues in the nine months ended September 30, 2014 compared to the nine months ended September 30, 2013 primarily reflected strong product orders during the fourth quarter of 2013 resulting in a significant increase in the number of orders shipped in 2013 for which we received payment in 2014.</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Year ended December 31, 2013</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cash provided by operating activities during 2013 was $2.7 million.</w:t>
      </w:r>
    </w:p>
    <w:p>
      <w:pPr>
        <w:spacing w:after="0" w:line="225" w:lineRule="exact"/>
        <w:rPr>
          <w:sz w:val="20"/>
          <w:szCs w:val="20"/>
          <w:color w:val="auto"/>
        </w:rPr>
      </w:pPr>
    </w:p>
    <w:p>
      <w:pPr>
        <w:ind w:left="120" w:right="239" w:firstLine="216"/>
        <w:spacing w:after="0" w:line="257" w:lineRule="auto"/>
        <w:rPr>
          <w:sz w:val="20"/>
          <w:szCs w:val="20"/>
          <w:color w:val="auto"/>
        </w:rPr>
      </w:pPr>
      <w:r>
        <w:rPr>
          <w:rFonts w:ascii="Arial" w:cs="Arial" w:eastAsia="Arial" w:hAnsi="Arial"/>
          <w:sz w:val="18"/>
          <w:szCs w:val="18"/>
          <w:color w:val="auto"/>
        </w:rPr>
        <w:t>Our inventory balance at December 31, 2013 was $12 million representing a $3.3 million increase in inventory compared to December 31, 2012 due to continued implementation of our strategy to grow inventory to support increased sales of parts and systems. In particular, during 2013, we accumulated inventory of our ink and other consumables outside of Israel and increased our inventory of parts and assembled systems to facilitate the flexibility to meet short lead time demands from our customers.</w:t>
      </w:r>
    </w:p>
    <w:p>
      <w:pPr>
        <w:spacing w:after="0" w:line="188"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Primarily as a result of the increase in inventory, trade payables increased by $2.8 million from December 31, 2012 to December 31, 2013 due to the timing of purchases for such inventory. During the same period, we experienced an increase of only $1.3 million in trade receivables despite the growth in our business. Our DSO for the year ended December 31, 2013 was 42 compared to 41 for the year ended December 31, 2012. As indicated above, our relatively low DSO was primarily attributable to the payment terms that apply to our customers for systems, as a large portion of our cash received for systems includes payments made before the systems are shipped. Since we have not historically experienced any material challenges with collections, changes in accounts receivable generally reflect activity in the final month of a given fiscal quarter or fiscal year. The net increases in accounts receivable balances in 2013 reflected the increased activity in the fourth quarter of that year compared to with the previous year.</w:t>
      </w:r>
    </w:p>
    <w:p>
      <w:pPr>
        <w:spacing w:after="0" w:line="167" w:lineRule="exact"/>
        <w:rPr>
          <w:sz w:val="20"/>
          <w:szCs w:val="20"/>
          <w:color w:val="auto"/>
        </w:rPr>
      </w:pPr>
    </w:p>
    <w:p>
      <w:pPr>
        <w:jc w:val="both"/>
        <w:ind w:left="120" w:right="219" w:firstLine="216"/>
        <w:spacing w:after="0" w:line="302" w:lineRule="auto"/>
        <w:rPr>
          <w:sz w:val="20"/>
          <w:szCs w:val="20"/>
          <w:color w:val="auto"/>
        </w:rPr>
      </w:pPr>
      <w:r>
        <w:rPr>
          <w:rFonts w:ascii="Arial" w:cs="Arial" w:eastAsia="Arial" w:hAnsi="Arial"/>
          <w:sz w:val="16"/>
          <w:szCs w:val="16"/>
          <w:color w:val="auto"/>
        </w:rPr>
        <w:t>Our operating cash flows to fund the above activities were driven by our net income of $1.1 million (adjusted upward to reflect $1.3 million of non-cash expenses) as well as a $1.2 million increase in deferred revenues. The increase in our deferred revenues in 2013 compared to 2012 primarily reflected strong product orders during the fourth quarter of 2013 resulting in a significant increase in the number of orders shipped in 2013 for which we received payment in 2014.</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Net cash provided by investing activities was $0.7 million for the nine months ended September 30, 2014, which was primarily attributable to our shifting of long term deposits to short term, offset by the purchase of property. Net cash used in investing activities was $2.1 million in 2013 consisting primarily of purchase of property, equipment and a license from a third party, as well as investments in short-term deposits.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8" w:name="page49"/>
    <w:bookmarkEnd w:id="48"/>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obligations as of December 31, 2013 are summarized in the following table: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6"/>
                <w:szCs w:val="16"/>
                <w:b w:val="1"/>
                <w:bCs w:val="1"/>
                <w:color w:val="auto"/>
                <w:w w:val="91"/>
              </w:rPr>
              <w:t>Payments Due by Period</w:t>
            </w: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ind w:right="32"/>
              <w:spacing w:after="0"/>
              <w:rPr>
                <w:sz w:val="20"/>
                <w:szCs w:val="20"/>
                <w:color w:val="auto"/>
              </w:rPr>
            </w:pPr>
            <w:r>
              <w:rPr>
                <w:rFonts w:ascii="Arial" w:cs="Arial" w:eastAsia="Arial" w:hAnsi="Arial"/>
                <w:sz w:val="16"/>
                <w:szCs w:val="16"/>
                <w:b w:val="1"/>
                <w:bCs w:val="1"/>
                <w:color w:val="auto"/>
                <w:w w:val="90"/>
              </w:rPr>
              <w:t>2018 and</w:t>
            </w:r>
          </w:p>
        </w:tc>
        <w:tc>
          <w:tcPr>
            <w:tcW w:w="14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1"/>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192"/>
              <w:spacing w:after="0"/>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After</w:t>
            </w:r>
          </w:p>
        </w:tc>
      </w:tr>
      <w:tr>
        <w:trPr>
          <w:trHeight w:val="183"/>
        </w:trPr>
        <w:tc>
          <w:tcPr>
            <w:tcW w:w="20" w:type="dxa"/>
            <w:vAlign w:val="bottom"/>
          </w:tcPr>
          <w:p>
            <w:pPr>
              <w:spacing w:after="0"/>
              <w:rPr>
                <w:sz w:val="15"/>
                <w:szCs w:val="15"/>
                <w:color w:val="auto"/>
              </w:rPr>
            </w:pPr>
          </w:p>
        </w:tc>
        <w:tc>
          <w:tcPr>
            <w:tcW w:w="17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8"/>
                <w:szCs w:val="18"/>
                <w:color w:val="auto"/>
              </w:rPr>
              <w:t>Operating lease</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obligations</w:t>
            </w:r>
            <w:r>
              <w:rPr>
                <w:rFonts w:ascii="Arial" w:cs="Arial" w:eastAsia="Arial" w:hAnsi="Arial"/>
                <w:sz w:val="28"/>
                <w:szCs w:val="28"/>
                <w:color w:val="auto"/>
                <w:vertAlign w:val="superscript"/>
              </w:rPr>
              <w:t>(1)</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2"/>
                <w:szCs w:val="22"/>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line="197" w:lineRule="exact"/>
              <w:rPr>
                <w:sz w:val="20"/>
                <w:szCs w:val="20"/>
                <w:color w:val="auto"/>
              </w:rPr>
            </w:pPr>
            <w:r>
              <w:rPr>
                <w:rFonts w:ascii="Arial" w:cs="Arial" w:eastAsia="Arial" w:hAnsi="Arial"/>
                <w:sz w:val="18"/>
                <w:szCs w:val="18"/>
                <w:color w:val="auto"/>
              </w:rPr>
              <w:t>Uncertain tax</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62"/>
        </w:trPr>
        <w:tc>
          <w:tcPr>
            <w:tcW w:w="1740" w:type="dxa"/>
            <w:vAlign w:val="bottom"/>
            <w:gridSpan w:val="2"/>
          </w:tcPr>
          <w:p>
            <w:pPr>
              <w:spacing w:after="0" w:line="262" w:lineRule="exact"/>
              <w:rPr>
                <w:sz w:val="20"/>
                <w:szCs w:val="20"/>
                <w:color w:val="auto"/>
              </w:rPr>
            </w:pPr>
            <w:r>
              <w:rPr>
                <w:rFonts w:ascii="Arial" w:cs="Arial" w:eastAsia="Arial" w:hAnsi="Arial"/>
                <w:sz w:val="18"/>
                <w:szCs w:val="18"/>
                <w:color w:val="auto"/>
              </w:rPr>
              <w:t>positions</w:t>
            </w:r>
            <w:r>
              <w:rPr>
                <w:rFonts w:ascii="Arial" w:cs="Arial" w:eastAsia="Arial" w:hAnsi="Arial"/>
                <w:sz w:val="28"/>
                <w:szCs w:val="28"/>
                <w:color w:val="auto"/>
                <w:vertAlign w:val="superscript"/>
              </w:rPr>
              <w:t>(2)</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1,075</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Purchase</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commitments</w:t>
            </w:r>
            <w:r>
              <w:rPr>
                <w:rFonts w:ascii="Arial" w:cs="Arial" w:eastAsia="Arial" w:hAnsi="Arial"/>
                <w:sz w:val="28"/>
                <w:szCs w:val="28"/>
                <w:color w:val="auto"/>
                <w:vertAlign w:val="superscript"/>
              </w:rPr>
              <w:t>(3)</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1720" w:type="dxa"/>
            <w:vAlign w:val="bottom"/>
          </w:tcPr>
          <w:p>
            <w:pPr>
              <w:spacing w:after="0" w:line="243" w:lineRule="exact"/>
              <w:rPr>
                <w:sz w:val="20"/>
                <w:szCs w:val="20"/>
                <w:color w:val="auto"/>
              </w:rPr>
            </w:pPr>
            <w:r>
              <w:rPr>
                <w:rFonts w:ascii="Arial" w:cs="Arial" w:eastAsia="Arial" w:hAnsi="Arial"/>
                <w:sz w:val="18"/>
                <w:szCs w:val="18"/>
                <w:color w:val="auto"/>
                <w:w w:val="92"/>
              </w:rPr>
              <w:t>Severance payment</w:t>
            </w:r>
            <w:r>
              <w:rPr>
                <w:rFonts w:ascii="Arial" w:cs="Arial" w:eastAsia="Arial" w:hAnsi="Arial"/>
                <w:sz w:val="28"/>
                <w:szCs w:val="28"/>
                <w:color w:val="auto"/>
                <w:w w:val="92"/>
                <w:vertAlign w:val="superscript"/>
              </w:rPr>
              <w:t>(4)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w w:val="96"/>
              </w:rPr>
              <w:t>Management services</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62"/>
        </w:trPr>
        <w:tc>
          <w:tcPr>
            <w:tcW w:w="20" w:type="dxa"/>
            <w:vAlign w:val="bottom"/>
          </w:tcPr>
          <w:p>
            <w:pPr>
              <w:spacing w:after="0"/>
              <w:rPr>
                <w:sz w:val="22"/>
                <w:szCs w:val="22"/>
                <w:color w:val="auto"/>
              </w:rPr>
            </w:pPr>
          </w:p>
        </w:tc>
        <w:tc>
          <w:tcPr>
            <w:tcW w:w="1720" w:type="dxa"/>
            <w:vAlign w:val="bottom"/>
            <w:shd w:val="clear" w:color="auto" w:fill="CCEEFF"/>
          </w:tcPr>
          <w:p>
            <w:pPr>
              <w:spacing w:after="0" w:line="262" w:lineRule="exact"/>
              <w:rPr>
                <w:sz w:val="20"/>
                <w:szCs w:val="20"/>
                <w:color w:val="auto"/>
              </w:rPr>
            </w:pPr>
            <w:r>
              <w:rPr>
                <w:rFonts w:ascii="Arial" w:cs="Arial" w:eastAsia="Arial" w:hAnsi="Arial"/>
                <w:sz w:val="18"/>
                <w:szCs w:val="18"/>
                <w:color w:val="auto"/>
              </w:rPr>
              <w:t>fees</w:t>
            </w:r>
            <w:r>
              <w:rPr>
                <w:rFonts w:ascii="Arial" w:cs="Arial" w:eastAsia="Arial" w:hAnsi="Arial"/>
                <w:sz w:val="28"/>
                <w:szCs w:val="28"/>
                <w:color w:val="auto"/>
                <w:vertAlign w:val="superscript"/>
              </w:rPr>
              <w:t>(5)</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9,367</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4,249</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1,173</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316</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9"/>
                <w:szCs w:val="19"/>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______________________</w:t>
      </w:r>
    </w:p>
    <w:p>
      <w:pPr>
        <w:spacing w:after="0" w:line="90" w:lineRule="exact"/>
        <w:rPr>
          <w:sz w:val="20"/>
          <w:szCs w:val="20"/>
          <w:color w:val="auto"/>
        </w:rPr>
      </w:pPr>
    </w:p>
    <w:p>
      <w:pPr>
        <w:ind w:left="440" w:right="779" w:hanging="315"/>
        <w:spacing w:after="0" w:line="182" w:lineRule="auto"/>
        <w:tabs>
          <w:tab w:leader="none" w:pos="416" w:val="left"/>
        </w:tabs>
        <w:numPr>
          <w:ilvl w:val="0"/>
          <w:numId w:val="25"/>
        </w:numPr>
        <w:rPr>
          <w:rFonts w:ascii="Arial" w:cs="Arial" w:eastAsia="Arial" w:hAnsi="Arial"/>
          <w:sz w:val="34"/>
          <w:szCs w:val="34"/>
          <w:color w:val="auto"/>
          <w:vertAlign w:val="superscript"/>
        </w:rPr>
      </w:pPr>
      <w:r>
        <w:rPr>
          <w:rFonts w:ascii="Arial" w:cs="Arial" w:eastAsia="Arial" w:hAnsi="Arial"/>
          <w:sz w:val="17"/>
          <w:szCs w:val="17"/>
          <w:color w:val="auto"/>
        </w:rPr>
        <w:t>Operating lease obligations consist of our contractual rental expenses under operating leases of facilities and vehicles.</w:t>
      </w:r>
    </w:p>
    <w:p>
      <w:pPr>
        <w:spacing w:after="0" w:line="54" w:lineRule="exact"/>
        <w:rPr>
          <w:rFonts w:ascii="Arial" w:cs="Arial" w:eastAsia="Arial" w:hAnsi="Arial"/>
          <w:sz w:val="34"/>
          <w:szCs w:val="34"/>
          <w:color w:val="auto"/>
          <w:vertAlign w:val="superscript"/>
        </w:rPr>
      </w:pPr>
    </w:p>
    <w:p>
      <w:pPr>
        <w:ind w:left="440" w:right="199" w:hanging="315"/>
        <w:spacing w:after="0"/>
        <w:tabs>
          <w:tab w:leader="none" w:pos="416" w:val="left"/>
        </w:tabs>
        <w:numPr>
          <w:ilvl w:val="0"/>
          <w:numId w:val="25"/>
        </w:numPr>
        <w:rPr>
          <w:rFonts w:ascii="Arial" w:cs="Arial" w:eastAsia="Arial" w:hAnsi="Arial"/>
          <w:sz w:val="31"/>
          <w:szCs w:val="31"/>
          <w:color w:val="auto"/>
          <w:vertAlign w:val="superscript"/>
        </w:rPr>
      </w:pPr>
      <w:r>
        <w:rPr>
          <w:rFonts w:ascii="Arial" w:cs="Arial" w:eastAsia="Arial" w:hAnsi="Arial"/>
          <w:sz w:val="16"/>
          <w:szCs w:val="16"/>
          <w:color w:val="auto"/>
        </w:rPr>
        <w:t>Consists of accruals for certain income tax positions under ASC 740 that are paid upon settlement, and for which we are unable to reasonably estimate the ultimate amount and timing of settlement. See Note 10(g) to our consolidated financial statements included elsewhere in this prospectus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spacing w:after="0" w:line="2" w:lineRule="exact"/>
        <w:rPr>
          <w:rFonts w:ascii="Arial" w:cs="Arial" w:eastAsia="Arial" w:hAnsi="Arial"/>
          <w:sz w:val="31"/>
          <w:szCs w:val="31"/>
          <w:color w:val="auto"/>
          <w:vertAlign w:val="superscript"/>
        </w:rPr>
      </w:pPr>
    </w:p>
    <w:p>
      <w:pPr>
        <w:ind w:left="420" w:hanging="295"/>
        <w:spacing w:after="0" w:line="184" w:lineRule="auto"/>
        <w:tabs>
          <w:tab w:leader="none" w:pos="420" w:val="left"/>
        </w:tabs>
        <w:numPr>
          <w:ilvl w:val="0"/>
          <w:numId w:val="25"/>
        </w:numPr>
        <w:rPr>
          <w:rFonts w:ascii="Arial" w:cs="Arial" w:eastAsia="Arial" w:hAnsi="Arial"/>
          <w:sz w:val="32"/>
          <w:szCs w:val="32"/>
          <w:color w:val="auto"/>
          <w:vertAlign w:val="superscript"/>
        </w:rPr>
      </w:pPr>
      <w:r>
        <w:rPr>
          <w:rFonts w:ascii="Arial" w:cs="Arial" w:eastAsia="Arial" w:hAnsi="Arial"/>
          <w:sz w:val="17"/>
          <w:szCs w:val="17"/>
          <w:color w:val="auto"/>
        </w:rPr>
        <w:t>Consists of commitments to purchase inventory.</w:t>
      </w:r>
    </w:p>
    <w:p>
      <w:pPr>
        <w:spacing w:after="0" w:line="70" w:lineRule="exact"/>
        <w:rPr>
          <w:rFonts w:ascii="Arial" w:cs="Arial" w:eastAsia="Arial" w:hAnsi="Arial"/>
          <w:sz w:val="32"/>
          <w:szCs w:val="32"/>
          <w:color w:val="auto"/>
          <w:vertAlign w:val="superscript"/>
        </w:rPr>
      </w:pPr>
    </w:p>
    <w:p>
      <w:pPr>
        <w:ind w:left="440" w:right="139" w:hanging="315"/>
        <w:spacing w:after="0" w:line="202" w:lineRule="auto"/>
        <w:tabs>
          <w:tab w:leader="none" w:pos="416" w:val="left"/>
        </w:tabs>
        <w:numPr>
          <w:ilvl w:val="0"/>
          <w:numId w:val="25"/>
        </w:numPr>
        <w:rPr>
          <w:rFonts w:ascii="Arial" w:cs="Arial" w:eastAsia="Arial" w:hAnsi="Arial"/>
          <w:sz w:val="35"/>
          <w:szCs w:val="35"/>
          <w:color w:val="auto"/>
          <w:vertAlign w:val="superscript"/>
        </w:rPr>
      </w:pPr>
      <w:r>
        <w:rPr>
          <w:rFonts w:ascii="Arial" w:cs="Arial" w:eastAsia="Arial" w:hAnsi="Arial"/>
          <w:sz w:val="18"/>
          <w:szCs w:val="18"/>
          <w:color w:val="auto"/>
        </w:rPr>
        <w:t>Severance payments of $1.6 million are payable only upon termination, retirement or death of our employees. Of this amount, $0.4 million is unfunded. Since we are unable to reasonably estimate the timing of settlement, the timing of such payments is not specified in the table. See also Note 2(t) to our consolidated financial statements appearing elsewhere in this prospectus.</w:t>
      </w:r>
    </w:p>
    <w:p>
      <w:pPr>
        <w:spacing w:after="0" w:line="1" w:lineRule="exact"/>
        <w:rPr>
          <w:rFonts w:ascii="Arial" w:cs="Arial" w:eastAsia="Arial" w:hAnsi="Arial"/>
          <w:sz w:val="35"/>
          <w:szCs w:val="35"/>
          <w:color w:val="auto"/>
          <w:vertAlign w:val="superscript"/>
        </w:rPr>
      </w:pPr>
    </w:p>
    <w:p>
      <w:pPr>
        <w:ind w:left="440" w:right="299" w:hanging="315"/>
        <w:spacing w:after="0" w:line="270" w:lineRule="auto"/>
        <w:tabs>
          <w:tab w:leader="none" w:pos="4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management services fees payable to Fortissimo Capital pursuant to a management services agreement. The amount payable annual is $120,000 plus the amount by which 5% of our net income, as defined in the management services agreement, exceeds this management fee, up to a maximum of $250,000 per year in the aggregate. Since we cannot know the amount that would be payable in the future, we have assumed the minimum amount is payable through 2018. We and Fortissimo Capital have agreed to terminate the management services agreement upon the consummation of this offering.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left="120" w:right="199" w:firstLine="216"/>
        <w:spacing w:after="0" w:line="288"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prospectus and require us to make certain estimates, judgments and assumptions.</w:t>
      </w:r>
    </w:p>
    <w:p>
      <w:pPr>
        <w:ind w:left="120" w:right="239"/>
        <w:spacing w:after="0" w:line="267" w:lineRule="auto"/>
        <w:rPr>
          <w:sz w:val="20"/>
          <w:szCs w:val="20"/>
          <w:color w:val="auto"/>
        </w:rPr>
      </w:pPr>
      <w:r>
        <w:rPr>
          <w:rFonts w:ascii="Arial" w:cs="Arial" w:eastAsia="Arial" w:hAnsi="Arial"/>
          <w:sz w:val="17"/>
          <w:szCs w:val="17"/>
          <w:color w:val="auto"/>
        </w:rPr>
        <w:t>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w:t>
      </w:r>
    </w:p>
    <w:p>
      <w:pPr>
        <w:sectPr>
          <w:pgSz w:w="11900" w:h="16838" w:orient="portrait"/>
          <w:cols w:equalWidth="0" w:num="1">
            <w:col w:w="9019"/>
          </w:cols>
          <w:pgMar w:left="1440" w:top="29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type w:val="continuous"/>
        </w:sectPr>
      </w:pPr>
    </w:p>
    <w:bookmarkStart w:id="49" w:name="page50"/>
    <w:bookmarkEnd w:id="49"/>
    <w:p>
      <w:pPr>
        <w:ind w:left="120" w:right="219" w:firstLine="216"/>
        <w:spacing w:after="0" w:line="297" w:lineRule="auto"/>
        <w:rPr>
          <w:sz w:val="20"/>
          <w:szCs w:val="20"/>
          <w:color w:val="auto"/>
        </w:rPr>
      </w:pPr>
      <w:r>
        <w:rPr>
          <w:rFonts w:ascii="Arial" w:cs="Arial" w:eastAsia="Arial" w:hAnsi="Arial"/>
          <w:sz w:val="16"/>
          <w:szCs w:val="16"/>
          <w:color w:val="auto"/>
        </w:rPr>
        <w:t>We recognize revenue when (1) persuasive evidence of a final agreement exists, (2) delivery has occurred or services have been rendered, (3) the selling price is fixed or determinable, and (4) collectability is reasonably assured. In respect of sale of products, installation of our systems and training, we consider the element in the arrangement to be a single unit of accounting. In accordance with ASC 605, we have concluded that our arrangements are generally consistent with the indicators suggesting that installation and training are essential to the functionality of our systems.</w:t>
      </w:r>
    </w:p>
    <w:p>
      <w:pPr>
        <w:spacing w:after="0" w:line="158"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When an independent distributor is responsible for installation of our systems at customer sites, revenues from sales to the independent distributor are generally recognized upon shipment and when title and risk of loss have been transferred to the independent distributor. We account for such sales on a net basis since we are not the primary obligor in the arrangement. Products and services sold directly by us to customers are recognized based on the gross amount as we are the primary obligor in the arrangement, retain inventory risk for physical products, establish the price for our products, and assume the credit risk for amounts billed to its customers.</w:t>
      </w:r>
    </w:p>
    <w:p>
      <w:pPr>
        <w:spacing w:after="0" w:line="165" w:lineRule="exact"/>
        <w:rPr>
          <w:sz w:val="20"/>
          <w:szCs w:val="20"/>
          <w:color w:val="auto"/>
        </w:rPr>
      </w:pPr>
    </w:p>
    <w:p>
      <w:pPr>
        <w:ind w:left="120" w:right="119" w:firstLine="216"/>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43"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57"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Our systems include a one-year warranty.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75"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w:t>
      </w:r>
    </w:p>
    <w:p>
      <w:pPr>
        <w:spacing w:after="0" w:line="158"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As of September 30, 2014, we had $13.7 million of inventory of which $6.3 million consisted of raw materials and components and $7.4 million consisted of completed systems, ink and other consumables. We recorded inventory write-offs in a total amount of $94,000 and $0.4 million for the years ended December 31, 2012 and 2013, respectively, and $53,000 for the nine months ended September 30, 2014.</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Option Valuations</w:t>
      </w:r>
    </w:p>
    <w:p>
      <w:pPr>
        <w:spacing w:after="0" w:line="212"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54"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We selected the binomial option pricing model as the most appropriate method for determining the estimated fair value of options. The resulting cost of an equity incentive award is recognized as an expense over the requisite service period of the award, which is usually the vesting period. We recognize compensation expense over the vesting period using the straight-line method and classify these amounts in the consolidated financial statements based on the department to which the related employee reports.</w:t>
      </w:r>
    </w:p>
    <w:p>
      <w:pPr>
        <w:spacing w:after="0" w:line="175" w:lineRule="exact"/>
        <w:rPr>
          <w:sz w:val="20"/>
          <w:szCs w:val="20"/>
          <w:color w:val="auto"/>
        </w:rPr>
      </w:pPr>
    </w:p>
    <w:p>
      <w:pPr>
        <w:ind w:left="120" w:right="479" w:firstLine="216"/>
        <w:spacing w:after="0" w:line="264" w:lineRule="auto"/>
        <w:rPr>
          <w:sz w:val="20"/>
          <w:szCs w:val="20"/>
          <w:color w:val="auto"/>
        </w:rPr>
      </w:pPr>
      <w:r>
        <w:rPr>
          <w:rFonts w:ascii="Arial" w:cs="Arial" w:eastAsia="Arial" w:hAnsi="Arial"/>
          <w:sz w:val="18"/>
          <w:szCs w:val="18"/>
          <w:color w:val="auto"/>
        </w:rPr>
        <w:t>The determination of the grant date fair value of options using the binomial option pricing model is affected by estimates and assumptions regarding a number of complex and subjective variables. These variables are estimated as follows: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0" w:name="page51"/>
    <w:bookmarkEnd w:id="50"/>
    <w:p>
      <w:pPr>
        <w:ind w:left="560" w:right="159" w:hanging="219"/>
        <w:spacing w:after="0" w:line="232" w:lineRule="auto"/>
        <w:tabs>
          <w:tab w:leader="none" w:pos="572"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Fair Value of our Ordinary Shares</w:t>
      </w:r>
      <w:r>
        <w:rPr>
          <w:rFonts w:ascii="Arial" w:cs="Arial" w:eastAsia="Arial" w:hAnsi="Arial"/>
          <w:sz w:val="18"/>
          <w:szCs w:val="18"/>
          <w:color w:val="auto"/>
        </w:rPr>
        <w:t>. Because our shares are not publicly traded, we must estimate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as discussed in “—Ordinary Share Valuations” below.</w:t>
      </w:r>
    </w:p>
    <w:p>
      <w:pPr>
        <w:spacing w:after="0" w:line="217" w:lineRule="exact"/>
        <w:rPr>
          <w:rFonts w:ascii="Arial" w:cs="Arial" w:eastAsia="Arial" w:hAnsi="Arial"/>
          <w:sz w:val="22"/>
          <w:szCs w:val="22"/>
          <w:i w:val="1"/>
          <w:iCs w:val="1"/>
          <w:color w:val="auto"/>
        </w:rPr>
      </w:pPr>
    </w:p>
    <w:p>
      <w:pPr>
        <w:jc w:val="both"/>
        <w:ind w:left="560" w:right="359" w:hanging="219"/>
        <w:spacing w:after="0" w:line="241" w:lineRule="auto"/>
        <w:tabs>
          <w:tab w:leader="none" w:pos="572"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Sub-Optimal Exercise Multiple</w:t>
      </w:r>
      <w:r>
        <w:rPr>
          <w:rFonts w:ascii="Arial" w:cs="Arial" w:eastAsia="Arial" w:hAnsi="Arial"/>
          <w:sz w:val="18"/>
          <w:szCs w:val="18"/>
          <w:color w:val="auto"/>
        </w:rPr>
        <w:t>. The sub-optimal exercise multiple represents an estimate of the amount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the fair value of our shares over the exercise price of the options at the date of expected exercise. We base this estimate on empirical studies of comparable third parties due to the lack of relevant exercise history for our company.</w:t>
      </w:r>
    </w:p>
    <w:p>
      <w:pPr>
        <w:spacing w:after="0" w:line="216" w:lineRule="exact"/>
        <w:rPr>
          <w:rFonts w:ascii="Arial" w:cs="Arial" w:eastAsia="Arial" w:hAnsi="Arial"/>
          <w:sz w:val="22"/>
          <w:szCs w:val="22"/>
          <w:i w:val="1"/>
          <w:iCs w:val="1"/>
          <w:color w:val="auto"/>
        </w:rPr>
      </w:pPr>
    </w:p>
    <w:p>
      <w:pPr>
        <w:ind w:left="560" w:right="419" w:hanging="219"/>
        <w:spacing w:after="0" w:line="232" w:lineRule="auto"/>
        <w:tabs>
          <w:tab w:leader="none" w:pos="572"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yield from U.S. Treasury zero-coupon bonds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term equivalent to the contractual life of the options.</w:t>
      </w:r>
    </w:p>
    <w:p>
      <w:pPr>
        <w:spacing w:after="0" w:line="217" w:lineRule="exact"/>
        <w:rPr>
          <w:rFonts w:ascii="Arial" w:cs="Arial" w:eastAsia="Arial" w:hAnsi="Arial"/>
          <w:sz w:val="22"/>
          <w:szCs w:val="22"/>
          <w:i w:val="1"/>
          <w:iCs w:val="1"/>
          <w:color w:val="auto"/>
        </w:rPr>
      </w:pPr>
    </w:p>
    <w:p>
      <w:pPr>
        <w:ind w:left="560" w:right="299" w:hanging="219"/>
        <w:spacing w:after="0" w:line="251" w:lineRule="auto"/>
        <w:tabs>
          <w:tab w:leader="none" w:pos="572" w:val="left"/>
        </w:tabs>
        <w:numPr>
          <w:ilvl w:val="0"/>
          <w:numId w:val="26"/>
        </w:numPr>
        <w:rPr>
          <w:rFonts w:ascii="Arial" w:cs="Arial" w:eastAsia="Arial" w:hAnsi="Arial"/>
          <w:sz w:val="21"/>
          <w:szCs w:val="21"/>
          <w:i w:val="1"/>
          <w:iCs w:val="1"/>
          <w:color w:val="auto"/>
        </w:rPr>
      </w:pPr>
      <w:r>
        <w:rPr>
          <w:rFonts w:ascii="Arial" w:cs="Arial" w:eastAsia="Arial" w:hAnsi="Arial"/>
          <w:sz w:val="17"/>
          <w:szCs w:val="17"/>
          <w:i w:val="1"/>
          <w:iCs w:val="1"/>
          <w:color w:val="auto"/>
        </w:rPr>
        <w:t>Volatility</w:t>
      </w:r>
      <w:r>
        <w:rPr>
          <w:rFonts w:ascii="Arial" w:cs="Arial" w:eastAsia="Arial" w:hAnsi="Arial"/>
          <w:sz w:val="17"/>
          <w:szCs w:val="17"/>
          <w:color w:val="auto"/>
        </w:rPr>
        <w:t>. The expected share price volatility was based on the historical equity volatility of the ordinary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comparable companies that are publicly traded with adjustments to reflect our capital structure.</w:t>
      </w:r>
    </w:p>
    <w:p>
      <w:pPr>
        <w:spacing w:after="0" w:line="204" w:lineRule="exact"/>
        <w:rPr>
          <w:rFonts w:ascii="Arial" w:cs="Arial" w:eastAsia="Arial" w:hAnsi="Arial"/>
          <w:sz w:val="21"/>
          <w:szCs w:val="21"/>
          <w:i w:val="1"/>
          <w:iCs w:val="1"/>
          <w:color w:val="auto"/>
        </w:rPr>
      </w:pPr>
    </w:p>
    <w:p>
      <w:pPr>
        <w:ind w:left="560" w:right="759" w:hanging="219"/>
        <w:spacing w:after="0" w:line="251" w:lineRule="auto"/>
        <w:tabs>
          <w:tab w:leader="none" w:pos="572" w:val="left"/>
        </w:tabs>
        <w:numPr>
          <w:ilvl w:val="0"/>
          <w:numId w:val="26"/>
        </w:numPr>
        <w:rPr>
          <w:rFonts w:ascii="Arial" w:cs="Arial" w:eastAsia="Arial" w:hAnsi="Arial"/>
          <w:sz w:val="21"/>
          <w:szCs w:val="21"/>
          <w:i w:val="1"/>
          <w:iCs w:val="1"/>
          <w:color w:val="auto"/>
        </w:rPr>
      </w:pPr>
      <w:r>
        <w:rPr>
          <w:rFonts w:ascii="Arial" w:cs="Arial" w:eastAsia="Arial" w:hAnsi="Arial"/>
          <w:sz w:val="17"/>
          <w:szCs w:val="17"/>
          <w:i w:val="1"/>
          <w:iCs w:val="1"/>
          <w:color w:val="auto"/>
        </w:rPr>
        <w:t>Dividend Yield</w:t>
      </w:r>
      <w:r>
        <w:rPr>
          <w:rFonts w:ascii="Arial" w:cs="Arial" w:eastAsia="Arial" w:hAnsi="Arial"/>
          <w:sz w:val="17"/>
          <w:szCs w:val="17"/>
          <w:color w:val="auto"/>
        </w:rPr>
        <w:t>. We have never declared or paid any cash dividends and do not presently plan to pay cash</w:t>
      </w:r>
      <w:r>
        <w:rPr>
          <w:rFonts w:ascii="Arial" w:cs="Arial" w:eastAsia="Arial" w:hAnsi="Arial"/>
          <w:sz w:val="17"/>
          <w:szCs w:val="17"/>
          <w:i w:val="1"/>
          <w:iCs w:val="1"/>
          <w:color w:val="auto"/>
        </w:rPr>
        <w:t xml:space="preserve"> </w:t>
      </w:r>
      <w:r>
        <w:rPr>
          <w:rFonts w:ascii="Arial" w:cs="Arial" w:eastAsia="Arial" w:hAnsi="Arial"/>
          <w:sz w:val="17"/>
          <w:szCs w:val="17"/>
          <w:color w:val="auto"/>
        </w:rPr>
        <w:t>dividends in the foreseeable future. Consequently, we used an expected dividend yield of zero.</w:t>
      </w:r>
    </w:p>
    <w:p>
      <w:pPr>
        <w:spacing w:after="0" w:line="204" w:lineRule="exact"/>
        <w:rPr>
          <w:rFonts w:ascii="Arial" w:cs="Arial" w:eastAsia="Arial" w:hAnsi="Arial"/>
          <w:sz w:val="21"/>
          <w:szCs w:val="21"/>
          <w:i w:val="1"/>
          <w:iCs w:val="1"/>
          <w:color w:val="auto"/>
        </w:rPr>
      </w:pPr>
    </w:p>
    <w:p>
      <w:pPr>
        <w:ind w:left="560" w:right="119" w:hanging="219"/>
        <w:spacing w:after="0" w:line="232" w:lineRule="auto"/>
        <w:tabs>
          <w:tab w:leader="none" w:pos="626" w:val="left"/>
        </w:tabs>
        <w:numPr>
          <w:ilvl w:val="0"/>
          <w:numId w:val="26"/>
        </w:numPr>
        <w:rPr>
          <w:rFonts w:ascii="Arial" w:cs="Arial" w:eastAsia="Arial" w:hAnsi="Arial"/>
          <w:sz w:val="22"/>
          <w:szCs w:val="22"/>
          <w:i w:val="1"/>
          <w:iCs w:val="1"/>
          <w:color w:val="auto"/>
        </w:rPr>
      </w:pPr>
      <w:r>
        <w:rPr>
          <w:rFonts w:ascii="Arial" w:cs="Arial" w:eastAsia="Arial" w:hAnsi="Arial"/>
          <w:sz w:val="18"/>
          <w:szCs w:val="18"/>
          <w:i w:val="1"/>
          <w:iCs w:val="1"/>
          <w:color w:val="auto"/>
        </w:rPr>
        <w:t>Expected forfeiture rates</w:t>
      </w:r>
      <w:r>
        <w:rPr>
          <w:rFonts w:ascii="Arial" w:cs="Arial" w:eastAsia="Arial" w:hAnsi="Arial"/>
          <w:sz w:val="18"/>
          <w:szCs w:val="18"/>
          <w:color w:val="auto"/>
        </w:rPr>
        <w:t>. The expected forfeiture rates were based on an analysis of our historical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rates.</w:t>
      </w:r>
    </w:p>
    <w:p>
      <w:pPr>
        <w:spacing w:after="0" w:line="177"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If any of the assumptions used in the binomial option pricing model change significantly, share-based compensation for future awards may differ materially compared with the awards granted previously.</w:t>
      </w:r>
    </w:p>
    <w:p>
      <w:pPr>
        <w:spacing w:after="0" w:line="130" w:lineRule="exact"/>
        <w:rPr>
          <w:sz w:val="20"/>
          <w:szCs w:val="20"/>
          <w:color w:val="auto"/>
        </w:rPr>
      </w:pPr>
    </w:p>
    <w:p>
      <w:pPr>
        <w:ind w:left="120" w:right="359" w:firstLine="216"/>
        <w:spacing w:after="0" w:line="342" w:lineRule="auto"/>
        <w:rPr>
          <w:sz w:val="20"/>
          <w:szCs w:val="20"/>
          <w:color w:val="auto"/>
        </w:rPr>
      </w:pPr>
      <w:r>
        <w:rPr>
          <w:rFonts w:ascii="Arial" w:cs="Arial" w:eastAsia="Arial" w:hAnsi="Arial"/>
          <w:sz w:val="16"/>
          <w:szCs w:val="16"/>
          <w:color w:val="auto"/>
        </w:rPr>
        <w:t>The following table presents the weighted-average assumptions used to estimate the fair value of options granted to employees during the periods presented. The number of options granted to non-employees was immaterial.</w:t>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3"/>
              </w:rPr>
              <w:t>Year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20" w:type="dxa"/>
            <w:vAlign w:val="bottom"/>
            <w:gridSpan w:val="3"/>
          </w:tcPr>
          <w:p>
            <w:pPr>
              <w:jc w:val="center"/>
              <w:ind w:left="754"/>
              <w:spacing w:after="0"/>
              <w:rPr>
                <w:sz w:val="20"/>
                <w:szCs w:val="20"/>
                <w:color w:val="auto"/>
              </w:rPr>
            </w:pPr>
            <w:r>
              <w:rPr>
                <w:rFonts w:ascii="Arial" w:cs="Arial" w:eastAsia="Arial" w:hAnsi="Arial"/>
                <w:sz w:val="16"/>
                <w:szCs w:val="16"/>
                <w:b w:val="1"/>
                <w:bCs w:val="1"/>
                <w:color w:val="auto"/>
                <w:w w:val="90"/>
              </w:rPr>
              <w:t>December 31,</w:t>
            </w: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jc w:val="right"/>
              <w:spacing w:after="0"/>
              <w:rPr>
                <w:sz w:val="20"/>
                <w:szCs w:val="20"/>
                <w:color w:val="auto"/>
              </w:rPr>
            </w:pPr>
            <w:r>
              <w:rPr>
                <w:rFonts w:ascii="Arial" w:cs="Arial" w:eastAsia="Arial" w:hAnsi="Arial"/>
                <w:sz w:val="18"/>
                <w:szCs w:val="18"/>
                <w:color w:val="auto"/>
              </w:rPr>
              <w:t>0.1%-1.8%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0.1%-2.5 %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0.1%-2.5%</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Ordinary Share Valuations</w:t>
      </w:r>
    </w:p>
    <w:p>
      <w:pPr>
        <w:spacing w:after="0" w:line="198"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The following table presents the share options grants made between January 1, 2014 and the date of this prospectus and the related exercise price and estimated fair value per ordinary share at the grant date: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Estimated Fair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8"/>
              </w:rPr>
              <w:t>Shares Subject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 Per</w:t>
            </w:r>
          </w:p>
        </w:tc>
      </w:tr>
      <w:tr>
        <w:trPr>
          <w:trHeight w:val="203"/>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0"/>
              </w:rPr>
              <w:t>to Awards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54"/>
              <w:spacing w:after="0"/>
              <w:rPr>
                <w:sz w:val="20"/>
                <w:szCs w:val="20"/>
                <w:color w:val="auto"/>
              </w:rPr>
            </w:pPr>
            <w:r>
              <w:rPr>
                <w:rFonts w:ascii="Arial" w:cs="Arial" w:eastAsia="Arial" w:hAnsi="Arial"/>
                <w:sz w:val="16"/>
                <w:szCs w:val="16"/>
                <w:b w:val="1"/>
                <w:bCs w:val="1"/>
                <w:color w:val="auto"/>
                <w:w w:val="89"/>
              </w:rPr>
              <w:t>Exercise Price</w:t>
            </w:r>
          </w:p>
        </w:tc>
        <w:tc>
          <w:tcPr>
            <w:tcW w:w="340" w:type="dxa"/>
            <w:vAlign w:val="bottom"/>
          </w:tcPr>
          <w:p>
            <w:pPr>
              <w:spacing w:after="0"/>
              <w:rPr>
                <w:sz w:val="17"/>
                <w:szCs w:val="17"/>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5"/>
              </w:rPr>
              <w:t>Ordinary Share</w:t>
            </w:r>
          </w:p>
        </w:tc>
      </w:tr>
      <w:tr>
        <w:trPr>
          <w:trHeight w:val="210"/>
        </w:trPr>
        <w:tc>
          <w:tcPr>
            <w:tcW w:w="4220" w:type="dxa"/>
            <w:vAlign w:val="bottom"/>
            <w:gridSpan w:val="3"/>
          </w:tcPr>
          <w:p>
            <w:pPr>
              <w:spacing w:after="0"/>
              <w:rPr>
                <w:sz w:val="20"/>
                <w:szCs w:val="20"/>
                <w:color w:val="auto"/>
              </w:rPr>
            </w:pPr>
            <w:r>
              <w:rPr>
                <w:rFonts w:ascii="Arial" w:cs="Arial" w:eastAsia="Arial" w:hAnsi="Arial"/>
                <w:sz w:val="16"/>
                <w:szCs w:val="16"/>
                <w:b w:val="1"/>
                <w:bCs w:val="1"/>
                <w:color w:val="auto"/>
              </w:rPr>
              <w:t>Date of Grant</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4"/>
              </w:rPr>
              <w:t>Granted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Per Share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at Grant Date</w:t>
            </w:r>
          </w:p>
        </w:tc>
      </w:tr>
      <w:tr>
        <w:trPr>
          <w:trHeight w:val="216"/>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2014</w:t>
            </w:r>
          </w:p>
        </w:tc>
        <w:tc>
          <w:tcPr>
            <w:tcW w:w="1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April 2014</w:t>
            </w:r>
          </w:p>
        </w:tc>
        <w:tc>
          <w:tcPr>
            <w:tcW w:w="1240" w:type="dxa"/>
            <w:vAlign w:val="bottom"/>
          </w:tcPr>
          <w:p>
            <w:pPr>
              <w:jc w:val="right"/>
              <w:spacing w:after="0"/>
              <w:rPr>
                <w:sz w:val="20"/>
                <w:szCs w:val="20"/>
                <w:color w:val="auto"/>
              </w:rPr>
            </w:pPr>
            <w:r>
              <w:rPr>
                <w:rFonts w:ascii="Arial" w:cs="Arial" w:eastAsia="Arial" w:hAnsi="Arial"/>
                <w:sz w:val="18"/>
                <w:szCs w:val="18"/>
                <w:color w:val="auto"/>
              </w:rPr>
              <w:t>99,341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41.34</w:t>
            </w:r>
          </w:p>
        </w:tc>
        <w:tc>
          <w:tcPr>
            <w:tcW w:w="160" w:type="dxa"/>
            <w:vAlign w:val="bottom"/>
            <w:shd w:val="clear" w:color="auto" w:fill="CCEEFF"/>
          </w:tcPr>
          <w:p>
            <w:pPr>
              <w:spacing w:after="0"/>
              <w:rPr>
                <w:sz w:val="18"/>
                <w:szCs w:val="18"/>
                <w:color w:val="auto"/>
              </w:rPr>
            </w:pPr>
          </w:p>
        </w:tc>
      </w:tr>
    </w:tbl>
    <w:p>
      <w:pPr>
        <w:spacing w:after="0" w:line="175" w:lineRule="exact"/>
        <w:rPr>
          <w:sz w:val="20"/>
          <w:szCs w:val="20"/>
          <w:color w:val="auto"/>
        </w:rPr>
      </w:pPr>
    </w:p>
    <w:p>
      <w:pPr>
        <w:ind w:left="120" w:right="219" w:firstLine="216"/>
        <w:spacing w:after="0" w:line="308" w:lineRule="auto"/>
        <w:rPr>
          <w:sz w:val="20"/>
          <w:szCs w:val="20"/>
          <w:color w:val="auto"/>
        </w:rPr>
      </w:pPr>
      <w:r>
        <w:rPr>
          <w:rFonts w:ascii="Arial" w:cs="Arial" w:eastAsia="Arial" w:hAnsi="Arial"/>
          <w:sz w:val="17"/>
          <w:szCs w:val="17"/>
          <w:color w:val="auto"/>
        </w:rPr>
        <w:t>In October 2014, we granted options to purchase 21,657 shares at an exercise price per share of $13.54. In November 2014, we granted options to purchase 37,863 shares with an exercise price per share of $13.54.</w:t>
      </w:r>
    </w:p>
    <w:p>
      <w:pPr>
        <w:spacing w:after="0" w:line="120" w:lineRule="exact"/>
        <w:rPr>
          <w:sz w:val="20"/>
          <w:szCs w:val="20"/>
          <w:color w:val="auto"/>
        </w:rPr>
      </w:pPr>
    </w:p>
    <w:p>
      <w:pPr>
        <w:jc w:val="both"/>
        <w:ind w:left="120" w:right="799" w:firstLine="216"/>
        <w:spacing w:after="0" w:line="308" w:lineRule="auto"/>
        <w:rPr>
          <w:sz w:val="20"/>
          <w:szCs w:val="20"/>
          <w:color w:val="auto"/>
        </w:rPr>
      </w:pPr>
      <w:r>
        <w:rPr>
          <w:rFonts w:ascii="Arial" w:cs="Arial" w:eastAsia="Arial" w:hAnsi="Arial"/>
          <w:sz w:val="17"/>
          <w:szCs w:val="17"/>
          <w:color w:val="auto"/>
        </w:rPr>
        <w:t>Based on the initial public offering price of $ per share, the intrinsic value of the awards outstanding as of September 30, 2014 was $ , of which $ related to vested options and $ related to unvested options.</w:t>
      </w:r>
    </w:p>
    <w:p>
      <w:pPr>
        <w:spacing w:after="0" w:line="106"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 xml:space="preserve">In the absence of a public trading market for our ordinary shares, with respect to each grant date, we develop an estimate of the fair value of our ordinary shares in order to determine an exercise price for each share-based award. We have determined the fair value of our ordinary shares using methodologies, approaches and assumptions consistent with the </w:t>
      </w:r>
      <w:r>
        <w:rPr>
          <w:rFonts w:ascii="Arial" w:cs="Arial" w:eastAsia="Arial" w:hAnsi="Arial"/>
          <w:sz w:val="18"/>
          <w:szCs w:val="18"/>
          <w:i w:val="1"/>
          <w:iCs w:val="1"/>
          <w:color w:val="auto"/>
        </w:rPr>
        <w:t>American Institute of Certified Public Accountants Practice Aid, 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Issued as Compensation. </w:t>
      </w:r>
      <w:r>
        <w:rPr>
          <w:rFonts w:ascii="Arial" w:cs="Arial" w:eastAsia="Arial" w:hAnsi="Arial"/>
          <w:sz w:val="18"/>
          <w:szCs w:val="18"/>
          <w:color w:val="auto"/>
        </w:rPr>
        <w:t>Our board of directors exercised judgment and considered a number of objective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51" w:name="page52"/>
    <w:bookmarkEnd w:id="51"/>
    <w:p>
      <w:pPr>
        <w:ind w:left="120" w:right="259"/>
        <w:spacing w:after="0" w:line="259" w:lineRule="auto"/>
        <w:rPr>
          <w:sz w:val="20"/>
          <w:szCs w:val="20"/>
          <w:color w:val="auto"/>
        </w:rPr>
      </w:pPr>
      <w:r>
        <w:rPr>
          <w:rFonts w:ascii="Arial" w:cs="Arial" w:eastAsia="Arial" w:hAnsi="Arial"/>
          <w:sz w:val="18"/>
          <w:szCs w:val="18"/>
          <w:color w:val="auto"/>
        </w:rPr>
        <w:t>factors to determine the best estimate of the fair value of our ordinary shares, including contemporaneous and retrospective valuations of our ordinary shares performed by an unrelated valuation specialist, valuations of comparable peer companies, operating and financial performance, the lack of liquidity of our share capital, and general and industry specific economic outlook.</w:t>
      </w:r>
    </w:p>
    <w:p>
      <w:pPr>
        <w:spacing w:after="0" w:line="146" w:lineRule="exact"/>
        <w:rPr>
          <w:sz w:val="20"/>
          <w:szCs w:val="20"/>
          <w:color w:val="auto"/>
        </w:rPr>
      </w:pPr>
    </w:p>
    <w:p>
      <w:pPr>
        <w:ind w:left="120" w:right="159" w:firstLine="216"/>
        <w:spacing w:after="0" w:line="289" w:lineRule="auto"/>
        <w:rPr>
          <w:sz w:val="20"/>
          <w:szCs w:val="20"/>
          <w:color w:val="auto"/>
        </w:rPr>
      </w:pPr>
      <w:r>
        <w:rPr>
          <w:rFonts w:ascii="Arial" w:cs="Arial" w:eastAsia="Arial" w:hAnsi="Arial"/>
          <w:sz w:val="16"/>
          <w:szCs w:val="16"/>
          <w:color w:val="auto"/>
        </w:rPr>
        <w:t>For our valuations performed with respect to grants made after January 1, 2014, the fair value of our ordinary shares was estimated using an income approach. The income approach estimates the aggregate enterprise value of our company based on the present value of future estimated cash flows. Cash flows are estimated for future periods based on projected revenue and costs. These future cash flows are discounted to their present values using an appropriate discount rate. The discounted projected cash flows and a terminal value are summed together to arrive at an indicated aggregate enterprise value under the income approach. In applying the income approach, we derived the discount rate from an analysis of the weighted-average cost of capital of a group of seven comparable public company industry peers as of each valuation date and adjusted it to reflect the risks inherent in our business cash flows. We derived the terminal multiple from an estimate of our normalized cash flow and estimated growth rate after five years.</w:t>
      </w:r>
    </w:p>
    <w:p>
      <w:pPr>
        <w:spacing w:after="0" w:line="167" w:lineRule="exact"/>
        <w:rPr>
          <w:sz w:val="20"/>
          <w:szCs w:val="20"/>
          <w:color w:val="auto"/>
        </w:rPr>
      </w:pPr>
    </w:p>
    <w:p>
      <w:pPr>
        <w:ind w:left="120" w:right="119" w:firstLine="216"/>
        <w:spacing w:after="0" w:line="289" w:lineRule="auto"/>
        <w:rPr>
          <w:sz w:val="20"/>
          <w:szCs w:val="20"/>
          <w:color w:val="auto"/>
        </w:rPr>
      </w:pPr>
      <w:r>
        <w:rPr>
          <w:rFonts w:ascii="Arial" w:cs="Arial" w:eastAsia="Arial" w:hAnsi="Arial"/>
          <w:sz w:val="16"/>
          <w:szCs w:val="16"/>
          <w:color w:val="auto"/>
        </w:rPr>
        <w:t>We allocated the estimated enterprise value among different classes of our shares by applying an option pricing method, or OPM. Under the OPM, ordinary and preferred shares are treated as call options, with the preferred shares having an exercise price based on the liquidation preference of the preferred shares. Ordinary shares will only have value if funds available for distribution to the shareholders exceed the value of the liquidation preference at the time of a liquidity event such as a merger, sale or initial public offering. The ordinary shares are modeled as call options with an exercise price equal to the liquidation preference of the preferred shares. The value of the call options is determined using the Black-Scholes-Merton option-pricing model. The OPM method requires significant assumptions; in particular, the time until investors in our company would experience an exit event and the volatility of our shares (which we determined based on the same public companies with business and financial risks comparable to our own).</w:t>
      </w:r>
    </w:p>
    <w:p>
      <w:pPr>
        <w:spacing w:after="0" w:line="167" w:lineRule="exact"/>
        <w:rPr>
          <w:sz w:val="20"/>
          <w:szCs w:val="20"/>
          <w:color w:val="auto"/>
        </w:rPr>
      </w:pPr>
    </w:p>
    <w:p>
      <w:pPr>
        <w:ind w:left="120" w:right="379" w:firstLine="216"/>
        <w:spacing w:after="0" w:line="264" w:lineRule="auto"/>
        <w:rPr>
          <w:sz w:val="20"/>
          <w:szCs w:val="20"/>
          <w:color w:val="auto"/>
        </w:rPr>
      </w:pPr>
      <w:r>
        <w:rPr>
          <w:rFonts w:ascii="Arial" w:cs="Arial" w:eastAsia="Arial" w:hAnsi="Arial"/>
          <w:sz w:val="18"/>
          <w:szCs w:val="18"/>
          <w:color w:val="auto"/>
        </w:rPr>
        <w:t>We applied a discount to the resulting valuation due to the lack of marketability of our ordinary shares. We calculated this using a put option model based on the Finnerty model. The significant assumptions involved were the same as described above.</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dates of our valuations did not always coincide with the dates of our share-based compensation grants. In such instances, management’s estimates were based on the most recent valuation of our ordinary shares. For grants occurring between valuation dates, for financial reporting purposes, we applied a straight-line calculation considering the preceding and subsequent valuations and our assessment of additional objective and subjective factors we believed were relevant as of the grant date.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ind w:left="120" w:right="119" w:firstLine="216"/>
        <w:spacing w:after="0" w:line="288" w:lineRule="auto"/>
        <w:rPr>
          <w:sz w:val="20"/>
          <w:szCs w:val="20"/>
          <w:color w:val="auto"/>
        </w:rPr>
      </w:pPr>
      <w:r>
        <w:rPr>
          <w:rFonts w:ascii="Arial" w:cs="Arial" w:eastAsia="Arial" w:hAnsi="Arial"/>
          <w:sz w:val="16"/>
          <w:szCs w:val="16"/>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69" w:lineRule="exact"/>
        <w:rPr>
          <w:sz w:val="20"/>
          <w:szCs w:val="20"/>
          <w:color w:val="auto"/>
        </w:rPr>
      </w:pPr>
    </w:p>
    <w:p>
      <w:pPr>
        <w:ind w:left="120" w:right="239" w:firstLine="216"/>
        <w:spacing w:after="0" w:line="293" w:lineRule="auto"/>
        <w:rPr>
          <w:sz w:val="20"/>
          <w:szCs w:val="20"/>
          <w:color w:val="auto"/>
        </w:rPr>
      </w:pPr>
      <w:r>
        <w:rPr>
          <w:rFonts w:ascii="Arial" w:cs="Arial" w:eastAsia="Arial" w:hAnsi="Arial"/>
          <w:sz w:val="16"/>
          <w:szCs w:val="16"/>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6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2" w:name="page53"/>
    <w:bookmarkEnd w:id="52"/>
    <w:p>
      <w:pPr>
        <w:ind w:left="120" w:right="139" w:firstLine="216"/>
        <w:spacing w:after="0" w:line="291" w:lineRule="auto"/>
        <w:rPr>
          <w:sz w:val="20"/>
          <w:szCs w:val="20"/>
          <w:color w:val="auto"/>
        </w:rPr>
      </w:pPr>
      <w:r>
        <w:rPr>
          <w:rFonts w:ascii="Arial" w:cs="Arial" w:eastAsia="Arial" w:hAnsi="Arial"/>
          <w:sz w:val="16"/>
          <w:szCs w:val="16"/>
          <w:color w:val="auto"/>
        </w:rPr>
        <w:t>While we believe the resulting tax balances as of December 31, 2012 and 2013 and September 30, 2014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left="120" w:right="279" w:firstLine="216"/>
        <w:spacing w:after="0" w:line="255" w:lineRule="auto"/>
        <w:rPr>
          <w:sz w:val="20"/>
          <w:szCs w:val="20"/>
          <w:color w:val="auto"/>
        </w:rPr>
      </w:pPr>
      <w:r>
        <w:rPr>
          <w:rFonts w:ascii="Arial" w:cs="Arial" w:eastAsia="Arial" w:hAnsi="Arial"/>
          <w:sz w:val="18"/>
          <w:szCs w:val="18"/>
          <w:color w:val="auto"/>
        </w:rPr>
        <w:t>Due to our international operations, currency exchange rates impact our financial performance. In 2013, approximately 82% of our revenues were denominated in U.S. dollars and 18% of our revenues were denominated in Euros. Conversely, in 2013, approximately 73%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information about the changes in the exchange rates of the NIS against the U.S. dollar:</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Change in 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Exchange Rate of the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NIS against the U.S.</w:t>
            </w:r>
          </w:p>
        </w:tc>
        <w:tc>
          <w:tcPr>
            <w:tcW w:w="0" w:type="dxa"/>
            <w:vAlign w:val="bottom"/>
          </w:tcPr>
          <w:p>
            <w:pPr>
              <w:spacing w:after="0"/>
              <w:rPr>
                <w:sz w:val="1"/>
                <w:szCs w:val="1"/>
                <w:color w:val="auto"/>
              </w:rPr>
            </w:pPr>
          </w:p>
        </w:tc>
      </w:tr>
      <w:tr>
        <w:trPr>
          <w:trHeight w:val="210"/>
        </w:trPr>
        <w:tc>
          <w:tcPr>
            <w:tcW w:w="6820" w:type="dxa"/>
            <w:vAlign w:val="bottom"/>
            <w:gridSpan w:val="3"/>
          </w:tcPr>
          <w:p>
            <w:pPr>
              <w:spacing w:after="0"/>
              <w:rPr>
                <w:sz w:val="20"/>
                <w:szCs w:val="20"/>
                <w:color w:val="auto"/>
              </w:rPr>
            </w:pPr>
            <w:r>
              <w:rPr>
                <w:rFonts w:ascii="Arial" w:cs="Arial" w:eastAsia="Arial" w:hAnsi="Arial"/>
                <w:sz w:val="16"/>
                <w:szCs w:val="16"/>
                <w:b w:val="1"/>
                <w:bCs w:val="1"/>
                <w:color w:val="auto"/>
              </w:rPr>
              <w:t>Period</w:t>
            </w: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9"/>
              </w:rPr>
              <w:t>Dollar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2014 (through September 30, 2014)</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The figures above represent the change in the average exchange rate in the given period compared to the average exchange rate in the immediately preceding period. Negative figures represent depreciation of the U.S. dollar compared to the NIS. A 10% increase or decrease in the value of the NIS against the U.S. dollar would have decreased or increased our net income by approximately $2.8 million in 2013 and by approximately $2.5 million in the nine months ended September 30, 2014.</w:t>
      </w:r>
    </w:p>
    <w:p>
      <w:pPr>
        <w:spacing w:after="0" w:line="188"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187"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Although we have not hedged against these risks formally in the past, in 2013 we converted U.S. dollars to NIS a few weeks in advance of anticipated large NIS expense payments (such as payroll expenses) to hedge against the potential devaluation of the U.S. dollar relative to the NIS prior to the dates for such payments. We will continue to monitor exposure to currency fluctuations. Instruments that may be used to hedge future risks may include foreign currency forward and swap contracts. These instruments may be used to selectively manage risks, but there can be no assurance that we will be fully protected against material foreign currency fluctuations.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120" w:right="699" w:firstLine="216"/>
        <w:spacing w:after="0" w:line="277" w:lineRule="auto"/>
        <w:rPr>
          <w:sz w:val="20"/>
          <w:szCs w:val="20"/>
          <w:color w:val="auto"/>
        </w:rPr>
      </w:pPr>
      <w:r>
        <w:rPr>
          <w:rFonts w:ascii="Arial" w:cs="Arial" w:eastAsia="Arial" w:hAnsi="Arial"/>
          <w:sz w:val="18"/>
          <w:szCs w:val="18"/>
          <w:color w:val="auto"/>
        </w:rPr>
        <w:t>We do not believe that we have material exposure to interest rate risk due to the fact that we have no long-term borrowings.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left="120" w:right="179" w:firstLine="216"/>
        <w:spacing w:after="0" w:line="342" w:lineRule="auto"/>
        <w:rPr>
          <w:sz w:val="20"/>
          <w:szCs w:val="20"/>
          <w:color w:val="auto"/>
        </w:rPr>
      </w:pPr>
      <w:r>
        <w:rPr>
          <w:rFonts w:ascii="Arial" w:cs="Arial" w:eastAsia="Arial" w:hAnsi="Arial"/>
          <w:sz w:val="16"/>
          <w:szCs w:val="16"/>
          <w:color w:val="auto"/>
        </w:rPr>
        <w:t>Since our inception, except for standard operating leases, we have not engaged in any off-balance sheet arrangements, such as the use of unconsolidated subsidiaries, structured finance, special purpose entities or variable interest entities.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and Revised Financial Accounting Standards</w:t>
      </w:r>
    </w:p>
    <w:p>
      <w:pPr>
        <w:spacing w:after="0" w:line="229" w:lineRule="exact"/>
        <w:rPr>
          <w:sz w:val="20"/>
          <w:szCs w:val="20"/>
          <w:color w:val="auto"/>
        </w:rPr>
      </w:pPr>
    </w:p>
    <w:p>
      <w:pPr>
        <w:jc w:val="both"/>
        <w:ind w:left="120" w:right="199" w:firstLine="216"/>
        <w:spacing w:after="0" w:line="259" w:lineRule="auto"/>
        <w:rPr>
          <w:sz w:val="20"/>
          <w:szCs w:val="20"/>
          <w:color w:val="auto"/>
        </w:rPr>
      </w:pPr>
      <w:r>
        <w:rPr>
          <w:rFonts w:ascii="Arial" w:cs="Arial" w:eastAsia="Arial" w:hAnsi="Arial"/>
          <w:sz w:val="18"/>
          <w:szCs w:val="18"/>
          <w:color w:val="auto"/>
        </w:rPr>
        <w:t>The JOBS Act permits emerging growth companies such as us to delay adopting new or revised accounting standards until such time as those standards apply to private companies. We have irrevocably elected not to avail ourselves of this and, therefore, we will be subject to the same new or revised accounting standards as other public companies that are not emerging growth companies.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We are currently in the process of evaluating the impact of the adoption of ASU 2014-09 on our consolidated financial statements.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retail value of the global textile industry was over $1 trillion in 2013 and is projected to grow between 2% and 5% annually through 2018, according to a November 2014 report published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93" w:lineRule="exact"/>
        <w:rPr>
          <w:sz w:val="20"/>
          <w:szCs w:val="20"/>
          <w:color w:val="auto"/>
        </w:rPr>
      </w:pPr>
    </w:p>
    <w:p>
      <w:pPr>
        <w:ind w:left="120" w:right="139" w:firstLine="216"/>
        <w:spacing w:after="0" w:line="293" w:lineRule="auto"/>
        <w:rPr>
          <w:sz w:val="20"/>
          <w:szCs w:val="20"/>
          <w:color w:val="auto"/>
        </w:rPr>
      </w:pPr>
      <w:r>
        <w:rPr>
          <w:rFonts w:ascii="Arial" w:cs="Arial" w:eastAsia="Arial" w:hAnsi="Arial"/>
          <w:sz w:val="16"/>
          <w:szCs w:val="16"/>
          <w:color w:val="auto"/>
        </w:rPr>
        <w:t>There is a diverse ecosystem of businesses that utilize textile printing processes, such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65"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According to a 2014 report by Smithers Pira, a provider of market intelligence on the printing industry, the vast majority of the 33 billion square meters of annual output of the global printed textile industry, which can be categorized into clothing, household, technical and display applications, is currently produced using analog printing methods, specifically screen printing, using carousels for printing on garments and rotary screen printers for printing on rolls of fabric. The Pira report estimates that digital printing produces 650 million square meters of output, representing approximately 2% of total annual global printed textile output. According to the Pira report, digital textile printing output is forecasted to grow at 20% per year for the foreseeable future. Within digital textile printing, clothing applications represent the greatest amount of digital printed textile output and are projected to grow at a faster rate than household, technical and display applications.</w:t>
      </w:r>
    </w:p>
    <w:p>
      <w:pPr>
        <w:spacing w:after="0" w:line="182" w:lineRule="exact"/>
        <w:rPr>
          <w:sz w:val="20"/>
          <w:szCs w:val="20"/>
          <w:color w:val="auto"/>
        </w:rPr>
      </w:pPr>
    </w:p>
    <w:p>
      <w:pPr>
        <w:ind w:left="120" w:right="219" w:firstLine="216"/>
        <w:spacing w:after="0" w:line="259" w:lineRule="auto"/>
        <w:rPr>
          <w:sz w:val="20"/>
          <w:szCs w:val="20"/>
          <w:color w:val="auto"/>
        </w:rPr>
      </w:pPr>
      <w:r>
        <w:rPr>
          <w:rFonts w:ascii="Arial" w:cs="Arial" w:eastAsia="Arial" w:hAnsi="Arial"/>
          <w:sz w:val="18"/>
          <w:szCs w:val="18"/>
          <w:color w:val="auto"/>
        </w:rPr>
        <w:t>The Pira report estimates that global revenue from digital textile printing equipment and ink will grow from $1.5 billion in 2014 to $3.2 billion in 2019, representing a 17% compound annual growth rate. Ink revenues represent approximately 50% of the total global revenue. There is currently a global installed base of approximately 35,000 digital textile printers.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in the Textile Printing Market</w:t>
      </w:r>
    </w:p>
    <w:p>
      <w:pPr>
        <w:spacing w:after="0" w:line="229" w:lineRule="exact"/>
        <w:rPr>
          <w:sz w:val="20"/>
          <w:szCs w:val="20"/>
          <w:color w:val="auto"/>
        </w:rPr>
      </w:pPr>
    </w:p>
    <w:p>
      <w:pPr>
        <w:ind w:left="120" w:right="559" w:firstLine="216"/>
        <w:spacing w:after="0" w:line="302" w:lineRule="auto"/>
        <w:rPr>
          <w:sz w:val="20"/>
          <w:szCs w:val="20"/>
          <w:color w:val="auto"/>
        </w:rPr>
      </w:pPr>
      <w:r>
        <w:rPr>
          <w:rFonts w:ascii="Arial" w:cs="Arial" w:eastAsia="Arial" w:hAnsi="Arial"/>
          <w:sz w:val="16"/>
          <w:szCs w:val="16"/>
          <w:color w:val="auto"/>
        </w:rPr>
        <w:t>Textile printing is most commonly conducted using an analog printing method known as screen printing, which includes rotary screen printing and manual or automated carousel screen printing techniques. Rotary screen printing involves passing rolls of fabric through rotating cylinders that are engraved with the image or design to be printed, whereas carousel screen printing involves squeezing ink onto fabric through purpose-built mesh stencils.</w:t>
      </w:r>
    </w:p>
    <w:p>
      <w:pPr>
        <w:spacing w:after="0" w:line="154" w:lineRule="exact"/>
        <w:rPr>
          <w:sz w:val="20"/>
          <w:szCs w:val="20"/>
          <w:color w:val="auto"/>
        </w:rPr>
      </w:pPr>
    </w:p>
    <w:p>
      <w:pPr>
        <w:ind w:left="120" w:right="259" w:firstLine="216"/>
        <w:spacing w:after="0" w:line="255" w:lineRule="auto"/>
        <w:rPr>
          <w:sz w:val="20"/>
          <w:szCs w:val="20"/>
          <w:color w:val="auto"/>
        </w:rPr>
      </w:pPr>
      <w:r>
        <w:rPr>
          <w:rFonts w:ascii="Arial" w:cs="Arial" w:eastAsia="Arial" w:hAnsi="Arial"/>
          <w:sz w:val="18"/>
          <w:szCs w:val="18"/>
          <w:color w:val="auto"/>
        </w:rPr>
        <w:t>Digital printing, which uses specially engineered inkjet heads to print designs and patterns directly onto fabrics, currently represents a small, but rapidly growing, portion of the global printed textile industry. Digital textile printing allows a full image or design to be printed on a garment or cut fabric in one manufacturing step compared to multiple steps in an analog printing process. Digital textile printing gives manufacturers the ability to print small runs in a cost-effective manner with a minimum order quantity of one unit. Demand for digital equipment and consumables is expanding due to the increasing acceptance of digital textile printing processes among industry participants and in order to respond to the following trends:</w:t>
      </w:r>
    </w:p>
    <w:p>
      <w:pPr>
        <w:spacing w:after="0" w:line="203" w:lineRule="exact"/>
        <w:rPr>
          <w:sz w:val="20"/>
          <w:szCs w:val="20"/>
          <w:color w:val="auto"/>
        </w:rPr>
      </w:pPr>
    </w:p>
    <w:p>
      <w:pPr>
        <w:ind w:left="560" w:right="359" w:hanging="219"/>
        <w:spacing w:after="0" w:line="238" w:lineRule="auto"/>
        <w:tabs>
          <w:tab w:leader="none" w:pos="572" w:val="left"/>
        </w:tabs>
        <w:numPr>
          <w:ilvl w:val="0"/>
          <w:numId w:val="27"/>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Increased demand for variety and complexity of images and designs. </w:t>
      </w:r>
      <w:r>
        <w:rPr>
          <w:rFonts w:ascii="Arial" w:cs="Arial" w:eastAsia="Arial" w:hAnsi="Arial"/>
          <w:sz w:val="18"/>
          <w:szCs w:val="18"/>
          <w:color w:val="auto"/>
        </w:rPr>
        <w:t>In order to distinguish themselves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masses, consumers demand, and brand owners seek to supply, a wide range of styles that are innovative and diverse.</w:t>
      </w:r>
    </w:p>
    <w:p>
      <w:pPr>
        <w:spacing w:after="0" w:line="216" w:lineRule="exact"/>
        <w:rPr>
          <w:rFonts w:ascii="Arial" w:cs="Arial" w:eastAsia="Arial" w:hAnsi="Arial"/>
          <w:sz w:val="22"/>
          <w:szCs w:val="22"/>
          <w:b w:val="1"/>
          <w:bCs w:val="1"/>
          <w:i w:val="1"/>
          <w:iCs w:val="1"/>
          <w:color w:val="auto"/>
        </w:rPr>
      </w:pPr>
    </w:p>
    <w:p>
      <w:pPr>
        <w:ind w:left="560" w:right="179" w:hanging="219"/>
        <w:spacing w:after="0" w:line="238" w:lineRule="auto"/>
        <w:tabs>
          <w:tab w:leader="none" w:pos="572" w:val="left"/>
        </w:tabs>
        <w:numPr>
          <w:ilvl w:val="0"/>
          <w:numId w:val="27"/>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Mass customization and personalization. </w:t>
      </w:r>
      <w:r>
        <w:rPr>
          <w:rFonts w:ascii="Arial" w:cs="Arial" w:eastAsia="Arial" w:hAnsi="Arial"/>
          <w:sz w:val="18"/>
          <w:szCs w:val="18"/>
          <w:color w:val="auto"/>
        </w:rPr>
        <w:t>We believe consumers are increasingly seeking the ability to customize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by choosing preferred features from a menu of options, or the ability to personalize products by adding an individualized pattern.</w:t>
      </w:r>
    </w:p>
    <w:p>
      <w:pPr>
        <w:spacing w:after="0" w:line="216" w:lineRule="exact"/>
        <w:rPr>
          <w:rFonts w:ascii="Arial" w:cs="Arial" w:eastAsia="Arial" w:hAnsi="Arial"/>
          <w:sz w:val="22"/>
          <w:szCs w:val="22"/>
          <w:b w:val="1"/>
          <w:bCs w:val="1"/>
          <w:i w:val="1"/>
          <w:iCs w:val="1"/>
          <w:color w:val="auto"/>
        </w:rPr>
      </w:pPr>
    </w:p>
    <w:p>
      <w:pPr>
        <w:ind w:left="560" w:right="359" w:hanging="219"/>
        <w:spacing w:after="0" w:line="238" w:lineRule="auto"/>
        <w:tabs>
          <w:tab w:leader="none" w:pos="572" w:val="left"/>
        </w:tabs>
        <w:numPr>
          <w:ilvl w:val="0"/>
          <w:numId w:val="27"/>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Reduced time between design and production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digital textile printing process allows for samples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quickly produced, evaluated, and modified, which permits brand owners to increase the frequency and variety of replenishment cycles in response to fashion trends.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5" w:name="page56"/>
    <w:bookmarkEnd w:id="55"/>
    <w:p>
      <w:pPr>
        <w:ind w:left="560" w:right="159" w:hanging="219"/>
        <w:spacing w:after="0" w:line="241" w:lineRule="auto"/>
        <w:tabs>
          <w:tab w:leader="none" w:pos="572" w:val="left"/>
        </w:tabs>
        <w:numPr>
          <w:ilvl w:val="0"/>
          <w:numId w:val="28"/>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Focus on reducing risk of excess inventory. </w:t>
      </w:r>
      <w:r>
        <w:rPr>
          <w:rFonts w:ascii="Arial" w:cs="Arial" w:eastAsia="Arial" w:hAnsi="Arial"/>
          <w:sz w:val="18"/>
          <w:szCs w:val="18"/>
          <w:color w:val="auto"/>
        </w:rPr>
        <w:t>The costly and time-consuming upfront setup required in analog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methods is avoided when using digital printing technologies. Therefore, digital printing enables the cost efficient production of a smaller quantity of garments which mitigates excess inventory risk and improves profitability.</w:t>
      </w:r>
    </w:p>
    <w:p>
      <w:pPr>
        <w:spacing w:after="0" w:line="216" w:lineRule="exact"/>
        <w:rPr>
          <w:rFonts w:ascii="Arial" w:cs="Arial" w:eastAsia="Arial" w:hAnsi="Arial"/>
          <w:sz w:val="22"/>
          <w:szCs w:val="22"/>
          <w:b w:val="1"/>
          <w:bCs w:val="1"/>
          <w:i w:val="1"/>
          <w:iCs w:val="1"/>
          <w:color w:val="auto"/>
        </w:rPr>
      </w:pPr>
    </w:p>
    <w:p>
      <w:pPr>
        <w:ind w:left="560" w:right="179" w:hanging="219"/>
        <w:spacing w:after="0" w:line="262" w:lineRule="auto"/>
        <w:tabs>
          <w:tab w:leader="none" w:pos="572" w:val="left"/>
        </w:tabs>
        <w:numPr>
          <w:ilvl w:val="0"/>
          <w:numId w:val="28"/>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Environmentally friendly production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Regulatory bodies and consumers are increasingly focused on social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198" w:lineRule="exact"/>
        <w:rPr>
          <w:rFonts w:ascii="Arial" w:cs="Arial" w:eastAsia="Arial" w:hAnsi="Arial"/>
          <w:sz w:val="21"/>
          <w:szCs w:val="21"/>
          <w:b w:val="1"/>
          <w:bCs w:val="1"/>
          <w:i w:val="1"/>
          <w:iCs w:val="1"/>
          <w:color w:val="auto"/>
        </w:rPr>
      </w:pPr>
    </w:p>
    <w:p>
      <w:pPr>
        <w:jc w:val="both"/>
        <w:ind w:left="560" w:right="119" w:hanging="219"/>
        <w:spacing w:after="0" w:line="261" w:lineRule="auto"/>
        <w:tabs>
          <w:tab w:leader="none" w:pos="572" w:val="left"/>
        </w:tabs>
        <w:numPr>
          <w:ilvl w:val="0"/>
          <w:numId w:val="28"/>
        </w:numPr>
        <w:rPr>
          <w:rFonts w:ascii="Arial" w:cs="Arial" w:eastAsia="Arial" w:hAnsi="Arial"/>
          <w:sz w:val="21"/>
          <w:szCs w:val="21"/>
          <w:b w:val="1"/>
          <w:bCs w:val="1"/>
          <w:i w:val="1"/>
          <w:iCs w:val="1"/>
          <w:color w:val="auto"/>
        </w:rPr>
      </w:pPr>
      <w:r>
        <w:rPr>
          <w:rFonts w:ascii="Arial" w:cs="Arial" w:eastAsia="Arial" w:hAnsi="Arial"/>
          <w:sz w:val="17"/>
          <w:szCs w:val="17"/>
          <w:b w:val="1"/>
          <w:bCs w:val="1"/>
          <w:i w:val="1"/>
          <w:iCs w:val="1"/>
          <w:color w:val="auto"/>
        </w:rPr>
        <w:t xml:space="preserve">Reduced labor and physical space requirements. </w:t>
      </w:r>
      <w:r>
        <w:rPr>
          <w:rFonts w:ascii="Arial" w:cs="Arial" w:eastAsia="Arial" w:hAnsi="Arial"/>
          <w:sz w:val="17"/>
          <w:szCs w:val="17"/>
          <w:color w:val="auto"/>
        </w:rPr>
        <w:t>Digital textile printing requires significantly less labor to print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equivalent output due to the 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152400</wp:posOffset>
            </wp:positionV>
            <wp:extent cx="4176395" cy="17240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76395"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152400</wp:posOffset>
            </wp:positionV>
            <wp:extent cx="5582920" cy="7632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8292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560" w:right="119" w:hanging="219"/>
        <w:spacing w:after="0" w:line="245" w:lineRule="auto"/>
        <w:tabs>
          <w:tab w:leader="none" w:pos="586"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Rotary screen printing. </w:t>
      </w:r>
      <w:r>
        <w:rPr>
          <w:rFonts w:ascii="Arial" w:cs="Arial" w:eastAsia="Arial" w:hAnsi="Arial"/>
          <w:sz w:val="18"/>
          <w:szCs w:val="18"/>
          <w:color w:val="auto"/>
        </w:rPr>
        <w:t>Rotary screen printing involves multiple, time-consuming process steps. Rolls of fabric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56" w:name="page57"/>
    <w:bookmarkEnd w:id="56"/>
    <w:p>
      <w:pPr>
        <w:jc w:val="both"/>
        <w:ind w:left="560" w:right="119"/>
        <w:spacing w:after="0" w:line="264" w:lineRule="auto"/>
        <w:rPr>
          <w:sz w:val="20"/>
          <w:szCs w:val="20"/>
          <w:color w:val="auto"/>
        </w:rPr>
      </w:pPr>
      <w:r>
        <w:rPr>
          <w:rFonts w:ascii="Arial" w:cs="Arial" w:eastAsia="Arial" w:hAnsi="Arial"/>
          <w:sz w:val="18"/>
          <w:szCs w:val="18"/>
          <w:color w:val="auto"/>
        </w:rPr>
        <w:t>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560" w:right="119" w:hanging="219"/>
        <w:spacing w:after="0" w:line="283" w:lineRule="auto"/>
        <w:tabs>
          <w:tab w:leader="none" w:pos="656" w:val="left"/>
        </w:tabs>
        <w:numPr>
          <w:ilvl w:val="0"/>
          <w:numId w:val="30"/>
        </w:numPr>
        <w:rPr>
          <w:rFonts w:ascii="Arial" w:cs="Arial" w:eastAsia="Arial" w:hAnsi="Arial"/>
          <w:sz w:val="19"/>
          <w:szCs w:val="19"/>
          <w:b w:val="1"/>
          <w:bCs w:val="1"/>
          <w:i w:val="1"/>
          <w:iCs w:val="1"/>
          <w:color w:val="auto"/>
        </w:rPr>
      </w:pPr>
      <w:r>
        <w:rPr>
          <w:rFonts w:ascii="Arial" w:cs="Arial" w:eastAsia="Arial" w:hAnsi="Arial"/>
          <w:sz w:val="16"/>
          <w:szCs w:val="16"/>
          <w:b w:val="1"/>
          <w:bCs w:val="1"/>
          <w:i w:val="1"/>
          <w:iCs w:val="1"/>
          <w:color w:val="auto"/>
        </w:rPr>
        <w:t>Automated carousel screen printing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automated carousel screen printing, a blade or squeegee squeezes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152400</wp:posOffset>
            </wp:positionV>
            <wp:extent cx="1655445" cy="19640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554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left="120" w:right="279" w:firstLine="216"/>
        <w:spacing w:after="0" w:line="259"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57" w:name="page58"/>
    <w:bookmarkEnd w:id="57"/>
    <w:p>
      <w:pPr>
        <w:ind w:left="120" w:right="199" w:firstLine="216"/>
        <w:spacing w:after="0" w:line="257"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39" w:lineRule="exact"/>
        <w:rPr>
          <w:sz w:val="20"/>
          <w:szCs w:val="20"/>
          <w:color w:val="auto"/>
        </w:rPr>
      </w:pPr>
    </w:p>
    <w:p>
      <w:pPr>
        <w:ind w:left="560" w:right="259" w:hanging="215"/>
        <w:spacing w:after="0" w:line="238" w:lineRule="auto"/>
        <w:tabs>
          <w:tab w:leader="none" w:pos="568" w:val="left"/>
        </w:tabs>
        <w:numPr>
          <w:ilvl w:val="0"/>
          <w:numId w:val="31"/>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Direct-to-Garment (DTG). </w:t>
      </w:r>
      <w:r>
        <w:rPr>
          <w:rFonts w:ascii="Arial" w:cs="Arial" w:eastAsia="Arial" w:hAnsi="Arial"/>
          <w:sz w:val="18"/>
          <w:szCs w:val="18"/>
          <w:color w:val="auto"/>
        </w:rPr>
        <w:t>In DTG printing, an inkjet printer prints directly on the textile. DTG printing allows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printing images and 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200" w:lineRule="exact"/>
        <w:rPr>
          <w:rFonts w:ascii="Arial" w:cs="Arial" w:eastAsia="Arial" w:hAnsi="Arial"/>
          <w:sz w:val="22"/>
          <w:szCs w:val="22"/>
          <w:b w:val="1"/>
          <w:bCs w:val="1"/>
          <w:i w:val="1"/>
          <w:iCs w:val="1"/>
          <w:color w:val="auto"/>
        </w:rPr>
      </w:pPr>
    </w:p>
    <w:p>
      <w:pPr>
        <w:spacing w:after="0" w:line="334" w:lineRule="exact"/>
        <w:rPr>
          <w:rFonts w:ascii="Arial" w:cs="Arial" w:eastAsia="Arial" w:hAnsi="Arial"/>
          <w:sz w:val="22"/>
          <w:szCs w:val="22"/>
          <w:b w:val="1"/>
          <w:bCs w:val="1"/>
          <w:i w:val="1"/>
          <w:iCs w:val="1"/>
          <w:color w:val="auto"/>
        </w:rPr>
      </w:pPr>
    </w:p>
    <w:p>
      <w:pPr>
        <w:jc w:val="both"/>
        <w:ind w:left="560" w:right="559" w:hanging="215"/>
        <w:spacing w:after="0" w:line="238" w:lineRule="auto"/>
        <w:tabs>
          <w:tab w:leader="none" w:pos="568" w:val="left"/>
        </w:tabs>
        <w:numPr>
          <w:ilvl w:val="0"/>
          <w:numId w:val="31"/>
        </w:numPr>
        <w:rPr>
          <w:rFonts w:ascii="Arial" w:cs="Arial" w:eastAsia="Arial" w:hAnsi="Arial"/>
          <w:sz w:val="22"/>
          <w:szCs w:val="22"/>
          <w:b w:val="1"/>
          <w:bCs w:val="1"/>
          <w:i w:val="1"/>
          <w:iCs w:val="1"/>
          <w:color w:val="auto"/>
        </w:rPr>
      </w:pPr>
      <w:r>
        <w:rPr>
          <w:rFonts w:ascii="Arial" w:cs="Arial" w:eastAsia="Arial" w:hAnsi="Arial"/>
          <w:sz w:val="18"/>
          <w:szCs w:val="18"/>
          <w:b w:val="1"/>
          <w:bCs w:val="1"/>
          <w:i w:val="1"/>
          <w:iCs w:val="1"/>
          <w:color w:val="auto"/>
        </w:rPr>
        <w:t xml:space="preserve">Roll-to-Roll (R2R). </w:t>
      </w:r>
      <w:r>
        <w:rPr>
          <w:rFonts w:ascii="Arial" w:cs="Arial" w:eastAsia="Arial" w:hAnsi="Arial"/>
          <w:sz w:val="18"/>
          <w:szCs w:val="18"/>
          <w:color w:val="auto"/>
        </w:rPr>
        <w:t>In R2R printing, rolls of fabric pass in-line through wide-format inkjet printers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utilized to directly print images 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1412875</wp:posOffset>
            </wp:positionH>
            <wp:positionV relativeFrom="paragraph">
              <wp:posOffset>-1002030</wp:posOffset>
            </wp:positionV>
            <wp:extent cx="3044190" cy="445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44190" cy="445770"/>
                    </a:xfrm>
                    <a:prstGeom prst="rect">
                      <a:avLst/>
                    </a:prstGeom>
                    <a:noFill/>
                  </pic:spPr>
                </pic:pic>
              </a:graphicData>
            </a:graphic>
          </wp:anchor>
        </w:drawing>
        <w:drawing>
          <wp:anchor simplePos="0" relativeHeight="251657728" behindDoc="1" locked="0" layoutInCell="0" allowOverlap="1">
            <wp:simplePos x="0" y="0"/>
            <wp:positionH relativeFrom="column">
              <wp:posOffset>1104265</wp:posOffset>
            </wp:positionH>
            <wp:positionV relativeFrom="paragraph">
              <wp:posOffset>137795</wp:posOffset>
            </wp:positionV>
            <wp:extent cx="3662045"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620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139" w:firstLine="216"/>
        <w:spacing w:after="0" w:line="290" w:lineRule="auto"/>
        <w:rPr>
          <w:sz w:val="20"/>
          <w:szCs w:val="20"/>
          <w:color w:val="auto"/>
        </w:rPr>
      </w:pPr>
      <w:r>
        <w:rPr>
          <w:rFonts w:ascii="Arial" w:cs="Arial" w:eastAsia="Arial" w:hAnsi="Arial"/>
          <w:sz w:val="16"/>
          <w:szCs w:val="16"/>
          <w:color w:val="auto"/>
        </w:rPr>
        <w:t>Recent technological developments in digital printing have supported the adoption of digital printing by the global printed textile industry, including by leading fashion designers, apparel brands, and contract manufacturers. Digital printing systems are now capable of printing increasingly large volumes of textiles with complex, customized images and designs at high throughput levels, which have enabled the global printed textile industry to harness the advantages of digital textile printing in a cost-effective manner. Additionally, the growth of e-commerce has given rise to many online apparel and home décor vendors who are unencumbered by legacy manufacturing processes and who rely primarily on digital printing systems to serve their large customer bases. As a result of these trends, we believe that the global printed textile industry offers a significant and rapidly growing market for digital printing solutions.</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segment of the printed textile industry. Our solutions include our proprietary digital printing systems, ink and other consumables, associated software and value added services that allow for large scale printing of short runs of complex images and designs directly on finished garments. Our solutions are differentiated from other digital methods of production because they eliminate the need to pre-treat fabrics prior to printing, thereby offering custom decorators, online businesses, brand owners and contract printers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16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There are a number of trends within the global printed textile industry that we believe are resulting in greater demand for our solutions. Consumers are increasingly seeking to differentiate themselves by wearing customized and personalized garments with colorful and intricate images and designs.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in a time efficient, cost-effective and environmentally friendly manner.</w:t>
      </w:r>
    </w:p>
    <w:p>
      <w:pPr>
        <w:spacing w:after="0" w:line="18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solutions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40 to 300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and value added services aimed at optimizing the use of our systems.</w:t>
      </w:r>
    </w:p>
    <w:p>
      <w:pPr>
        <w:spacing w:after="0" w:line="180" w:lineRule="exact"/>
        <w:rPr>
          <w:sz w:val="20"/>
          <w:szCs w:val="20"/>
          <w:color w:val="auto"/>
        </w:rPr>
      </w:pPr>
    </w:p>
    <w:p>
      <w:pPr>
        <w:ind w:left="120" w:right="179" w:firstLine="216"/>
        <w:spacing w:after="0" w:line="288" w:lineRule="auto"/>
        <w:rPr>
          <w:sz w:val="20"/>
          <w:szCs w:val="20"/>
          <w:color w:val="auto"/>
        </w:rPr>
      </w:pPr>
      <w:r>
        <w:rPr>
          <w:rFonts w:ascii="Arial" w:cs="Arial" w:eastAsia="Arial" w:hAnsi="Arial"/>
          <w:sz w:val="16"/>
          <w:szCs w:val="16"/>
          <w:color w:val="auto"/>
        </w:rPr>
        <w:t>Building on the expertise and capabilities we have accumulated throughout our history in developing and offering differentiated solutions for the DTG market, we are in the advanced stages of finalizing a digital printing solution aimed at another segment of the printed textile industry, the roll-to-roll, or R2R, market. While the DTG market generally involves printing on finished garments, the R2R market is focused on printing on fabrics that are subsequently converted into finished garments. Our R2R solution utilizes our proprietary wet-on-wet printing methodology and houses an integrated dryer within the system. We believe it will be the first single-step, stand-alone R2R digital textile printing solution available on the market. We plan to market our R2R solution, the Allegro, to online businesses that require large variety and limited quantity orders and to fabric converters, who source large quantities of fabric and convert untreated fabrics into finished materials to be sold to garment and home décor manufacturers. We are targeting the commercial launch of the Allegro in the next 18 months and believe it will offer us a significant opportunity for growth.</w:t>
      </w:r>
    </w:p>
    <w:p>
      <w:pPr>
        <w:spacing w:after="0" w:line="169"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We were founded in 2002 in Israel, shipped our first system in 2005 and, as of September 30, 2014, had an installed base of over 1,200 systems globally. As of September 30, 2014, we had 254 employees located across four regions: Israel, the United States, Europe and the Asia Pacific region. For the fiscal year ended December 31, 2013, we generated revenues of $49.4 million, representing an increase of 26.1% over the prior fiscal year, and recorded net income of $1.1 million. In 2013, we generated 56.2% of our revenues from the Americas, 29.0% from EMEA and 14.8% from the Asia Pacific region. For the nine months ended September 30, 2014, we generated revenues of $47.5 million, representing a 38.9% increase compared to the nine months ended September 30, 2013, and recorded net income of $1.8 million. For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9" w:name="page60"/>
    <w:bookmarkEnd w:id="59"/>
    <w:p>
      <w:pPr>
        <w:ind w:left="120" w:right="439"/>
        <w:spacing w:after="0" w:line="277" w:lineRule="auto"/>
        <w:rPr>
          <w:sz w:val="20"/>
          <w:szCs w:val="20"/>
          <w:color w:val="auto"/>
        </w:rPr>
      </w:pPr>
      <w:r>
        <w:rPr>
          <w:rFonts w:ascii="Arial" w:cs="Arial" w:eastAsia="Arial" w:hAnsi="Arial"/>
          <w:sz w:val="18"/>
          <w:szCs w:val="18"/>
          <w:color w:val="auto"/>
        </w:rPr>
        <w:t>the nine months ended September 30, 2014, we generated 54.1% of our revenues from the Americas, 29.3% from EMEA and 16.6% from the Asia Pacific region.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key competitive strengths:</w:t>
      </w:r>
    </w:p>
    <w:p>
      <w:pPr>
        <w:spacing w:after="0" w:line="248" w:lineRule="exact"/>
        <w:rPr>
          <w:sz w:val="20"/>
          <w:szCs w:val="20"/>
          <w:color w:val="auto"/>
        </w:rPr>
      </w:pPr>
    </w:p>
    <w:p>
      <w:pPr>
        <w:ind w:left="560" w:right="159" w:hanging="219"/>
        <w:spacing w:after="0" w:line="283" w:lineRule="auto"/>
        <w:tabs>
          <w:tab w:leader="none" w:pos="581"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Leading player in fast-growing digital DTG printing market</w:t>
      </w:r>
      <w:r>
        <w:rPr>
          <w:rFonts w:ascii="Arial" w:cs="Arial" w:eastAsia="Arial" w:hAnsi="Arial"/>
          <w:sz w:val="16"/>
          <w:szCs w:val="16"/>
          <w:color w:val="auto"/>
        </w:rPr>
        <w:t>. We are a leading player in the fast-growing</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DTG printing market based on our sales and installed base of more than 1,200 systems globally. According to the Pira report, global revenue from digital textile printing equipment and ink is expected to grow at a 17% compound annual growth rate between 2014 and 2019. In 2013, we grew our revenues 26.1% compared to 2012 and, in the nine months ended September 30, 2014, we grew our revenues 38.9% compared to the same period in 2013. We believe that high throughput DTG and R2R applications in the textile printing market are positioned to grow at a rate greater than the 17% projected industry growth rate between 2014 and 2019, as estimated by the Pira report. The Pira report estimates that the DTG market has an addressable opportunity of five to 10 billion garments a year, with over 300,000 sites globally printing primarily t-shirts and other apparel.</w:t>
      </w:r>
    </w:p>
    <w:p>
      <w:pPr>
        <w:spacing w:after="0" w:line="181" w:lineRule="exact"/>
        <w:rPr>
          <w:rFonts w:ascii="Arial" w:cs="Arial" w:eastAsia="Arial" w:hAnsi="Arial"/>
          <w:sz w:val="19"/>
          <w:szCs w:val="19"/>
          <w:b w:val="1"/>
          <w:bCs w:val="1"/>
          <w:color w:val="auto"/>
        </w:rPr>
      </w:pPr>
    </w:p>
    <w:p>
      <w:pPr>
        <w:ind w:left="560" w:right="119" w:hanging="219"/>
        <w:spacing w:after="0" w:line="283" w:lineRule="auto"/>
        <w:tabs>
          <w:tab w:leader="none" w:pos="578"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Disruptive technology that enables our customers to adopt new or improve existing business models.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flexibility that our digital printing solutions provide to our customers, including custom decorators, online businesses, brand owners and contract printers, enable them to develop new or improve their existing business models. Custom decorators utilize our solutions to produce short to medium runs of high-quality customized garments quickly and efficiently, enabling them to increase average selling prices compared to screen printed garments. For online businesses, our solutions facilitate the creation of “produce to order” garment production with minimum order quantities of one unit, at high average selling prices, while achieving significant margins. Brand owners benefit from our solutions’ streamlined pre- and post-treatment processes that allow them to handle production needs in house as they reduce labor, physical space requirements, industrial water consumption and eliminate the need for waste water clearing mechanisms. Our solutions also benefit high-volume contract printers that provide printing services to brand owners and high-end garment manufacturers by allowing them to print high resolution images and designs at qualities that meet high fashion standards.</w:t>
      </w:r>
    </w:p>
    <w:p>
      <w:pPr>
        <w:spacing w:after="0" w:line="178" w:lineRule="exact"/>
        <w:rPr>
          <w:rFonts w:ascii="Arial" w:cs="Arial" w:eastAsia="Arial" w:hAnsi="Arial"/>
          <w:sz w:val="19"/>
          <w:szCs w:val="19"/>
          <w:b w:val="1"/>
          <w:bCs w:val="1"/>
          <w:color w:val="auto"/>
        </w:rPr>
      </w:pPr>
    </w:p>
    <w:p>
      <w:pPr>
        <w:ind w:left="560" w:right="119" w:hanging="219"/>
        <w:spacing w:after="0" w:line="262" w:lineRule="auto"/>
        <w:tabs>
          <w:tab w:leader="none" w:pos="572" w:val="left"/>
        </w:tabs>
        <w:numPr>
          <w:ilvl w:val="0"/>
          <w:numId w:val="32"/>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Attractive business model. </w:t>
      </w:r>
      <w:r>
        <w:rPr>
          <w:rFonts w:ascii="Arial" w:cs="Arial" w:eastAsia="Arial" w:hAnsi="Arial"/>
          <w:sz w:val="17"/>
          <w:szCs w:val="17"/>
          <w:color w:val="auto"/>
        </w:rPr>
        <w:t>We currently offer a broad portfolio of differentiated digital printing solutions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digital DTG market. Our existing and growing installed base of systems results in recurring sales of ink and other consumables, which are specially formulated to enable our systems to operate at the highest throughput level.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 our ability to provide value added services to our customers.</w:t>
      </w:r>
    </w:p>
    <w:p>
      <w:pPr>
        <w:spacing w:after="0" w:line="198" w:lineRule="exact"/>
        <w:rPr>
          <w:rFonts w:ascii="Arial" w:cs="Arial" w:eastAsia="Arial" w:hAnsi="Arial"/>
          <w:sz w:val="21"/>
          <w:szCs w:val="21"/>
          <w:b w:val="1"/>
          <w:bCs w:val="1"/>
          <w:color w:val="auto"/>
        </w:rPr>
      </w:pPr>
    </w:p>
    <w:p>
      <w:pPr>
        <w:ind w:left="560" w:right="119" w:hanging="219"/>
        <w:spacing w:after="0" w:line="247" w:lineRule="auto"/>
        <w:tabs>
          <w:tab w:leader="none" w:pos="572" w:val="left"/>
        </w:tabs>
        <w:numPr>
          <w:ilvl w:val="0"/>
          <w:numId w:val="32"/>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Robust intellectual property portfolio driven by an innovation-based culture. </w:t>
      </w:r>
      <w:r>
        <w:rPr>
          <w:rFonts w:ascii="Arial" w:cs="Arial" w:eastAsia="Arial" w:hAnsi="Arial"/>
          <w:sz w:val="18"/>
          <w:szCs w:val="18"/>
          <w:color w:val="auto"/>
        </w:rPr>
        <w:t>Our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reflects over a decade of significant investments in digital textile printing, which we believe creates significant barriers to entry. We have developed a strong base of technology know-how, backed by our portfolio of intellectual property, featuring 17 issued patents and nine pending patent applications, covering wet-on-wet printing methodology, ink formulations, printing processes and related methods and systems. Our team of over 50 researchers and developers, including chemists, electrical engineers, system engineers and mechanical engineers, ensures that our systems remain technologically advanced, and are well engineered, user-friendly and highly reliable.</w:t>
      </w:r>
    </w:p>
    <w:p>
      <w:pPr>
        <w:spacing w:after="0" w:line="206" w:lineRule="exact"/>
        <w:rPr>
          <w:rFonts w:ascii="Arial" w:cs="Arial" w:eastAsia="Arial" w:hAnsi="Arial"/>
          <w:sz w:val="22"/>
          <w:szCs w:val="22"/>
          <w:b w:val="1"/>
          <w:bCs w:val="1"/>
          <w:color w:val="auto"/>
        </w:rPr>
      </w:pPr>
    </w:p>
    <w:p>
      <w:pPr>
        <w:ind w:left="560" w:right="199" w:hanging="219"/>
        <w:spacing w:after="0" w:line="283" w:lineRule="auto"/>
        <w:tabs>
          <w:tab w:leader="none" w:pos="572" w:val="left"/>
        </w:tabs>
        <w:numPr>
          <w:ilvl w:val="0"/>
          <w:numId w:val="32"/>
        </w:numPr>
        <w:rPr>
          <w:rFonts w:ascii="Arial" w:cs="Arial" w:eastAsia="Arial" w:hAnsi="Arial"/>
          <w:sz w:val="19"/>
          <w:szCs w:val="19"/>
          <w:b w:val="1"/>
          <w:bCs w:val="1"/>
          <w:color w:val="auto"/>
        </w:rPr>
      </w:pPr>
      <w:r>
        <w:rPr>
          <w:rFonts w:ascii="Arial" w:cs="Arial" w:eastAsia="Arial" w:hAnsi="Arial"/>
          <w:sz w:val="16"/>
          <w:szCs w:val="16"/>
          <w:b w:val="1"/>
          <w:bCs w:val="1"/>
          <w:color w:val="auto"/>
        </w:rPr>
        <w:t xml:space="preserve">Extensive product portfolio and strong new product pipeline. </w:t>
      </w:r>
      <w:r>
        <w:rPr>
          <w:rFonts w:ascii="Arial" w:cs="Arial" w:eastAsia="Arial" w:hAnsi="Arial"/>
          <w:sz w:val="16"/>
          <w:szCs w:val="16"/>
          <w:color w:val="auto"/>
        </w:rPr>
        <w:t>With throughputs ranging from 40 to 300</w:t>
      </w:r>
      <w:r>
        <w:rPr>
          <w:rFonts w:ascii="Arial" w:cs="Arial" w:eastAsia="Arial" w:hAnsi="Arial"/>
          <w:sz w:val="16"/>
          <w:szCs w:val="16"/>
          <w:b w:val="1"/>
          <w:bCs w:val="1"/>
          <w:color w:val="auto"/>
        </w:rPr>
        <w:t xml:space="preserve"> </w:t>
      </w:r>
      <w:r>
        <w:rPr>
          <w:rFonts w:ascii="Arial" w:cs="Arial" w:eastAsia="Arial" w:hAnsi="Arial"/>
          <w:sz w:val="16"/>
          <w:szCs w:val="16"/>
          <w:color w:val="auto"/>
        </w:rPr>
        <w:t>garments per hour, our DTG systems are suited for smaller commercial operators with limited budgets, as well as mass producers with mature operations and complex needs. In addition, we plan to introduce two new solutions to market: the Allegro and the Vulcan. We are targeting a commercial launch of our Allegro system, a one-step, integrated R2R printing and drying system, in the next 18 months. We are also targeting a commercial launch of our Vulcan system, a cost-effective digital substitution for carousel screen printing that enables mass production of customized garments for the DTG market, in the next 24 months. We believe both solutions will offer capabilities that no other player in the global printed textile industry currently offers and will further strengthen our leading position in the digital printed textile market as well as provide additional growth opportunities for our business.</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0" w:name="page61"/>
    <w:bookmarkEnd w:id="60"/>
    <w:p>
      <w:pPr>
        <w:ind w:left="560" w:right="179" w:hanging="219"/>
        <w:spacing w:after="0" w:line="263" w:lineRule="auto"/>
        <w:tabs>
          <w:tab w:leader="none" w:pos="572"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Environmentally friendly printing processes. </w:t>
      </w:r>
      <w:r>
        <w:rPr>
          <w:rFonts w:ascii="Arial" w:cs="Arial" w:eastAsia="Arial" w:hAnsi="Arial"/>
          <w:sz w:val="17"/>
          <w:szCs w:val="17"/>
          <w:color w:val="auto"/>
        </w:rPr>
        <w:t>A significant portion of global industrial water pollution comes</w:t>
      </w:r>
      <w:r>
        <w:rPr>
          <w:rFonts w:ascii="Arial" w:cs="Arial" w:eastAsia="Arial" w:hAnsi="Arial"/>
          <w:sz w:val="17"/>
          <w:szCs w:val="17"/>
          <w:b w:val="1"/>
          <w:bCs w:val="1"/>
          <w:color w:val="auto"/>
        </w:rPr>
        <w:t xml:space="preserve"> </w:t>
      </w:r>
      <w:r>
        <w:rPr>
          <w:rFonts w:ascii="Arial" w:cs="Arial" w:eastAsia="Arial" w:hAnsi="Arial"/>
          <w:sz w:val="17"/>
          <w:szCs w:val="17"/>
          <w:color w:val="auto"/>
        </w:rPr>
        <w:t>from textile treatment and 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99" w:lineRule="exact"/>
        <w:rPr>
          <w:rFonts w:ascii="Arial" w:cs="Arial" w:eastAsia="Arial" w:hAnsi="Arial"/>
          <w:sz w:val="21"/>
          <w:szCs w:val="21"/>
          <w:b w:val="1"/>
          <w:bCs w:val="1"/>
          <w:color w:val="auto"/>
        </w:rPr>
      </w:pPr>
    </w:p>
    <w:p>
      <w:pPr>
        <w:jc w:val="both"/>
        <w:ind w:left="560" w:right="119" w:hanging="219"/>
        <w:spacing w:after="0" w:line="263" w:lineRule="auto"/>
        <w:tabs>
          <w:tab w:leader="none" w:pos="586" w:val="left"/>
        </w:tabs>
        <w:numPr>
          <w:ilvl w:val="0"/>
          <w:numId w:val="33"/>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Experienced management team. </w:t>
      </w:r>
      <w:r>
        <w:rPr>
          <w:rFonts w:ascii="Arial" w:cs="Arial" w:eastAsia="Arial" w:hAnsi="Arial"/>
          <w:sz w:val="17"/>
          <w:szCs w:val="17"/>
          <w:color w:val="auto"/>
        </w:rPr>
        <w:t>We believe that our management teams’ industry expertise, long history with</w:t>
      </w:r>
      <w:r>
        <w:rPr>
          <w:rFonts w:ascii="Arial" w:cs="Arial" w:eastAsia="Arial" w:hAnsi="Arial"/>
          <w:sz w:val="17"/>
          <w:szCs w:val="17"/>
          <w:b w:val="1"/>
          <w:bCs w:val="1"/>
          <w:color w:val="auto"/>
        </w:rPr>
        <w:t xml:space="preserve"> </w:t>
      </w:r>
      <w:r>
        <w:rPr>
          <w:rFonts w:ascii="Arial" w:cs="Arial" w:eastAsia="Arial" w:hAnsi="Arial"/>
          <w:sz w:val="17"/>
          <w:szCs w:val="17"/>
          <w:color w:val="auto"/>
        </w:rPr>
        <w:t>our company and extensive experience in running global publicly traded companies will enable us to execute our growth strategy. Our Chief Executive Officer, Gabi Seligsohn, was the President and Chief Executive Officer of Nova Measuring Instruments (NASDAQ:NVMI) for seven years prior to joining our company. Our Chief Financial Officer, Guy Avidan, was most recently the Chief Financial Officer of Audiocodes (NASDAQ:AUDC). Mr. Seligsohn and Mr. Avidan bring extensive experience of managing publicly traded companies. Our founder and Chief Technology Officer, Ofer Ben-Zur, has over 20 years of digital printing experience. Our Executive Vice President of Sales, Sarel Ashkenazy joined our company in 2004 and together with Mr. Ben-Zur, have helped us to develop into a strong global player.</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35" w:lineRule="exact"/>
        <w:rPr>
          <w:sz w:val="20"/>
          <w:szCs w:val="20"/>
          <w:color w:val="auto"/>
        </w:rPr>
      </w:pPr>
    </w:p>
    <w:p>
      <w:pPr>
        <w:ind w:left="560" w:right="139" w:hanging="219"/>
        <w:spacing w:after="0" w:line="263" w:lineRule="auto"/>
        <w:tabs>
          <w:tab w:leader="none" w:pos="572"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Capitalize on continued growth of the digital DTG market. </w:t>
      </w:r>
      <w:r>
        <w:rPr>
          <w:rFonts w:ascii="Arial" w:cs="Arial" w:eastAsia="Arial" w:hAnsi="Arial"/>
          <w:sz w:val="17"/>
          <w:szCs w:val="17"/>
          <w:color w:val="auto"/>
        </w:rPr>
        <w:t>We believe there is an opportunity to expand our</w:t>
      </w:r>
      <w:r>
        <w:rPr>
          <w:rFonts w:ascii="Arial" w:cs="Arial" w:eastAsia="Arial" w:hAnsi="Arial"/>
          <w:sz w:val="17"/>
          <w:szCs w:val="17"/>
          <w:b w:val="1"/>
          <w:bCs w:val="1"/>
          <w:color w:val="auto"/>
        </w:rPr>
        <w:t xml:space="preserve"> </w:t>
      </w:r>
      <w:r>
        <w:rPr>
          <w:rFonts w:ascii="Arial" w:cs="Arial" w:eastAsia="Arial" w:hAnsi="Arial"/>
          <w:sz w:val="17"/>
          <w:szCs w:val="17"/>
          <w:color w:val="auto"/>
        </w:rPr>
        <w:t>presence in the growing digital DTG market by increasing sales to existing customers, gaining new customers, introducing new applications, developing new features and functionality, improving system reliability and expanding customer know how in order to drive increased utilization of our systems. In order to achieve these goals, we plan to extend and deepen our presence in the geographies we currently serve as well as align our product roadmap with these opportunities. We also intend to further invest in our direct sales and marketing teams and application development professionals in order to better inform customers and prospective customers about the benefits of digital textile printing and the capabilities of our solutions, through direct communication as well as participation in trade shows and online advertising.</w:t>
      </w:r>
    </w:p>
    <w:p>
      <w:pPr>
        <w:spacing w:after="0" w:line="196" w:lineRule="exact"/>
        <w:rPr>
          <w:rFonts w:ascii="Arial" w:cs="Arial" w:eastAsia="Arial" w:hAnsi="Arial"/>
          <w:sz w:val="21"/>
          <w:szCs w:val="21"/>
          <w:b w:val="1"/>
          <w:bCs w:val="1"/>
          <w:color w:val="auto"/>
        </w:rPr>
      </w:pPr>
    </w:p>
    <w:p>
      <w:pPr>
        <w:ind w:left="560" w:right="159" w:hanging="219"/>
        <w:spacing w:after="0" w:line="247" w:lineRule="auto"/>
        <w:tabs>
          <w:tab w:leader="none" w:pos="572"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Focus on fast-growing web-to-print businesses. </w:t>
      </w:r>
      <w:r>
        <w:rPr>
          <w:rFonts w:ascii="Arial" w:cs="Arial" w:eastAsia="Arial" w:hAnsi="Arial"/>
          <w:sz w:val="18"/>
          <w:szCs w:val="18"/>
          <w:color w:val="auto"/>
        </w:rPr>
        <w:t>We are increasingly focusing our marketing efforts on online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whose business models are focused on mass customization and personalization. We already serve dozens of established web-to-print customers throughout the world, some of whom are expanding their businesses at exponential rates. In order to continue to do so, we intend to increase our direct sales force and, with our channel partners, identify strategic accounts that offer the opportunity for long-term business partnerships. We believe our technology is ideally suited for web-to-print businesses because it efficiently allows manufacturers the ability to print on-demand, small runs in a cost-effective manner and with excellent quality, starting with a minimum order quantity of one unit.</w:t>
      </w:r>
    </w:p>
    <w:p>
      <w:pPr>
        <w:spacing w:after="0" w:line="206" w:lineRule="exact"/>
        <w:rPr>
          <w:rFonts w:ascii="Arial" w:cs="Arial" w:eastAsia="Arial" w:hAnsi="Arial"/>
          <w:sz w:val="22"/>
          <w:szCs w:val="22"/>
          <w:b w:val="1"/>
          <w:bCs w:val="1"/>
          <w:color w:val="auto"/>
        </w:rPr>
      </w:pPr>
    </w:p>
    <w:p>
      <w:pPr>
        <w:ind w:left="560" w:right="159" w:hanging="219"/>
        <w:spacing w:after="0" w:line="262" w:lineRule="auto"/>
        <w:tabs>
          <w:tab w:leader="none" w:pos="572" w:val="left"/>
        </w:tabs>
        <w:numPr>
          <w:ilvl w:val="0"/>
          <w:numId w:val="34"/>
        </w:numPr>
        <w:rPr>
          <w:rFonts w:ascii="Arial" w:cs="Arial" w:eastAsia="Arial" w:hAnsi="Arial"/>
          <w:sz w:val="21"/>
          <w:szCs w:val="21"/>
          <w:b w:val="1"/>
          <w:bCs w:val="1"/>
          <w:color w:val="auto"/>
        </w:rPr>
      </w:pPr>
      <w:r>
        <w:rPr>
          <w:rFonts w:ascii="Arial" w:cs="Arial" w:eastAsia="Arial" w:hAnsi="Arial"/>
          <w:sz w:val="17"/>
          <w:szCs w:val="17"/>
          <w:b w:val="1"/>
          <w:bCs w:val="1"/>
          <w:color w:val="auto"/>
        </w:rPr>
        <w:t xml:space="preserve">Drive adoption of digital DTG printing solutions by customers who primarily use screen printing carousels. </w:t>
      </w:r>
      <w:r>
        <w:rPr>
          <w:rFonts w:ascii="Arial" w:cs="Arial" w:eastAsia="Arial" w:hAnsi="Arial"/>
          <w:sz w:val="17"/>
          <w:szCs w:val="17"/>
          <w:color w:val="auto"/>
        </w:rPr>
        <w:t>A majority of DTG printing jobs are done today utilizing screen printing carousels. While we have</w:t>
      </w:r>
      <w:r>
        <w:rPr>
          <w:rFonts w:ascii="Arial" w:cs="Arial" w:eastAsia="Arial" w:hAnsi="Arial"/>
          <w:sz w:val="17"/>
          <w:szCs w:val="17"/>
          <w:b w:val="1"/>
          <w:bCs w:val="1"/>
          <w:color w:val="auto"/>
        </w:rPr>
        <w:t xml:space="preserve"> </w:t>
      </w:r>
      <w:r>
        <w:rPr>
          <w:rFonts w:ascii="Arial" w:cs="Arial" w:eastAsia="Arial" w:hAnsi="Arial"/>
          <w:sz w:val="17"/>
          <w:szCs w:val="17"/>
          <w:color w:val="auto"/>
        </w:rPr>
        <w:t>started to penetrate this market by offering standalone DTG solutions, such as our Avalanche and Storm II systems, we plan to deepen our penetration and further transition users of these analog systems to digital printing technologies through our Paradigm II system. Paradigm II integrates into existing screen printing carousels and allows manufacturers to combine complex images and designs printed digitally with multiple embellishment effects, such as glitter, silicon, gel and burnout, typically performed using screen printing.</w:t>
      </w:r>
    </w:p>
    <w:p>
      <w:pPr>
        <w:spacing w:after="0" w:line="198" w:lineRule="exact"/>
        <w:rPr>
          <w:rFonts w:ascii="Arial" w:cs="Arial" w:eastAsia="Arial" w:hAnsi="Arial"/>
          <w:sz w:val="21"/>
          <w:szCs w:val="21"/>
          <w:b w:val="1"/>
          <w:bCs w:val="1"/>
          <w:color w:val="auto"/>
        </w:rPr>
      </w:pPr>
    </w:p>
    <w:p>
      <w:pPr>
        <w:jc w:val="both"/>
        <w:ind w:left="560" w:right="119" w:hanging="219"/>
        <w:spacing w:after="0" w:line="245" w:lineRule="auto"/>
        <w:tabs>
          <w:tab w:leader="none" w:pos="572" w:val="left"/>
        </w:tabs>
        <w:numPr>
          <w:ilvl w:val="0"/>
          <w:numId w:val="34"/>
        </w:numPr>
        <w:rPr>
          <w:rFonts w:ascii="Arial" w:cs="Arial" w:eastAsia="Arial" w:hAnsi="Arial"/>
          <w:sz w:val="22"/>
          <w:szCs w:val="22"/>
          <w:b w:val="1"/>
          <w:bCs w:val="1"/>
          <w:color w:val="auto"/>
        </w:rPr>
      </w:pPr>
      <w:r>
        <w:rPr>
          <w:rFonts w:ascii="Arial" w:cs="Arial" w:eastAsia="Arial" w:hAnsi="Arial"/>
          <w:sz w:val="18"/>
          <w:szCs w:val="18"/>
          <w:b w:val="1"/>
          <w:bCs w:val="1"/>
          <w:color w:val="auto"/>
        </w:rPr>
        <w:t xml:space="preserve">Extend our technological leadership through ongoing research and development and continuing to introduce new products. </w:t>
      </w:r>
      <w:r>
        <w:rPr>
          <w:rFonts w:ascii="Arial" w:cs="Arial" w:eastAsia="Arial" w:hAnsi="Arial"/>
          <w:sz w:val="18"/>
          <w:szCs w:val="18"/>
          <w:color w:val="auto"/>
        </w:rPr>
        <w:t>We will seek to continue to differentiate ourselves and extend our technological leadership by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investing in research and development.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Our product pipeline includes an</w:t>
      </w:r>
    </w:p>
    <w:p>
      <w:pPr>
        <w:sectPr>
          <w:pgSz w:w="11900" w:h="16838" w:orient="portrait"/>
          <w:cols w:equalWidth="0" w:num="1">
            <w:col w:w="9019"/>
          </w:cols>
          <w:pgMar w:left="1440" w:top="351" w:right="1440"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1" w:right="1440" w:bottom="1440" w:gutter="0" w:footer="0" w:header="0"/>
          <w:type w:val="continuous"/>
        </w:sectPr>
      </w:pPr>
    </w:p>
    <w:bookmarkStart w:id="61" w:name="page62"/>
    <w:bookmarkEnd w:id="61"/>
    <w:p>
      <w:pPr>
        <w:jc w:val="both"/>
        <w:ind w:left="560" w:right="119"/>
        <w:spacing w:after="0" w:line="293" w:lineRule="auto"/>
        <w:rPr>
          <w:sz w:val="20"/>
          <w:szCs w:val="20"/>
          <w:color w:val="auto"/>
        </w:rPr>
      </w:pPr>
      <w:r>
        <w:rPr>
          <w:rFonts w:ascii="Arial" w:cs="Arial" w:eastAsia="Arial" w:hAnsi="Arial"/>
          <w:sz w:val="16"/>
          <w:szCs w:val="16"/>
          <w:color w:val="auto"/>
        </w:rPr>
        <w:t>industrial R2R system, the Allegro, which is expected to launch commercially in the next 18 months. We expect our Allegro system to be the first R2R printing system to allow for one-step R2R digital printing, versus existing digital R2R printers which require at least four pre- and post-processing steps. We also intend to leverage the success of our existing DTG solutions by introducing the Vulcan system, which will offer an alternative to carousel screen printing. The Vulcan will enable customers to print small runs at throughputs comparable to those achieved through carousel screen printing. We expect to launch the Vulcan commercially in the next 24 months.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Systems</w:t>
      </w:r>
    </w:p>
    <w:p>
      <w:pPr>
        <w:spacing w:after="0" w:line="229" w:lineRule="exact"/>
        <w:rPr>
          <w:sz w:val="20"/>
          <w:szCs w:val="20"/>
          <w:color w:val="auto"/>
        </w:rPr>
      </w:pPr>
    </w:p>
    <w:p>
      <w:pPr>
        <w:ind w:left="120" w:right="359" w:firstLine="216"/>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high throughput segment of the DTG market.</w:t>
      </w:r>
    </w:p>
    <w:p>
      <w:pPr>
        <w:spacing w:after="0" w:line="200" w:lineRule="exact"/>
        <w:rPr>
          <w:sz w:val="20"/>
          <w:szCs w:val="20"/>
          <w:color w:val="auto"/>
        </w:rPr>
      </w:pPr>
    </w:p>
    <w:p>
      <w:pPr>
        <w:ind w:left="560" w:right="239" w:hanging="219"/>
        <w:spacing w:after="0" w:line="243" w:lineRule="auto"/>
        <w:tabs>
          <w:tab w:leader="none" w:pos="572" w:val="left"/>
        </w:tabs>
        <w:numPr>
          <w:ilvl w:val="0"/>
          <w:numId w:val="35"/>
        </w:numPr>
        <w:rPr>
          <w:rFonts w:ascii="Arial" w:cs="Arial" w:eastAsia="Arial" w:hAnsi="Arial"/>
          <w:sz w:val="22"/>
          <w:szCs w:val="22"/>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Our entry level systems consist of our Breeze and Thunder systems. These systems reduce the need</w:t>
      </w:r>
      <w:r>
        <w:rPr>
          <w:rFonts w:ascii="Arial" w:cs="Arial" w:eastAsia="Arial" w:hAnsi="Arial"/>
          <w:sz w:val="18"/>
          <w:szCs w:val="18"/>
          <w:i w:val="1"/>
          <w:iCs w:val="1"/>
          <w:color w:val="auto"/>
        </w:rPr>
        <w:t xml:space="preserve"> </w:t>
      </w:r>
      <w:r>
        <w:rPr>
          <w:rFonts w:ascii="Arial" w:cs="Arial" w:eastAsia="Arial" w:hAnsi="Arial"/>
          <w:sz w:val="18"/>
          <w:szCs w:val="18"/>
          <w:color w:val="auto"/>
        </w:rPr>
        <w:t>for floor space for manufacturing equipment by eliminating certain process steps and by consolidating multiple process steps into a single printing system. The Breeze and Thunder allow businesses to adopt digital technology with a limited upfront investment and use the same technology as our high throughput systems but with smaller garment printing areas and at lower throughput levels.</w:t>
      </w:r>
    </w:p>
    <w:p>
      <w:pPr>
        <w:spacing w:after="0" w:line="215" w:lineRule="exact"/>
        <w:rPr>
          <w:rFonts w:ascii="Arial" w:cs="Arial" w:eastAsia="Arial" w:hAnsi="Arial"/>
          <w:sz w:val="22"/>
          <w:szCs w:val="22"/>
          <w:i w:val="1"/>
          <w:iCs w:val="1"/>
          <w:color w:val="auto"/>
        </w:rPr>
      </w:pPr>
    </w:p>
    <w:p>
      <w:pPr>
        <w:jc w:val="both"/>
        <w:ind w:left="560" w:right="119" w:hanging="219"/>
        <w:spacing w:after="0" w:line="238" w:lineRule="auto"/>
        <w:tabs>
          <w:tab w:leader="none" w:pos="572" w:val="left"/>
        </w:tabs>
        <w:numPr>
          <w:ilvl w:val="0"/>
          <w:numId w:val="35"/>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High Throughput. </w:t>
      </w:r>
      <w:r>
        <w:rPr>
          <w:rFonts w:ascii="Arial" w:cs="Arial" w:eastAsia="Arial" w:hAnsi="Arial"/>
          <w:sz w:val="18"/>
          <w:szCs w:val="18"/>
          <w:color w:val="auto"/>
        </w:rPr>
        <w:t>Our high throughput systems, which consist of our Avalanche family of systems, Storm II and</w:t>
      </w:r>
      <w:r>
        <w:rPr>
          <w:rFonts w:ascii="Arial" w:cs="Arial" w:eastAsia="Arial" w:hAnsi="Arial"/>
          <w:sz w:val="18"/>
          <w:szCs w:val="18"/>
          <w:i w:val="1"/>
          <w:iCs w:val="1"/>
          <w:color w:val="auto"/>
        </w:rPr>
        <w:t xml:space="preserve"> </w:t>
      </w:r>
      <w:r>
        <w:rPr>
          <w:rFonts w:ascii="Arial" w:cs="Arial" w:eastAsia="Arial" w:hAnsi="Arial"/>
          <w:sz w:val="18"/>
          <w:szCs w:val="18"/>
          <w:color w:val="auto"/>
        </w:rPr>
        <w:t>Paradigm II, offer high throughput printing capabilities and are designed for customers who conduct large scale printing of small runs of a variety of images and designs.</w:t>
      </w:r>
    </w:p>
    <w:p>
      <w:pPr>
        <w:spacing w:after="0" w:line="203"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jc w:val="both"/>
        <w:ind w:left="120" w:right="399" w:firstLine="216"/>
        <w:spacing w:after="0" w:line="264"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630 DPI:</w:t>
      </w:r>
    </w:p>
    <w:p>
      <w:pPr>
        <w:spacing w:after="0" w:line="222"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Target</w:t>
            </w:r>
          </w:p>
        </w:tc>
        <w:tc>
          <w:tcPr>
            <w:tcW w:w="1560" w:type="dxa"/>
            <w:vAlign w:val="bottom"/>
            <w:gridSpan w:val="2"/>
          </w:tcPr>
          <w:p>
            <w:pPr>
              <w:ind w:left="500"/>
              <w:spacing w:after="0"/>
              <w:rPr>
                <w:sz w:val="20"/>
                <w:szCs w:val="20"/>
                <w:color w:val="auto"/>
              </w:rPr>
            </w:pPr>
            <w:r>
              <w:rPr>
                <w:rFonts w:ascii="Arial" w:cs="Arial" w:eastAsia="Arial" w:hAnsi="Arial"/>
                <w:sz w:val="16"/>
                <w:szCs w:val="16"/>
                <w:b w:val="1"/>
                <w:bCs w:val="1"/>
                <w:color w:val="auto"/>
              </w:rPr>
              <w:t>Max.</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ind w:left="260"/>
              <w:spacing w:after="0"/>
              <w:rPr>
                <w:sz w:val="20"/>
                <w:szCs w:val="20"/>
                <w:color w:val="auto"/>
              </w:rPr>
            </w:pPr>
            <w:r>
              <w:rPr>
                <w:rFonts w:ascii="Arial" w:cs="Arial" w:eastAsia="Arial" w:hAnsi="Arial"/>
                <w:sz w:val="16"/>
                <w:szCs w:val="16"/>
                <w:b w:val="1"/>
                <w:bCs w:val="1"/>
                <w:color w:val="auto"/>
              </w:rPr>
              <w:t>Max. Printing</w:t>
            </w:r>
          </w:p>
        </w:tc>
        <w:tc>
          <w:tcPr>
            <w:tcW w:w="0" w:type="dxa"/>
            <w:vAlign w:val="bottom"/>
          </w:tcPr>
          <w:p>
            <w:pPr>
              <w:spacing w:after="0"/>
              <w:rPr>
                <w:sz w:val="1"/>
                <w:szCs w:val="1"/>
                <w:color w:val="auto"/>
              </w:rPr>
            </w:pPr>
          </w:p>
        </w:tc>
      </w:tr>
      <w:tr>
        <w:trPr>
          <w:trHeight w:val="216"/>
        </w:trPr>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System</w:t>
            </w: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Customer</w:t>
            </w: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rPr>
              <w:t>Throughput</w:t>
            </w:r>
          </w:p>
        </w:tc>
        <w:tc>
          <w:tcPr>
            <w:tcW w:w="2540" w:type="dxa"/>
            <w:vAlign w:val="bottom"/>
            <w:gridSpan w:val="2"/>
          </w:tcPr>
          <w:p>
            <w:pPr>
              <w:ind w:left="960"/>
              <w:spacing w:after="0"/>
              <w:rPr>
                <w:sz w:val="20"/>
                <w:szCs w:val="20"/>
                <w:color w:val="auto"/>
              </w:rPr>
            </w:pPr>
            <w:r>
              <w:rPr>
                <w:rFonts w:ascii="Arial" w:cs="Arial" w:eastAsia="Arial" w:hAnsi="Arial"/>
                <w:sz w:val="16"/>
                <w:szCs w:val="16"/>
                <w:b w:val="1"/>
                <w:bCs w:val="1"/>
                <w:color w:val="auto"/>
              </w:rPr>
              <w:t>Colors</w:t>
            </w:r>
          </w:p>
        </w:tc>
        <w:tc>
          <w:tcPr>
            <w:tcW w:w="1500" w:type="dxa"/>
            <w:vAlign w:val="bottom"/>
          </w:tcPr>
          <w:p>
            <w:pPr>
              <w:ind w:left="580"/>
              <w:spacing w:after="0"/>
              <w:rPr>
                <w:sz w:val="20"/>
                <w:szCs w:val="20"/>
                <w:color w:val="auto"/>
              </w:rPr>
            </w:pPr>
            <w:r>
              <w:rPr>
                <w:rFonts w:ascii="Arial" w:cs="Arial" w:eastAsia="Arial" w:hAnsi="Arial"/>
                <w:sz w:val="16"/>
                <w:szCs w:val="16"/>
                <w:b w:val="1"/>
                <w:bCs w:val="1"/>
                <w:color w:val="auto"/>
              </w:rPr>
              <w:t>Area</w:t>
            </w:r>
          </w:p>
        </w:tc>
        <w:tc>
          <w:tcPr>
            <w:tcW w:w="0" w:type="dxa"/>
            <w:vAlign w:val="bottom"/>
          </w:tcPr>
          <w:p>
            <w:pPr>
              <w:spacing w:after="0"/>
              <w:rPr>
                <w:sz w:val="1"/>
                <w:szCs w:val="1"/>
                <w:color w:val="auto"/>
              </w:rPr>
            </w:pPr>
          </w:p>
        </w:tc>
      </w:tr>
      <w:tr>
        <w:trPr>
          <w:trHeight w:val="60"/>
        </w:trPr>
        <w:tc>
          <w:tcPr>
            <w:tcW w:w="14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Breeze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40/hour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324"/>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Thunder</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Entry Level</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80/hour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14 x 18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Storm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150/hour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20 x 28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1000</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300/hour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 Hexa</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250/hour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CMYKRG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83"/>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Avalanche DC</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 + Discharge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257"/>
        </w:trPr>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Pro</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ink</w:t>
            </w: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Avalanche</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 + White</w:t>
            </w:r>
          </w:p>
        </w:tc>
        <w:tc>
          <w:tcPr>
            <w:tcW w:w="1500" w:type="dxa"/>
            <w:vAlign w:val="bottom"/>
          </w:tcPr>
          <w:p>
            <w:pPr>
              <w:ind w:left="60"/>
              <w:spacing w:after="0"/>
              <w:rPr>
                <w:sz w:val="20"/>
                <w:szCs w:val="20"/>
                <w:color w:val="auto"/>
              </w:rPr>
            </w:pPr>
            <w:r>
              <w:rPr>
                <w:rFonts w:ascii="Arial" w:cs="Arial" w:eastAsia="Arial" w:hAnsi="Arial"/>
                <w:sz w:val="18"/>
                <w:szCs w:val="18"/>
                <w:color w:val="auto"/>
              </w:rPr>
              <w:t>23.5 x 35 in</w:t>
            </w:r>
          </w:p>
        </w:tc>
        <w:tc>
          <w:tcPr>
            <w:tcW w:w="0" w:type="dxa"/>
            <w:vAlign w:val="bottom"/>
          </w:tcPr>
          <w:p>
            <w:pPr>
              <w:spacing w:after="0"/>
              <w:rPr>
                <w:sz w:val="1"/>
                <w:szCs w:val="1"/>
                <w:color w:val="auto"/>
              </w:rPr>
            </w:pPr>
          </w:p>
        </w:tc>
      </w:tr>
      <w:tr>
        <w:trPr>
          <w:trHeight w:val="310"/>
        </w:trPr>
        <w:tc>
          <w:tcPr>
            <w:tcW w:w="15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Paradigm II</w:t>
            </w: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High</w:t>
            </w: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80" w:type="dxa"/>
            <w:vAlign w:val="bottom"/>
            <w:gridSpan w:val="2"/>
            <w:vMerge w:val="continue"/>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Arial" w:cs="Arial" w:eastAsia="Arial" w:hAnsi="Arial"/>
                <w:sz w:val="18"/>
                <w:szCs w:val="18"/>
                <w:color w:val="auto"/>
              </w:rPr>
              <w:t>Throughput</w:t>
            </w:r>
          </w:p>
        </w:tc>
        <w:tc>
          <w:tcPr>
            <w:tcW w:w="1560" w:type="dxa"/>
            <w:vAlign w:val="bottom"/>
            <w:gridSpan w:val="2"/>
          </w:tcPr>
          <w:p>
            <w:pPr>
              <w:ind w:left="40"/>
              <w:spacing w:after="0"/>
              <w:rPr>
                <w:sz w:val="20"/>
                <w:szCs w:val="20"/>
                <w:color w:val="auto"/>
              </w:rPr>
            </w:pPr>
            <w:r>
              <w:rPr>
                <w:rFonts w:ascii="Arial" w:cs="Arial" w:eastAsia="Arial" w:hAnsi="Arial"/>
                <w:sz w:val="18"/>
                <w:szCs w:val="18"/>
                <w:color w:val="auto"/>
              </w:rPr>
              <w:t>200/hour</w:t>
            </w:r>
          </w:p>
        </w:tc>
        <w:tc>
          <w:tcPr>
            <w:tcW w:w="2540" w:type="dxa"/>
            <w:vAlign w:val="bottom"/>
            <w:gridSpan w:val="2"/>
          </w:tcPr>
          <w:p>
            <w:pPr>
              <w:ind w:left="60"/>
              <w:spacing w:after="0"/>
              <w:rPr>
                <w:sz w:val="20"/>
                <w:szCs w:val="20"/>
                <w:color w:val="auto"/>
              </w:rPr>
            </w:pPr>
            <w:r>
              <w:rPr>
                <w:rFonts w:ascii="Arial" w:cs="Arial" w:eastAsia="Arial" w:hAnsi="Arial"/>
                <w:sz w:val="18"/>
                <w:szCs w:val="18"/>
                <w:color w:val="auto"/>
              </w:rPr>
              <w:t>CMYK</w:t>
            </w:r>
          </w:p>
        </w:tc>
        <w:tc>
          <w:tcPr>
            <w:tcW w:w="1500" w:type="dxa"/>
            <w:vAlign w:val="bottom"/>
          </w:tcPr>
          <w:p>
            <w:pPr>
              <w:ind w:left="60"/>
              <w:spacing w:after="0"/>
              <w:rPr>
                <w:sz w:val="20"/>
                <w:szCs w:val="20"/>
                <w:color w:val="auto"/>
              </w:rPr>
            </w:pPr>
            <w:r>
              <w:rPr>
                <w:rFonts w:ascii="Arial" w:cs="Arial" w:eastAsia="Arial" w:hAnsi="Arial"/>
                <w:sz w:val="18"/>
                <w:szCs w:val="18"/>
                <w:color w:val="auto"/>
              </w:rPr>
              <w:t>15.5 x 19.5 in</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Systems under Development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systems under development consist of a R2R system, the Allegro, and a DTG system, the Vulcan.</w:t>
      </w:r>
    </w:p>
    <w:p>
      <w:pPr>
        <w:spacing w:after="0" w:line="239" w:lineRule="exact"/>
        <w:rPr>
          <w:sz w:val="20"/>
          <w:szCs w:val="20"/>
          <w:color w:val="auto"/>
        </w:rPr>
      </w:pPr>
    </w:p>
    <w:p>
      <w:pPr>
        <w:ind w:left="560" w:right="159" w:hanging="219"/>
        <w:spacing w:after="0" w:line="238" w:lineRule="auto"/>
        <w:tabs>
          <w:tab w:leader="none" w:pos="572" w:val="left"/>
        </w:tabs>
        <w:numPr>
          <w:ilvl w:val="0"/>
          <w:numId w:val="36"/>
        </w:numPr>
        <w:rPr>
          <w:rFonts w:ascii="Arial" w:cs="Arial" w:eastAsia="Arial" w:hAnsi="Arial"/>
          <w:sz w:val="22"/>
          <w:szCs w:val="22"/>
          <w:i w:val="1"/>
          <w:iCs w:val="1"/>
          <w:color w:val="auto"/>
        </w:rPr>
      </w:pPr>
      <w:r>
        <w:rPr>
          <w:rFonts w:ascii="Arial" w:cs="Arial" w:eastAsia="Arial" w:hAnsi="Arial"/>
          <w:sz w:val="18"/>
          <w:szCs w:val="18"/>
          <w:i w:val="1"/>
          <w:iCs w:val="1"/>
          <w:color w:val="auto"/>
        </w:rPr>
        <w:t>Allegro</w:t>
      </w:r>
      <w:r>
        <w:rPr>
          <w:rFonts w:ascii="Arial" w:cs="Arial" w:eastAsia="Arial" w:hAnsi="Arial"/>
          <w:sz w:val="18"/>
          <w:szCs w:val="18"/>
          <w:color w:val="auto"/>
        </w:rPr>
        <w:t>. Our Allegro system is the first R2R printing system to allow for one-step R2R printing, while most</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R2R printers require six steps. The Allegro is in beta testing at three customer sites and we are targeting its commercial</w:t>
      </w:r>
    </w:p>
    <w:p>
      <w:pPr>
        <w:sectPr>
          <w:pgSz w:w="11900" w:h="16838" w:orient="portrait"/>
          <w:cols w:equalWidth="0" w:num="1">
            <w:col w:w="9019"/>
          </w:cols>
          <w:pgMar w:left="1440" w:top="341"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62" w:name="page63"/>
    <w:bookmarkEnd w:id="62"/>
    <w:p>
      <w:pPr>
        <w:ind w:left="560" w:right="139"/>
        <w:spacing w:after="0" w:line="257" w:lineRule="auto"/>
        <w:rPr>
          <w:sz w:val="20"/>
          <w:szCs w:val="20"/>
          <w:color w:val="auto"/>
        </w:rPr>
      </w:pPr>
      <w:r>
        <w:rPr>
          <w:rFonts w:ascii="Arial" w:cs="Arial" w:eastAsia="Arial" w:hAnsi="Arial"/>
          <w:sz w:val="18"/>
          <w:szCs w:val="18"/>
          <w:color w:val="auto"/>
        </w:rPr>
        <w:t>launch within the next 18 months.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w:t>
      </w:r>
    </w:p>
    <w:p>
      <w:pPr>
        <w:spacing w:after="0" w:line="202" w:lineRule="exact"/>
        <w:rPr>
          <w:sz w:val="20"/>
          <w:szCs w:val="20"/>
          <w:color w:val="auto"/>
        </w:rPr>
      </w:pPr>
    </w:p>
    <w:p>
      <w:pPr>
        <w:jc w:val="both"/>
        <w:ind w:left="560" w:right="119" w:hanging="219"/>
        <w:spacing w:after="0" w:line="262" w:lineRule="auto"/>
        <w:tabs>
          <w:tab w:leader="none" w:pos="613" w:val="left"/>
        </w:tabs>
        <w:numPr>
          <w:ilvl w:val="0"/>
          <w:numId w:val="37"/>
        </w:numPr>
        <w:rPr>
          <w:rFonts w:ascii="Arial" w:cs="Arial" w:eastAsia="Arial" w:hAnsi="Arial"/>
          <w:sz w:val="21"/>
          <w:szCs w:val="21"/>
          <w:i w:val="1"/>
          <w:iCs w:val="1"/>
          <w:color w:val="auto"/>
        </w:rPr>
      </w:pPr>
      <w:r>
        <w:rPr>
          <w:rFonts w:ascii="Arial" w:cs="Arial" w:eastAsia="Arial" w:hAnsi="Arial"/>
          <w:sz w:val="17"/>
          <w:szCs w:val="17"/>
          <w:i w:val="1"/>
          <w:iCs w:val="1"/>
          <w:color w:val="auto"/>
        </w:rPr>
        <w:t>Vulcan</w:t>
      </w:r>
      <w:r>
        <w:rPr>
          <w:rFonts w:ascii="Arial" w:cs="Arial" w:eastAsia="Arial" w:hAnsi="Arial"/>
          <w:sz w:val="17"/>
          <w:szCs w:val="17"/>
          <w:color w:val="auto"/>
        </w:rPr>
        <w:t>. Our Vulcan system is targeted at producing a high number of small runs and is designed to replace or</w:t>
      </w:r>
      <w:r>
        <w:rPr>
          <w:rFonts w:ascii="Arial" w:cs="Arial" w:eastAsia="Arial" w:hAnsi="Arial"/>
          <w:sz w:val="17"/>
          <w:szCs w:val="17"/>
          <w:i w:val="1"/>
          <w:iCs w:val="1"/>
          <w:color w:val="auto"/>
        </w:rPr>
        <w:t xml:space="preserve"> </w:t>
      </w:r>
      <w:r>
        <w:rPr>
          <w:rFonts w:ascii="Arial" w:cs="Arial" w:eastAsia="Arial" w:hAnsi="Arial"/>
          <w:sz w:val="17"/>
          <w:szCs w:val="17"/>
          <w:color w:val="auto"/>
        </w:rPr>
        <w:t>complement analog carousel printing. We expect to begin beta testing of the Vulcan at customer sites in 2015 and are targeting its commercial launch within the next 24 months.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ind w:left="120" w:right="159" w:firstLine="216"/>
        <w:spacing w:after="0" w:line="254"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We are also investing in the development of new ink formulas for our new systems and in order to expand the range of fabrics on which we can print and further improve the quality of our high resolution images and designs.</w:t>
      </w:r>
    </w:p>
    <w:p>
      <w:pPr>
        <w:spacing w:after="0" w:line="192"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Integrated Software</w:t>
      </w:r>
    </w:p>
    <w:p>
      <w:pPr>
        <w:spacing w:after="0" w:line="229"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All of our systems arrive with our QuickP Production software installed. QuickP Production is a basic interface that allows users to control key operating parameters of our systems, such as ink dots per inch, or DPI, and import image files created using other Ruster Image Processing, or RIP, software. Almost all of our customers also purchase our QuickP Designer software. QuickP Designer is a software package that combines our own internally developed RIP software with other print job management capabilities and allows greater control over the image design process than QuickP Production, such as the ability to resize and reposition images and improve image quality. A single QuickP Designer license can be used to support multiple Kornit systems. We also offer our QuickP Plus 2.0 software suite, which provides customers with a full workflow solution from acceptance of online orders through production via our web application server. QuickP Plus 2.0 is at an early stage of adoption by customers and is currently installed at a few of our customer sites.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Our services consist of maintenance and support, and professional services. We are seeking to increase the number of customers that rely on us to provide services for their systems by expanding our service capabilities.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225" w:lineRule="exact"/>
        <w:rPr>
          <w:sz w:val="20"/>
          <w:szCs w:val="20"/>
          <w:color w:val="auto"/>
        </w:rPr>
      </w:pPr>
    </w:p>
    <w:p>
      <w:pPr>
        <w:ind w:left="120" w:right="219" w:firstLine="216"/>
        <w:spacing w:after="0" w:line="257" w:lineRule="auto"/>
        <w:rPr>
          <w:sz w:val="20"/>
          <w:szCs w:val="20"/>
          <w:color w:val="auto"/>
        </w:rPr>
      </w:pPr>
      <w:r>
        <w:rPr>
          <w:rFonts w:ascii="Arial" w:cs="Arial" w:eastAsia="Arial" w:hAnsi="Arial"/>
          <w:sz w:val="18"/>
          <w:szCs w:val="18"/>
          <w:color w:val="auto"/>
        </w:rPr>
        <w:t>Our systems include a one-year warranty,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In the United States, we provide maintenance and support</w:t>
      </w:r>
    </w:p>
    <w:p>
      <w:pPr>
        <w:sectPr>
          <w:pgSz w:w="11900" w:h="16838" w:orient="portrait"/>
          <w:cols w:equalWidth="0" w:num="1">
            <w:col w:w="9019"/>
          </w:cols>
          <w:pgMar w:left="1440" w:top="12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63" w:name="page64"/>
    <w:bookmarkEnd w:id="63"/>
    <w:p>
      <w:pPr>
        <w:ind w:left="120" w:right="559"/>
        <w:spacing w:after="0" w:line="264" w:lineRule="auto"/>
        <w:rPr>
          <w:sz w:val="20"/>
          <w:szCs w:val="20"/>
          <w:color w:val="auto"/>
        </w:rPr>
      </w:pPr>
      <w:r>
        <w:rPr>
          <w:rFonts w:ascii="Arial" w:cs="Arial" w:eastAsia="Arial" w:hAnsi="Arial"/>
          <w:sz w:val="18"/>
          <w:szCs w:val="18"/>
          <w:color w:val="auto"/>
        </w:rPr>
        <w:t>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Our diverse global customer base consisted of more than 800 customers as of September 30, 2014. Our customers include custom decorators, online businesses, brand owners and contract printers.</w:t>
      </w:r>
    </w:p>
    <w:p>
      <w:pPr>
        <w:spacing w:after="0" w:line="184" w:lineRule="exact"/>
        <w:rPr>
          <w:sz w:val="20"/>
          <w:szCs w:val="20"/>
          <w:color w:val="auto"/>
        </w:rPr>
      </w:pPr>
    </w:p>
    <w:p>
      <w:pPr>
        <w:ind w:left="560" w:right="119" w:hanging="219"/>
        <w:spacing w:after="0" w:line="241" w:lineRule="auto"/>
        <w:tabs>
          <w:tab w:leader="none" w:pos="572"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 xml:space="preserve">Custom Decorators. </w:t>
      </w:r>
      <w:r>
        <w:rPr>
          <w:rFonts w:ascii="Arial" w:cs="Arial" w:eastAsia="Arial" w:hAnsi="Arial"/>
          <w:sz w:val="18"/>
          <w:szCs w:val="18"/>
          <w:color w:val="auto"/>
        </w:rPr>
        <w:t>Our custom decorator customers produce and sell decorated garments, mostly t-shirts. Our</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allow custom decorators to produce short to medium runs of high-quality customized garments quickly and efficiently, which enables them to increase average selling prices and margins compared to their screen printed garments.</w:t>
      </w:r>
    </w:p>
    <w:p>
      <w:pPr>
        <w:spacing w:after="0" w:line="216" w:lineRule="exact"/>
        <w:rPr>
          <w:rFonts w:ascii="Arial" w:cs="Arial" w:eastAsia="Arial" w:hAnsi="Arial"/>
          <w:sz w:val="22"/>
          <w:szCs w:val="22"/>
          <w:i w:val="1"/>
          <w:iCs w:val="1"/>
          <w:color w:val="auto"/>
        </w:rPr>
      </w:pPr>
    </w:p>
    <w:p>
      <w:pPr>
        <w:ind w:left="560" w:right="159" w:hanging="219"/>
        <w:spacing w:after="0" w:line="262" w:lineRule="auto"/>
        <w:tabs>
          <w:tab w:leader="none" w:pos="572" w:val="left"/>
        </w:tabs>
        <w:numPr>
          <w:ilvl w:val="0"/>
          <w:numId w:val="38"/>
        </w:numPr>
        <w:rPr>
          <w:rFonts w:ascii="Arial" w:cs="Arial" w:eastAsia="Arial" w:hAnsi="Arial"/>
          <w:sz w:val="21"/>
          <w:szCs w:val="21"/>
          <w:i w:val="1"/>
          <w:iCs w:val="1"/>
          <w:color w:val="auto"/>
        </w:rPr>
      </w:pPr>
      <w:r>
        <w:rPr>
          <w:rFonts w:ascii="Arial" w:cs="Arial" w:eastAsia="Arial" w:hAnsi="Arial"/>
          <w:sz w:val="17"/>
          <w:szCs w:val="17"/>
          <w:i w:val="1"/>
          <w:iCs w:val="1"/>
          <w:color w:val="auto"/>
        </w:rPr>
        <w:t>Online Businesses</w:t>
      </w:r>
      <w:r>
        <w:rPr>
          <w:rFonts w:ascii="Arial" w:cs="Arial" w:eastAsia="Arial" w:hAnsi="Arial"/>
          <w:sz w:val="17"/>
          <w:szCs w:val="17"/>
          <w:color w:val="auto"/>
        </w:rPr>
        <w:t>. The business model of our online business customers is based on “produce to order”</w:t>
      </w:r>
      <w:r>
        <w:rPr>
          <w:rFonts w:ascii="Arial" w:cs="Arial" w:eastAsia="Arial" w:hAnsi="Arial"/>
          <w:sz w:val="17"/>
          <w:szCs w:val="17"/>
          <w:i w:val="1"/>
          <w:iCs w:val="1"/>
          <w:color w:val="auto"/>
        </w:rPr>
        <w:t xml:space="preserve"> </w:t>
      </w:r>
      <w:r>
        <w:rPr>
          <w:rFonts w:ascii="Arial" w:cs="Arial" w:eastAsia="Arial" w:hAnsi="Arial"/>
          <w:sz w:val="17"/>
          <w:szCs w:val="17"/>
          <w:color w:val="auto"/>
        </w:rPr>
        <w:t>garments, often in quantities of one, at high average selling prices and significant margins. Since the online customized apparel business is growing quickly, most of our online business customers serve more than one website and have multiple systems on their production floors. Some of these customers look to us to link them with other users of our systems around the world, to cater to their own global customer base, enabling them to shorten delivery times for the orders they process through their websites. Our systems’ one-step printing process allows these customers to produce customized garments with short setup time.</w:t>
      </w:r>
    </w:p>
    <w:p>
      <w:pPr>
        <w:spacing w:after="0" w:line="198" w:lineRule="exact"/>
        <w:rPr>
          <w:rFonts w:ascii="Arial" w:cs="Arial" w:eastAsia="Arial" w:hAnsi="Arial"/>
          <w:sz w:val="21"/>
          <w:szCs w:val="21"/>
          <w:i w:val="1"/>
          <w:iCs w:val="1"/>
          <w:color w:val="auto"/>
        </w:rPr>
      </w:pPr>
    </w:p>
    <w:p>
      <w:pPr>
        <w:ind w:left="560" w:right="179" w:hanging="219"/>
        <w:spacing w:after="0" w:line="284" w:lineRule="auto"/>
        <w:tabs>
          <w:tab w:leader="none" w:pos="572" w:val="left"/>
        </w:tabs>
        <w:numPr>
          <w:ilvl w:val="0"/>
          <w:numId w:val="38"/>
        </w:numPr>
        <w:rPr>
          <w:rFonts w:ascii="Arial" w:cs="Arial" w:eastAsia="Arial" w:hAnsi="Arial"/>
          <w:sz w:val="19"/>
          <w:szCs w:val="19"/>
          <w:i w:val="1"/>
          <w:iCs w:val="1"/>
          <w:color w:val="auto"/>
        </w:rPr>
      </w:pPr>
      <w:r>
        <w:rPr>
          <w:rFonts w:ascii="Arial" w:cs="Arial" w:eastAsia="Arial" w:hAnsi="Arial"/>
          <w:sz w:val="16"/>
          <w:szCs w:val="16"/>
          <w:i w:val="1"/>
          <w:iCs w:val="1"/>
          <w:color w:val="auto"/>
        </w:rPr>
        <w:t>Brand owners</w:t>
      </w:r>
      <w:r>
        <w:rPr>
          <w:rFonts w:ascii="Arial" w:cs="Arial" w:eastAsia="Arial" w:hAnsi="Arial"/>
          <w:sz w:val="16"/>
          <w:szCs w:val="16"/>
          <w:color w:val="auto"/>
        </w:rPr>
        <w:t>. Most brand owners use contract printers to produce their garments. Our systems offer an</w:t>
      </w:r>
      <w:r>
        <w:rPr>
          <w:rFonts w:ascii="Arial" w:cs="Arial" w:eastAsia="Arial" w:hAnsi="Arial"/>
          <w:sz w:val="16"/>
          <w:szCs w:val="16"/>
          <w:i w:val="1"/>
          <w:iCs w:val="1"/>
          <w:color w:val="auto"/>
        </w:rPr>
        <w:t xml:space="preserve"> </w:t>
      </w:r>
      <w:r>
        <w:rPr>
          <w:rFonts w:ascii="Arial" w:cs="Arial" w:eastAsia="Arial" w:hAnsi="Arial"/>
          <w:sz w:val="16"/>
          <w:szCs w:val="16"/>
          <w:color w:val="auto"/>
        </w:rPr>
        <w:t>alternative to outsourcing in cases where brand owners prefer to handle their production needs in house. Several brand owners that own full or partial production capacity are adopting digital textile printing technology to achieve innovation in design, greater customization and shorter lead times to market, which our systems facilitate.</w:t>
      </w:r>
    </w:p>
    <w:p>
      <w:pPr>
        <w:spacing w:after="0" w:line="182" w:lineRule="exact"/>
        <w:rPr>
          <w:rFonts w:ascii="Arial" w:cs="Arial" w:eastAsia="Arial" w:hAnsi="Arial"/>
          <w:sz w:val="19"/>
          <w:szCs w:val="19"/>
          <w:i w:val="1"/>
          <w:iCs w:val="1"/>
          <w:color w:val="auto"/>
        </w:rPr>
      </w:pPr>
    </w:p>
    <w:p>
      <w:pPr>
        <w:jc w:val="both"/>
        <w:ind w:left="560" w:right="119" w:hanging="219"/>
        <w:spacing w:after="0" w:line="245" w:lineRule="auto"/>
        <w:tabs>
          <w:tab w:leader="none" w:pos="572" w:val="left"/>
        </w:tabs>
        <w:numPr>
          <w:ilvl w:val="0"/>
          <w:numId w:val="38"/>
        </w:numPr>
        <w:rPr>
          <w:rFonts w:ascii="Arial" w:cs="Arial" w:eastAsia="Arial" w:hAnsi="Arial"/>
          <w:sz w:val="22"/>
          <w:szCs w:val="22"/>
          <w:i w:val="1"/>
          <w:iCs w:val="1"/>
          <w:color w:val="auto"/>
        </w:rPr>
      </w:pPr>
      <w:r>
        <w:rPr>
          <w:rFonts w:ascii="Arial" w:cs="Arial" w:eastAsia="Arial" w:hAnsi="Arial"/>
          <w:sz w:val="18"/>
          <w:szCs w:val="18"/>
          <w:i w:val="1"/>
          <w:iCs w:val="1"/>
          <w:color w:val="auto"/>
        </w:rPr>
        <w:t>Contract Printers</w:t>
      </w:r>
      <w:r>
        <w:rPr>
          <w:rFonts w:ascii="Arial" w:cs="Arial" w:eastAsia="Arial" w:hAnsi="Arial"/>
          <w:sz w:val="18"/>
          <w:szCs w:val="18"/>
          <w:color w:val="auto"/>
        </w:rPr>
        <w:t>. Contract printers are high volume producers that are seeking industrial scale and cost-effective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printing solutions. They provide printing services to brand owners and high-end garment manufacturers and primarily use analog printing technologies. Our contract printer customers typically purchase our Avalanche family of products for high productivity as well as our Paradigm II DTG system, which allows them to combine complex images and designs with multiple embellishment effects, such as glitter, silicon, gel and burnout, into their ordinary screen printed textiles.</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ind w:left="120" w:right="179" w:firstLine="216"/>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sell the majority of our solutions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September 30, 2014, our global network of channel partners consisted of approximately 50 independent distributors and resellers. Sales by our distributors accounted for approximately 72% of our revenues during the nine months ended September 30, 2014 and approximately 63% in 2013. In addition to working closely with our channel partners, our direct sales force engages in direct sales in certain geographies, and also with our largest customers, irrespective of their location.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4" w:name="page65"/>
    <w:bookmarkEnd w:id="64"/>
    <w:p>
      <w:pPr>
        <w:ind w:left="120" w:right="159" w:firstLine="216"/>
        <w:spacing w:after="0" w:line="287" w:lineRule="auto"/>
        <w:rPr>
          <w:sz w:val="20"/>
          <w:szCs w:val="20"/>
          <w:color w:val="auto"/>
        </w:rPr>
      </w:pPr>
      <w:r>
        <w:rPr>
          <w:rFonts w:ascii="Arial" w:cs="Arial" w:eastAsia="Arial" w:hAnsi="Arial"/>
          <w:sz w:val="16"/>
          <w:szCs w:val="16"/>
          <w:color w:val="auto"/>
        </w:rPr>
        <w:t>The substantial majority of our sales in North America are performed through independent distributors. Hirsch International Corporation and SPSI, Inc. were our top two independent distributors by revenues in 2013 and during the nine months ended September 30, 2014, accounting for 20% and 24% of our revenues in each such period in the case of Hirsch, and 13% and 16% of our revenues in each such period in the case of SPSI, respectively. We entered into distributor agreements with Hirsch and SPSI, dated April 1, 2014, each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as well as five Canadian provinces. Our agreement with SPSI is a non-exclusive distribution contract across the United States, including 20 states mainly in the Midwest, Northwest, and Southwest regions. For both distributors, we maintain projected sales plans for a number of different print systems on a yearly basis and there is a minimum yearly sales requirement for systems and ink and other consumables.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82" w:lineRule="exact"/>
        <w:rPr>
          <w:sz w:val="20"/>
          <w:szCs w:val="20"/>
          <w:color w:val="auto"/>
        </w:rPr>
      </w:pPr>
    </w:p>
    <w:p>
      <w:pPr>
        <w:ind w:left="120" w:right="239" w:firstLine="216"/>
        <w:spacing w:after="0" w:line="271"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majority of our systems are assembled by ITS Industrial Techno Logic Solutions Ltd., or ITS, at its facilities in Kfar Saba, Israel. A portion of our systems are assembled by IFAT Technologies Ltd., or Ifat, at its facilities in Rehovot, Israel. Aside from our print heads, we source most of the components of our systems directly, which we believe allows us to manage our material costs and take advantage of the overall volume of systems manufactured at both facilities without the overhead of having in house manufacturing.</w:t>
      </w:r>
    </w:p>
    <w:p>
      <w:pPr>
        <w:spacing w:after="0" w:line="188"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Prices are set forth in the agreement and are determined separately with respect to the printers, services and raw materials.</w:t>
      </w:r>
    </w:p>
    <w:p>
      <w:pPr>
        <w:spacing w:after="0" w:line="178" w:lineRule="exact"/>
        <w:rPr>
          <w:sz w:val="20"/>
          <w:szCs w:val="20"/>
          <w:color w:val="auto"/>
        </w:rPr>
      </w:pPr>
    </w:p>
    <w:p>
      <w:pPr>
        <w:ind w:left="120" w:right="399" w:firstLine="216"/>
        <w:spacing w:after="0" w:line="277" w:lineRule="auto"/>
        <w:rPr>
          <w:sz w:val="20"/>
          <w:szCs w:val="20"/>
          <w:color w:val="auto"/>
        </w:rPr>
      </w:pPr>
      <w:r>
        <w:rPr>
          <w:rFonts w:ascii="Arial" w:cs="Arial" w:eastAsia="Arial" w:hAnsi="Arial"/>
          <w:sz w:val="18"/>
          <w:szCs w:val="18"/>
          <w:color w:val="auto"/>
        </w:rPr>
        <w:t>Ifat manufactures some of our Avalanche systems and our Breeze, Thunder and Paradigm II systems on a purchase order basis in accordance with our bill of materials, drawings and designs.</w:t>
      </w:r>
    </w:p>
    <w:p>
      <w:pPr>
        <w:spacing w:after="0" w:line="170" w:lineRule="exact"/>
        <w:rPr>
          <w:sz w:val="20"/>
          <w:szCs w:val="20"/>
          <w:color w:val="auto"/>
        </w:rPr>
      </w:pPr>
    </w:p>
    <w:p>
      <w:pPr>
        <w:ind w:left="120" w:right="859" w:firstLine="216"/>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5" w:name="page66"/>
    <w:bookmarkEnd w:id="65"/>
    <w:p>
      <w:pPr>
        <w:ind w:left="120"/>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71"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The print heads for our systems are supplied by a sole supplier, FDMX. We entered into an agreement with FDMX, dated January 6, 2006, as amended, pursuant to which FDMX sells us print heads and additional by-products, including ink.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and other consumables, other than inks and other consumables sold by FDMX, that we sell over a relevant period or, if we do not sell ink and other consumables, a payment based on sales of our systems. The agreement renews automatically for successive one-year periods unless one party notifies the other party that it does not wish to renew the agreement by providing 90 days’ notice prior to the end of the current term, which ends on January 5, 2016. Our agreement further provides that FDMX may, at its option, discontinue products supplied under the agreement, provided that we are given 180 days’ notice of the planned discontinuance and are provided with an end of life purchase program.</w:t>
      </w:r>
    </w:p>
    <w:p>
      <w:pPr>
        <w:spacing w:after="0" w:line="175" w:lineRule="exact"/>
        <w:rPr>
          <w:sz w:val="20"/>
          <w:szCs w:val="20"/>
          <w:color w:val="auto"/>
        </w:rPr>
      </w:pPr>
    </w:p>
    <w:p>
      <w:pPr>
        <w:ind w:left="120" w:right="839" w:firstLine="216"/>
        <w:spacing w:after="0" w:line="277" w:lineRule="auto"/>
        <w:rPr>
          <w:sz w:val="20"/>
          <w:szCs w:val="20"/>
          <w:color w:val="auto"/>
        </w:rPr>
      </w:pPr>
      <w:r>
        <w:rPr>
          <w:rFonts w:ascii="Arial" w:cs="Arial" w:eastAsia="Arial" w:hAnsi="Arial"/>
          <w:sz w:val="18"/>
          <w:szCs w:val="18"/>
          <w:color w:val="auto"/>
        </w:rPr>
        <w:t>The emulsion used in our ink is supplied by BG Bond, a subsidiary of Ashtrom Ltd., a large Israeli industrial company. We currently purchase the emulsion on a purchase order basis.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Factors—If our relationships with suppliers, especially with single source suppliers of components, were to terminate, our business could be harmed.”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Our current research and development efforts are primarily focused on completing the development of our Vulcan DTG printing system, which is positioned to be the first mass customization DTG printer. Our efforts are also focused on the Allegro R2R system, which is currently in beta testing at three customer sites and takes advantage of our patented wet-on-wet printing methodology to allow printing on rolls of textiles of various fabrics, without requiring a separate pre-treatment process or use of textiles that are specifically designed for digital printing. We are also focused on enhancing our current DTG systems with new features and functionality, improving system reliability and uptime and making our systems even more user-friendly, and investing in new chemistry for broadening our span of applications.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7"/>
          <w:szCs w:val="17"/>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66" w:lineRule="exact"/>
        <w:rPr>
          <w:sz w:val="20"/>
          <w:szCs w:val="20"/>
          <w:color w:val="auto"/>
        </w:rPr>
      </w:pPr>
    </w:p>
    <w:p>
      <w:pPr>
        <w:ind w:left="120" w:right="199" w:firstLine="216"/>
        <w:spacing w:after="0" w:line="257" w:lineRule="auto"/>
        <w:rPr>
          <w:sz w:val="20"/>
          <w:szCs w:val="20"/>
          <w:color w:val="auto"/>
        </w:rPr>
      </w:pPr>
      <w:r>
        <w:rPr>
          <w:rFonts w:ascii="Arial" w:cs="Arial" w:eastAsia="Arial" w:hAnsi="Arial"/>
          <w:sz w:val="18"/>
          <w:szCs w:val="18"/>
          <w:color w:val="auto"/>
        </w:rPr>
        <w:t>As of December 1, 2014, we owned seven issued patents in the United States and five provisional or pending U.S. patent applications. We also had 10 patents issued in non-U.S. jurisdictions, and two pending Patent Cooperation Treaty patent applications, which are counterparts of our U.S. patent applications. The non-U.S. jurisdictions in which we have issued patents are China, the European Union, Hong Kong and Japan. The principal granted patents relate to our wet-on-wet printing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6" w:name="page67"/>
    <w:bookmarkEnd w:id="66"/>
    <w:p>
      <w:pPr>
        <w:ind w:left="120" w:right="279"/>
        <w:spacing w:after="0" w:line="277" w:lineRule="auto"/>
        <w:rPr>
          <w:sz w:val="20"/>
          <w:szCs w:val="20"/>
          <w:color w:val="auto"/>
        </w:rPr>
      </w:pPr>
      <w:r>
        <w:rPr>
          <w:rFonts w:ascii="Arial" w:cs="Arial" w:eastAsia="Arial" w:hAnsi="Arial"/>
          <w:sz w:val="18"/>
          <w:szCs w:val="18"/>
          <w:color w:val="auto"/>
        </w:rPr>
        <w:t>methodology, ink formulations, printing processes and related methods and systems, with expiration dates ranging from 2020 to 2035.</w:t>
      </w:r>
    </w:p>
    <w:p>
      <w:pPr>
        <w:spacing w:after="0" w:line="170" w:lineRule="exact"/>
        <w:rPr>
          <w:sz w:val="20"/>
          <w:szCs w:val="20"/>
          <w:color w:val="auto"/>
        </w:rPr>
      </w:pPr>
    </w:p>
    <w:p>
      <w:pPr>
        <w:ind w:left="120" w:right="339" w:firstLine="216"/>
        <w:spacing w:after="0" w:line="257"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8" w:lineRule="exact"/>
        <w:rPr>
          <w:sz w:val="20"/>
          <w:szCs w:val="20"/>
          <w:color w:val="auto"/>
        </w:rPr>
      </w:pPr>
    </w:p>
    <w:p>
      <w:pPr>
        <w:ind w:left="120" w:right="679" w:firstLine="216"/>
        <w:spacing w:after="0" w:line="277" w:lineRule="auto"/>
        <w:rPr>
          <w:sz w:val="20"/>
          <w:szCs w:val="20"/>
          <w:color w:val="auto"/>
        </w:rPr>
      </w:pPr>
      <w:r>
        <w:rPr>
          <w:rFonts w:ascii="Arial" w:cs="Arial" w:eastAsia="Arial" w:hAnsi="Arial"/>
          <w:sz w:val="18"/>
          <w:szCs w:val="18"/>
          <w:color w:val="auto"/>
        </w:rPr>
        <w:t>In addition, we own the registered trademarks “KORNIT” and “NEOPIGMENT” and make use of a number of additional unregistered trademarks.</w:t>
      </w:r>
    </w:p>
    <w:p>
      <w:pPr>
        <w:spacing w:after="0" w:line="170"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and Infrastructure</w:t>
      </w:r>
    </w:p>
    <w:p>
      <w:pPr>
        <w:spacing w:after="0" w:line="229" w:lineRule="exact"/>
        <w:rPr>
          <w:sz w:val="20"/>
          <w:szCs w:val="20"/>
          <w:color w:val="auto"/>
        </w:rPr>
      </w:pPr>
    </w:p>
    <w:p>
      <w:pPr>
        <w:ind w:left="120" w:right="219" w:firstLine="216"/>
        <w:spacing w:after="0" w:line="273" w:lineRule="auto"/>
        <w:rPr>
          <w:sz w:val="20"/>
          <w:szCs w:val="20"/>
          <w:color w:val="auto"/>
        </w:rPr>
      </w:pPr>
      <w:r>
        <w:rPr>
          <w:rFonts w:ascii="Arial" w:cs="Arial" w:eastAsia="Arial" w:hAnsi="Arial"/>
          <w:sz w:val="17"/>
          <w:szCs w:val="17"/>
          <w:color w:val="auto"/>
        </w:rPr>
        <w:t>Our corporate headquarters are located in Rosh-Ha`Ayin, Israel in an office consisting of approximately 40,000 square feet. The lease for this office expires in August 2016. In Israel, we also lease a manufacturing facility in Kiryat Gat, which consists of approximately 15,000 square feet. The lease for the Kiryat Gat manufacturing facility expires on May 30, 2015, and we have an option to lease this facility for an additional three years. Our U.S. offices are located in Mequon. Wisconsin, consisting of approximately 12,000 square feet. The leases for this office expires in June 2018. We maintain additional sales, support and marketing offices in Germany and Hong Kong.</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229" w:lineRule="exact"/>
        <w:rPr>
          <w:sz w:val="20"/>
          <w:szCs w:val="20"/>
          <w:color w:val="auto"/>
        </w:rPr>
      </w:pPr>
    </w:p>
    <w:p>
      <w:pPr>
        <w:ind w:left="120" w:right="279" w:firstLine="216"/>
        <w:spacing w:after="0" w:line="270" w:lineRule="auto"/>
        <w:rPr>
          <w:sz w:val="20"/>
          <w:szCs w:val="20"/>
          <w:color w:val="auto"/>
        </w:rPr>
      </w:pPr>
      <w:r>
        <w:rPr>
          <w:rFonts w:ascii="Arial" w:cs="Arial" w:eastAsia="Arial" w:hAnsi="Arial"/>
          <w:sz w:val="17"/>
          <w:szCs w:val="17"/>
          <w:color w:val="auto"/>
        </w:rPr>
        <w:t>We are subject to environmental, health and safety laws and regulations in a number of jurisdictions, primarily Israel, governing, among other things, the use, storage, registration, handling, emission and disposal of chemicals, waste materials and sewage; chemicals, air, water and ground contamination; air emissions and the cleanup of contaminated sites, including any contamination that results from spills due to our failure to properly dispose of chemicals, waste materials and sewage. In Israel, where we manufacture our ink and other consumables, businesses storing or using certain hazardous materials, including materials necessary for our manufacturing process, are required, pursuant to the Israeli Dangerous Substances Law 5753-1993, to obtain a toxin permit from the Ministry of Environmental Protection. We hold a valid toxin permit for use of chemicals that will remain in effect until October 14, 2016. Our activities also require permits from various governmental authorities including, local municipal authorities, such as planning and zoning authorities, and the Ministry of Health.</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7" w:name="page68"/>
    <w:bookmarkEnd w:id="67"/>
    <w:p>
      <w:pPr>
        <w:ind w:left="120" w:right="219" w:firstLine="216"/>
        <w:spacing w:after="0" w:line="276" w:lineRule="auto"/>
        <w:rPr>
          <w:sz w:val="20"/>
          <w:szCs w:val="20"/>
          <w:color w:val="auto"/>
        </w:rPr>
      </w:pPr>
      <w:r>
        <w:rPr>
          <w:rFonts w:ascii="Arial" w:cs="Arial" w:eastAsia="Arial" w:hAnsi="Arial"/>
          <w:sz w:val="17"/>
          <w:szCs w:val="17"/>
          <w:color w:val="auto"/>
        </w:rPr>
        <w:t>Based on information currently available to us, we do not expect environmental costs and contingencies to have a material adverse effect on our business or operations. To our knowledge, all of our facilities, operations, systems and ink and other consumables comply with the environmental laws, regulations and standards to which they are subject. The operation of our facilities, however, entails risks and significant expenditures could be required in the future to comply with environmental or health and safety laws, regulations or requirements.</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In the European marketplace, electrical and electronic equipment is required to comply with the Directive on Waste Electrical and Electronic Equipment, which aims to prevent waste by encouraging reuse and recycling, and the Directive on Restriction of Use of Certain Hazardous Substances, which restricts the use of six hazardous substances in electrical and electronic products. Our systems and certain components of such systems “put on the market” in the EU (whether or not manufactured in the EU) are subject to these directives. Additionally, we are required to comply with certain laws, regulations and directives, including TSCA in the United States and REACH in the EU, governing chemicals. These and similar laws and regulations require the testing and registration of certain chemicals we use and ship. We continuously monitor changes to these regulations and work to address such developments.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Corporate Structure</w:t>
      </w:r>
    </w:p>
    <w:p>
      <w:pPr>
        <w:spacing w:after="0" w:line="229" w:lineRule="exact"/>
        <w:rPr>
          <w:sz w:val="20"/>
          <w:szCs w:val="20"/>
          <w:color w:val="auto"/>
        </w:rPr>
      </w:pPr>
    </w:p>
    <w:p>
      <w:pPr>
        <w:ind w:left="120" w:right="319" w:firstLine="216"/>
        <w:spacing w:after="0" w:line="277" w:lineRule="auto"/>
        <w:rPr>
          <w:sz w:val="20"/>
          <w:szCs w:val="20"/>
          <w:color w:val="auto"/>
        </w:rPr>
      </w:pPr>
      <w:r>
        <w:rPr>
          <w:rFonts w:ascii="Arial" w:cs="Arial" w:eastAsia="Arial" w:hAnsi="Arial"/>
          <w:sz w:val="18"/>
          <w:szCs w:val="18"/>
          <w:color w:val="auto"/>
        </w:rPr>
        <w:t>Our legal name is Kornit Digital Ltd. We were formed as a company under the laws of the State of Israel on January 16, 2002.</w:t>
      </w:r>
    </w:p>
    <w:p>
      <w:pPr>
        <w:spacing w:after="0" w:line="170"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120" w:right="299" w:firstLine="216"/>
        <w:spacing w:after="0" w:line="264" w:lineRule="auto"/>
        <w:rPr>
          <w:sz w:val="20"/>
          <w:szCs w:val="20"/>
          <w:color w:val="auto"/>
        </w:rPr>
      </w:pPr>
      <w:r>
        <w:rPr>
          <w:rFonts w:ascii="Arial" w:cs="Arial" w:eastAsia="Arial" w:hAnsi="Arial"/>
          <w:sz w:val="18"/>
          <w:szCs w:val="18"/>
          <w:color w:val="auto"/>
        </w:rPr>
        <w:t>As of September 30, 2014, we had 254 employees and subcontractors with 169 located in Israel, 38 in the United States, 23 in Germany and 24 in Hong Kong. The following table shows the breakdown of our workforce of employees and subcontractors by category of activity as of the dates indicated:</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00" w:type="dxa"/>
            <w:vAlign w:val="bottom"/>
            <w:gridSpan w:val="3"/>
          </w:tcPr>
          <w:p>
            <w:pPr>
              <w:ind w:left="60"/>
              <w:spacing w:after="0"/>
              <w:rPr>
                <w:sz w:val="20"/>
                <w:szCs w:val="20"/>
                <w:color w:val="auto"/>
              </w:rPr>
            </w:pPr>
            <w:r>
              <w:rPr>
                <w:rFonts w:ascii="Arial" w:cs="Arial" w:eastAsia="Arial" w:hAnsi="Arial"/>
                <w:sz w:val="16"/>
                <w:szCs w:val="16"/>
                <w:b w:val="1"/>
                <w:bCs w:val="1"/>
                <w:color w:val="auto"/>
                <w:w w:val="95"/>
              </w:rPr>
              <w:t>As of December 31,</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3880" w:type="dxa"/>
            <w:vAlign w:val="bottom"/>
            <w:gridSpan w:val="3"/>
          </w:tcPr>
          <w:p>
            <w:pPr>
              <w:spacing w:after="0"/>
              <w:rPr>
                <w:sz w:val="20"/>
                <w:szCs w:val="20"/>
                <w:color w:val="auto"/>
              </w:rPr>
            </w:pPr>
            <w:r>
              <w:rPr>
                <w:rFonts w:ascii="Arial" w:cs="Arial" w:eastAsia="Arial" w:hAnsi="Arial"/>
                <w:sz w:val="16"/>
                <w:szCs w:val="16"/>
                <w:b w:val="1"/>
                <w:bCs w:val="1"/>
                <w:color w:val="auto"/>
              </w:rPr>
              <w:t>Area of Activity</w:t>
            </w:r>
          </w:p>
        </w:tc>
        <w:tc>
          <w:tcPr>
            <w:tcW w:w="920" w:type="dxa"/>
            <w:vAlign w:val="bottom"/>
          </w:tcPr>
          <w:p>
            <w:pPr>
              <w:jc w:val="right"/>
              <w:ind w:right="211"/>
              <w:spacing w:after="0"/>
              <w:rPr>
                <w:sz w:val="20"/>
                <w:szCs w:val="20"/>
                <w:color w:val="auto"/>
              </w:rPr>
            </w:pPr>
            <w:r>
              <w:rPr>
                <w:rFonts w:ascii="Arial" w:cs="Arial" w:eastAsia="Arial" w:hAnsi="Arial"/>
                <w:sz w:val="16"/>
                <w:szCs w:val="16"/>
                <w:b w:val="1"/>
                <w:bCs w:val="1"/>
                <w:color w:val="auto"/>
              </w:rPr>
              <w:t>2011</w:t>
            </w:r>
          </w:p>
        </w:tc>
        <w:tc>
          <w:tcPr>
            <w:tcW w:w="1200" w:type="dxa"/>
            <w:vAlign w:val="bottom"/>
            <w:gridSpan w:val="2"/>
          </w:tcPr>
          <w:p>
            <w:pPr>
              <w:jc w:val="right"/>
              <w:ind w:right="210"/>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9"/>
                <w:szCs w:val="19"/>
                <w:color w:val="auto"/>
              </w:rPr>
            </w:pP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rPr>
              <w:t>2013</w:t>
            </w:r>
          </w:p>
        </w:tc>
        <w:tc>
          <w:tcPr>
            <w:tcW w:w="1500" w:type="dxa"/>
            <w:vAlign w:val="bottom"/>
            <w:gridSpan w:val="2"/>
          </w:tcPr>
          <w:p>
            <w:pPr>
              <w:jc w:val="center"/>
              <w:ind w:left="73"/>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right="119" w:firstLine="216"/>
        <w:spacing w:after="0" w:line="253"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5" w:lineRule="exact"/>
        <w:rPr>
          <w:sz w:val="20"/>
          <w:szCs w:val="20"/>
          <w:color w:val="auto"/>
        </w:rPr>
      </w:pPr>
    </w:p>
    <w:p>
      <w:pPr>
        <w:ind w:left="120" w:right="779" w:firstLine="216"/>
        <w:spacing w:after="0" w:line="277" w:lineRule="auto"/>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8" w:name="page69"/>
    <w:bookmarkEnd w:id="68"/>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From time to time, we may be subject to legal proceedings and claims in the ordinary course of business. We are not currently a party to any material litigation. Regardless of the outcome, litigation can have an adverse impact on us because of defense and settlement costs, diversion of management resources and other factors.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MANAGEMENT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211" w:lineRule="exact"/>
        <w:rPr>
          <w:sz w:val="20"/>
          <w:szCs w:val="20"/>
          <w:color w:val="auto"/>
        </w:rPr>
      </w:pPr>
    </w:p>
    <w:p>
      <w:pPr>
        <w:ind w:left="120" w:right="219" w:firstLine="216"/>
        <w:spacing w:after="0" w:line="277"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prospectus.</w:t>
      </w:r>
    </w:p>
    <w:p>
      <w:pPr>
        <w:spacing w:after="0" w:line="193"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640" w:type="dxa"/>
            <w:vAlign w:val="bottom"/>
            <w:gridSpan w:val="2"/>
          </w:tcPr>
          <w:p>
            <w:pPr>
              <w:ind w:left="80"/>
              <w:spacing w:after="0"/>
              <w:rPr>
                <w:sz w:val="20"/>
                <w:szCs w:val="20"/>
                <w:color w:val="auto"/>
              </w:rPr>
            </w:pPr>
            <w:r>
              <w:rPr>
                <w:rFonts w:ascii="Arial" w:cs="Arial" w:eastAsia="Arial" w:hAnsi="Arial"/>
                <w:sz w:val="18"/>
                <w:szCs w:val="18"/>
                <w:b w:val="1"/>
                <w:bCs w:val="1"/>
                <w:color w:val="auto"/>
              </w:rPr>
              <w:t>Age</w:t>
            </w:r>
          </w:p>
        </w:tc>
        <w:tc>
          <w:tcPr>
            <w:tcW w:w="4220" w:type="dxa"/>
            <w:vAlign w:val="bottom"/>
          </w:tcPr>
          <w:p>
            <w:pPr>
              <w:ind w:left="1800"/>
              <w:spacing w:after="0"/>
              <w:rPr>
                <w:sz w:val="20"/>
                <w:szCs w:val="20"/>
                <w:color w:val="auto"/>
              </w:rPr>
            </w:pPr>
            <w:r>
              <w:rPr>
                <w:rFonts w:ascii="Arial" w:cs="Arial" w:eastAsia="Arial" w:hAnsi="Arial"/>
                <w:sz w:val="18"/>
                <w:szCs w:val="18"/>
                <w:b w:val="1"/>
                <w:bCs w:val="1"/>
                <w:color w:val="auto"/>
              </w:rPr>
              <w:t>Position</w:t>
            </w:r>
          </w:p>
        </w:tc>
      </w:tr>
      <w:tr>
        <w:trPr>
          <w:trHeight w:val="54"/>
        </w:trPr>
        <w:tc>
          <w:tcPr>
            <w:tcW w:w="3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4220" w:type="dxa"/>
            <w:vAlign w:val="bottom"/>
            <w:tcBorders>
              <w:bottom w:val="single" w:sz="8" w:color="auto"/>
            </w:tcBorders>
          </w:tcPr>
          <w:p>
            <w:pPr>
              <w:spacing w:after="0"/>
              <w:rPr>
                <w:sz w:val="4"/>
                <w:szCs w:val="4"/>
                <w:color w:val="auto"/>
              </w:rPr>
            </w:pPr>
          </w:p>
        </w:tc>
      </w:tr>
      <w:tr>
        <w:trPr>
          <w:trHeight w:val="264"/>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Executive Officers</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20" w:type="dxa"/>
            <w:vAlign w:val="bottom"/>
          </w:tcPr>
          <w:p>
            <w:pPr>
              <w:spacing w:after="0"/>
              <w:rPr>
                <w:sz w:val="22"/>
                <w:szCs w:val="22"/>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Gabi Seligsohn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Ben-Zur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President, Chief Technology Officer and 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Avidan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Sarel Ashkenazy</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Executive Vice President of Sales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Ofer Sandelson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Chief Operating Officer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Guy Zimmerman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w w:val="97"/>
              </w:rPr>
              <w:t>Vice President of Marketing &amp; Business Development</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Oded Kraft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Vice President of Products</w:t>
            </w:r>
          </w:p>
        </w:tc>
      </w:tr>
      <w:tr>
        <w:trPr>
          <w:trHeight w:val="702"/>
        </w:trPr>
        <w:tc>
          <w:tcPr>
            <w:tcW w:w="3900" w:type="dxa"/>
            <w:vAlign w:val="bottom"/>
            <w:gridSpan w:val="2"/>
          </w:tcPr>
          <w:p>
            <w:pPr>
              <w:ind w:left="40"/>
              <w:spacing w:after="0"/>
              <w:rPr>
                <w:sz w:val="20"/>
                <w:szCs w:val="20"/>
                <w:color w:val="auto"/>
              </w:rPr>
            </w:pPr>
            <w:r>
              <w:rPr>
                <w:rFonts w:ascii="Arial" w:cs="Arial" w:eastAsia="Arial" w:hAnsi="Arial"/>
                <w:sz w:val="18"/>
                <w:szCs w:val="18"/>
                <w:i w:val="1"/>
                <w:iCs w:val="1"/>
                <w:color w:val="auto"/>
              </w:rPr>
              <w:t>Directors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Yuval Cohen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Chairman of the Board of Directors</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Eli Blatt</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Yoav Hineman</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Marc Lesnick</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Moshe Nur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324"/>
        </w:trPr>
        <w:tc>
          <w:tcPr>
            <w:tcW w:w="3900" w:type="dxa"/>
            <w:vAlign w:val="bottom"/>
            <w:gridSpan w:val="2"/>
          </w:tcPr>
          <w:p>
            <w:pPr>
              <w:ind w:left="40"/>
              <w:spacing w:after="0"/>
              <w:rPr>
                <w:sz w:val="20"/>
                <w:szCs w:val="20"/>
                <w:color w:val="auto"/>
              </w:rPr>
            </w:pPr>
            <w:r>
              <w:rPr>
                <w:rFonts w:ascii="Arial" w:cs="Arial" w:eastAsia="Arial" w:hAnsi="Arial"/>
                <w:sz w:val="18"/>
                <w:szCs w:val="18"/>
                <w:color w:val="auto"/>
              </w:rPr>
              <w:t>Joshua Maor</w:t>
            </w:r>
          </w:p>
        </w:tc>
        <w:tc>
          <w:tcPr>
            <w:tcW w:w="500" w:type="dxa"/>
            <w:vAlign w:val="bottom"/>
          </w:tcPr>
          <w:p>
            <w:pPr>
              <w:jc w:val="right"/>
              <w:ind w:right="11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4"/>
                <w:szCs w:val="24"/>
                <w:color w:val="auto"/>
              </w:rPr>
            </w:pPr>
          </w:p>
        </w:tc>
        <w:tc>
          <w:tcPr>
            <w:tcW w:w="422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i w:val="1"/>
          <w:iCs w:val="1"/>
          <w:color w:val="auto"/>
        </w:rPr>
        <w:t xml:space="preserve">Gabi Seligsohn </w:t>
      </w:r>
      <w:r>
        <w:rPr>
          <w:rFonts w:ascii="Arial" w:cs="Arial" w:eastAsia="Arial" w:hAnsi="Arial"/>
          <w:sz w:val="17"/>
          <w:szCs w:val="17"/>
          <w:color w:val="auto"/>
        </w:rPr>
        <w:t>has served as our Chief Executive Officer since April 2014. From August 2006 until August 2013,</w:t>
      </w:r>
      <w:r>
        <w:rPr>
          <w:rFonts w:ascii="Arial" w:cs="Arial" w:eastAsia="Arial" w:hAnsi="Arial"/>
          <w:sz w:val="17"/>
          <w:szCs w:val="17"/>
          <w:i w:val="1"/>
          <w:iCs w:val="1"/>
          <w:color w:val="auto"/>
        </w:rPr>
        <w:t xml:space="preserve"> </w:t>
      </w:r>
      <w:r>
        <w:rPr>
          <w:rFonts w:ascii="Arial" w:cs="Arial" w:eastAsia="Arial" w:hAnsi="Arial"/>
          <w:sz w:val="17"/>
          <w:szCs w:val="17"/>
          <w:color w:val="auto"/>
        </w:rPr>
        <w:t>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88" w:lineRule="exact"/>
        <w:rPr>
          <w:sz w:val="20"/>
          <w:szCs w:val="20"/>
          <w:color w:val="auto"/>
        </w:rPr>
      </w:pPr>
    </w:p>
    <w:p>
      <w:pPr>
        <w:ind w:left="120" w:right="219" w:firstLine="216"/>
        <w:spacing w:after="0" w:line="290" w:lineRule="auto"/>
        <w:rPr>
          <w:sz w:val="20"/>
          <w:szCs w:val="20"/>
          <w:color w:val="auto"/>
        </w:rPr>
      </w:pPr>
      <w:r>
        <w:rPr>
          <w:rFonts w:ascii="Arial" w:cs="Arial" w:eastAsia="Arial" w:hAnsi="Arial"/>
          <w:sz w:val="16"/>
          <w:szCs w:val="16"/>
          <w:i w:val="1"/>
          <w:iCs w:val="1"/>
          <w:color w:val="auto"/>
        </w:rPr>
        <w:t xml:space="preserve">Ofer Ben-Zur </w:t>
      </w:r>
      <w:r>
        <w:rPr>
          <w:rFonts w:ascii="Arial" w:cs="Arial" w:eastAsia="Arial" w:hAnsi="Arial"/>
          <w:sz w:val="16"/>
          <w:szCs w:val="16"/>
          <w:color w:val="auto"/>
        </w:rPr>
        <w:t>is a co-founder of our company and has served as our President and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2014 and a director since 2002.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166"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November 2014. From July 2010 until November 2014,</w:t>
      </w:r>
      <w:r>
        <w:rPr>
          <w:rFonts w:ascii="Arial" w:cs="Arial" w:eastAsia="Arial" w:hAnsi="Arial"/>
          <w:sz w:val="18"/>
          <w:szCs w:val="18"/>
          <w:i w:val="1"/>
          <w:iCs w:val="1"/>
          <w:color w:val="auto"/>
        </w:rPr>
        <w:t xml:space="preserve"> </w:t>
      </w:r>
      <w:r>
        <w:rPr>
          <w:rFonts w:ascii="Arial" w:cs="Arial" w:eastAsia="Arial" w:hAnsi="Arial"/>
          <w:sz w:val="18"/>
          <w:szCs w:val="18"/>
          <w:color w:val="auto"/>
        </w:rPr>
        <w:t>Mr. Avidan served as Vice President of Finance and Chief Executive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0" w:name="page71"/>
    <w:bookmarkEnd w:id="70"/>
    <w:p>
      <w:pPr>
        <w:ind w:left="120" w:right="319"/>
        <w:spacing w:after="0" w:line="264" w:lineRule="auto"/>
        <w:rPr>
          <w:sz w:val="20"/>
          <w:szCs w:val="20"/>
          <w:color w:val="auto"/>
        </w:rPr>
      </w:pPr>
      <w:r>
        <w:rPr>
          <w:rFonts w:ascii="Arial" w:cs="Arial" w:eastAsia="Arial" w:hAnsi="Arial"/>
          <w:sz w:val="18"/>
          <w:szCs w:val="18"/>
          <w:color w:val="auto"/>
        </w:rPr>
        <w:t>Mr. Avidan served as Vice President of Finance and Chief Financial Officer of Ace North Hills, which was acquired by MRV Communications. Mr. Avidan is a CPA in Israel and holds a B.A. in Economics and Accounting from Haifa University in Israel.</w:t>
      </w:r>
    </w:p>
    <w:p>
      <w:pPr>
        <w:spacing w:after="0" w:line="181" w:lineRule="exact"/>
        <w:rPr>
          <w:sz w:val="20"/>
          <w:szCs w:val="20"/>
          <w:color w:val="auto"/>
        </w:rPr>
      </w:pPr>
    </w:p>
    <w:p>
      <w:pPr>
        <w:ind w:left="120" w:right="219" w:firstLine="216"/>
        <w:spacing w:after="0" w:line="293" w:lineRule="auto"/>
        <w:rPr>
          <w:sz w:val="20"/>
          <w:szCs w:val="20"/>
          <w:color w:val="auto"/>
        </w:rPr>
      </w:pPr>
      <w:r>
        <w:rPr>
          <w:rFonts w:ascii="Arial" w:cs="Arial" w:eastAsia="Arial" w:hAnsi="Arial"/>
          <w:sz w:val="16"/>
          <w:szCs w:val="16"/>
          <w:i w:val="1"/>
          <w:iCs w:val="1"/>
          <w:color w:val="auto"/>
        </w:rPr>
        <w:t xml:space="preserve">Sarel Ashkenazy </w:t>
      </w:r>
      <w:r>
        <w:rPr>
          <w:rFonts w:ascii="Arial" w:cs="Arial" w:eastAsia="Arial" w:hAnsi="Arial"/>
          <w:sz w:val="16"/>
          <w:szCs w:val="16"/>
          <w:color w:val="auto"/>
        </w:rPr>
        <w:t>has served as our Executive Vice President of Sales since April 2014. From August 2004 to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2014, Mr. Ashkenazy was our Manager of Business Development and Marketing and responsible for sales and marketing, as well as establishing and expanding our distributor network and business development. From 1999 until 2003, prior to joining our company, Mr. Ashkenazy served as Marketing Director for Image ID, a provider of Automatic Identification and Data Capture (AIDC) solutions based on imaging technology and sophisticated algorithms. Mr. Ashkenazy holds a B.B. degree in Business Management and Economics from the College of Management in Israel.</w:t>
      </w:r>
    </w:p>
    <w:p>
      <w:pPr>
        <w:spacing w:after="0" w:line="165"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i w:val="1"/>
          <w:iCs w:val="1"/>
          <w:color w:val="auto"/>
        </w:rPr>
        <w:t xml:space="preserve">Ofer Sandelson </w:t>
      </w:r>
      <w:r>
        <w:rPr>
          <w:rFonts w:ascii="Arial" w:cs="Arial" w:eastAsia="Arial" w:hAnsi="Arial"/>
          <w:sz w:val="17"/>
          <w:szCs w:val="17"/>
          <w:color w:val="auto"/>
        </w:rPr>
        <w:t>has served as our Chief Operating Officer since July 2013. Prior to joining our company, Mr.</w:t>
      </w:r>
      <w:r>
        <w:rPr>
          <w:rFonts w:ascii="Arial" w:cs="Arial" w:eastAsia="Arial" w:hAnsi="Arial"/>
          <w:sz w:val="17"/>
          <w:szCs w:val="17"/>
          <w:i w:val="1"/>
          <w:iCs w:val="1"/>
          <w:color w:val="auto"/>
        </w:rPr>
        <w:t xml:space="preserve"> </w:t>
      </w:r>
      <w:r>
        <w:rPr>
          <w:rFonts w:ascii="Arial" w:cs="Arial" w:eastAsia="Arial" w:hAnsi="Arial"/>
          <w:sz w:val="17"/>
          <w:szCs w:val="17"/>
          <w:color w:val="auto"/>
        </w:rPr>
        <w:t>Sandelson served as Chief Executive 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83"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Guy Zimmerman </w:t>
      </w:r>
      <w:r>
        <w:rPr>
          <w:rFonts w:ascii="Arial" w:cs="Arial" w:eastAsia="Arial" w:hAnsi="Arial"/>
          <w:sz w:val="17"/>
          <w:szCs w:val="17"/>
          <w:color w:val="auto"/>
        </w:rPr>
        <w:t>has served as our Vice President of Marketing and Business Development since April 2013. From</w:t>
      </w:r>
      <w:r>
        <w:rPr>
          <w:rFonts w:ascii="Arial" w:cs="Arial" w:eastAsia="Arial" w:hAnsi="Arial"/>
          <w:sz w:val="17"/>
          <w:szCs w:val="17"/>
          <w:i w:val="1"/>
          <w:iCs w:val="1"/>
          <w:color w:val="auto"/>
        </w:rPr>
        <w:t xml:space="preserve"> </w:t>
      </w:r>
      <w:r>
        <w:rPr>
          <w:rFonts w:ascii="Arial" w:cs="Arial" w:eastAsia="Arial" w:hAnsi="Arial"/>
          <w:sz w:val="17"/>
          <w:szCs w:val="17"/>
          <w:color w:val="auto"/>
        </w:rPr>
        <w:t>2010 to April 2013, Mr. 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79"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i w:val="1"/>
          <w:iCs w:val="1"/>
          <w:color w:val="auto"/>
        </w:rPr>
        <w:t xml:space="preserve">Oded Kraft </w:t>
      </w:r>
      <w:r>
        <w:rPr>
          <w:rFonts w:ascii="Arial" w:cs="Arial" w:eastAsia="Arial" w:hAnsi="Arial"/>
          <w:sz w:val="17"/>
          <w:szCs w:val="17"/>
          <w:color w:val="auto"/>
        </w:rPr>
        <w:t>has served as our Vice President of Products since September 2014. From January 2013 to April 2014,</w:t>
      </w:r>
      <w:r>
        <w:rPr>
          <w:rFonts w:ascii="Arial" w:cs="Arial" w:eastAsia="Arial" w:hAnsi="Arial"/>
          <w:sz w:val="17"/>
          <w:szCs w:val="17"/>
          <w:i w:val="1"/>
          <w:iCs w:val="1"/>
          <w:color w:val="auto"/>
        </w:rPr>
        <w:t xml:space="preserve"> </w:t>
      </w:r>
      <w:r>
        <w:rPr>
          <w:rFonts w:ascii="Arial" w:cs="Arial" w:eastAsia="Arial" w:hAnsi="Arial"/>
          <w:sz w:val="17"/>
          <w:szCs w:val="17"/>
          <w:color w:val="auto"/>
        </w:rPr>
        <w:t>Mr. Kraft managed a portfolio of several businesses within the Diabetes Care Division of Roche in Germany. From 2008 to December 2012, he was the Vice President of Products at Medingo, a medical devices company, which was acquired by Roche GmbH in 2010. From 2001 to 2008, Mr. Kraft worked at GE Healthcare Nuclear Medicine division, serving as a Global Segment Leader from 2005 to 2008 and System Architect from 2002 to 2005. Mr. Kraft served in the Israel Defense Forces in an intelligence technology unit for seven years, finishing with the rank of captain and serving part of the time in the United States with a U.S. defense contractor. Mr. Kraft holds a B.Sc. in Electrical Engineering and M.B.A. from Technion-Israel Institute of Technology in Israel.</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i w:val="1"/>
          <w:iCs w:val="1"/>
          <w:color w:val="auto"/>
        </w:rPr>
        <w:t xml:space="preserve">Yuval Cohen </w:t>
      </w:r>
      <w:r>
        <w:rPr>
          <w:rFonts w:ascii="Arial" w:cs="Arial" w:eastAsia="Arial" w:hAnsi="Arial"/>
          <w:sz w:val="17"/>
          <w:szCs w:val="17"/>
          <w:color w:val="auto"/>
        </w:rPr>
        <w:t>has served as the Chairman of our board of directors since August 2011. Mr. Cohen is the founding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partner of Fortissimo 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the chairman of the board of directors of SodaStream International Ltd. (NASDAQ: SODA) and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78" w:lineRule="exact"/>
        <w:rPr>
          <w:sz w:val="20"/>
          <w:szCs w:val="20"/>
          <w:color w:val="auto"/>
        </w:rPr>
      </w:pPr>
    </w:p>
    <w:p>
      <w:pPr>
        <w:ind w:left="120" w:right="179" w:firstLine="216"/>
        <w:spacing w:after="0" w:line="302" w:lineRule="auto"/>
        <w:rPr>
          <w:sz w:val="20"/>
          <w:szCs w:val="20"/>
          <w:color w:val="auto"/>
        </w:rPr>
      </w:pPr>
      <w:r>
        <w:rPr>
          <w:rFonts w:ascii="Arial" w:cs="Arial" w:eastAsia="Arial" w:hAnsi="Arial"/>
          <w:sz w:val="16"/>
          <w:szCs w:val="16"/>
          <w:i w:val="1"/>
          <w:iCs w:val="1"/>
          <w:color w:val="auto"/>
        </w:rPr>
        <w:t xml:space="preserve">Eli Blatt </w:t>
      </w:r>
      <w:r>
        <w:rPr>
          <w:rFonts w:ascii="Arial" w:cs="Arial" w:eastAsia="Arial" w:hAnsi="Arial"/>
          <w:sz w:val="16"/>
          <w:szCs w:val="16"/>
          <w:color w:val="auto"/>
        </w:rPr>
        <w:t>has served as a member of our board of directors since August 2011. Mr. Blatt joined Fortissimo Capital in</w:t>
      </w:r>
      <w:r>
        <w:rPr>
          <w:rFonts w:ascii="Arial" w:cs="Arial" w:eastAsia="Arial" w:hAnsi="Arial"/>
          <w:sz w:val="16"/>
          <w:szCs w:val="16"/>
          <w:i w:val="1"/>
          <w:iCs w:val="1"/>
          <w:color w:val="auto"/>
        </w:rPr>
        <w:t xml:space="preserve"> </w:t>
      </w:r>
      <w:r>
        <w:rPr>
          <w:rFonts w:ascii="Arial" w:cs="Arial" w:eastAsia="Arial" w:hAnsi="Arial"/>
          <w:sz w:val="16"/>
          <w:szCs w:val="16"/>
          <w:color w:val="auto"/>
        </w:rPr>
        <w:t>2004. From March 1999 to May 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1" w:name="page72"/>
    <w:bookmarkEnd w:id="71"/>
    <w:p>
      <w:pPr>
        <w:ind w:left="120" w:right="199"/>
        <w:spacing w:after="0" w:line="312" w:lineRule="auto"/>
        <w:rPr>
          <w:sz w:val="20"/>
          <w:szCs w:val="20"/>
          <w:color w:val="auto"/>
        </w:rPr>
      </w:pPr>
      <w:r>
        <w:rPr>
          <w:rFonts w:ascii="Arial" w:cs="Arial" w:eastAsia="Arial" w:hAnsi="Arial"/>
          <w:sz w:val="16"/>
          <w:szCs w:val="16"/>
          <w:color w:val="auto"/>
        </w:rPr>
        <w:t>(NASDAQ: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47" w:lineRule="exact"/>
        <w:rPr>
          <w:sz w:val="20"/>
          <w:szCs w:val="20"/>
          <w:color w:val="auto"/>
        </w:rPr>
      </w:pPr>
    </w:p>
    <w:p>
      <w:pPr>
        <w:ind w:left="120" w:right="159" w:firstLine="216"/>
        <w:spacing w:after="0" w:line="272" w:lineRule="auto"/>
        <w:rPr>
          <w:sz w:val="20"/>
          <w:szCs w:val="20"/>
          <w:color w:val="auto"/>
        </w:rPr>
      </w:pPr>
      <w:r>
        <w:rPr>
          <w:rFonts w:ascii="Arial" w:cs="Arial" w:eastAsia="Arial" w:hAnsi="Arial"/>
          <w:sz w:val="17"/>
          <w:szCs w:val="17"/>
          <w:i w:val="1"/>
          <w:iCs w:val="1"/>
          <w:color w:val="auto"/>
        </w:rPr>
        <w:t xml:space="preserve">Yoav Hineman </w:t>
      </w:r>
      <w:r>
        <w:rPr>
          <w:rFonts w:ascii="Arial" w:cs="Arial" w:eastAsia="Arial" w:hAnsi="Arial"/>
          <w:sz w:val="17"/>
          <w:szCs w:val="17"/>
          <w:color w:val="auto"/>
        </w:rPr>
        <w:t>has served as a member of our board of directors since August 2011. Mr. Hineman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January 2009. From 2006 to 2009, Mr. Hineman was a Managing Director of Magnolia Capital, the Israeli arm of Thomas Weisel Partners. From 2004 to 2006 prior to joining Magnolia Capital, Mr. Hineman was a Software Analyst at SG Cowen &amp; Co., covering infrastructure software companies. From 2000 to 2004, Mr. Hineman was an associate at SoundView Technology Group. Currently, Mr. Hineman serves on the board of directors of several privately held portfolio companies of Fortissimo Capital. Mr. Hineman holds a B.S. in Business Administration from University of California, Berkeley Haas School of Business in California.</w:t>
      </w:r>
    </w:p>
    <w:p>
      <w:pPr>
        <w:spacing w:after="0" w:line="178"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i w:val="1"/>
          <w:iCs w:val="1"/>
          <w:color w:val="auto"/>
        </w:rPr>
        <w:t xml:space="preserve">Marc Lesnick </w:t>
      </w:r>
      <w:r>
        <w:rPr>
          <w:rFonts w:ascii="Arial" w:cs="Arial" w:eastAsia="Arial" w:hAnsi="Arial"/>
          <w:sz w:val="17"/>
          <w:szCs w:val="17"/>
          <w:color w:val="auto"/>
        </w:rPr>
        <w:t>has served as a member of our board of directors since August 2011. Mr. Lesnick joined Fortissimo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in 2004. From 2001 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79"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i w:val="1"/>
          <w:iCs w:val="1"/>
          <w:color w:val="auto"/>
        </w:rPr>
        <w:t xml:space="preserve">Moshe Nur </w:t>
      </w:r>
      <w:r>
        <w:rPr>
          <w:rFonts w:ascii="Arial" w:cs="Arial" w:eastAsia="Arial" w:hAnsi="Arial"/>
          <w:sz w:val="18"/>
          <w:szCs w:val="18"/>
          <w:color w:val="auto"/>
        </w:rPr>
        <w:t>has served as a member of the board of directors of our company since January 2002 and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board of directors as well as a member of the compensation committee until 2012. Mr. Nur is also the Chief Executive Officer of Nur Star Media Ltd., a leading Israeli company specializing in billboards, as well as the chairman of the board of directors of Yahel (Nur Group) Holdings Ltd. In addition, Mr. Nur is the chairman of the board of directors of Outform Ltd., a manufacturing company of 3D advertisement projects throughout Europe, the United States and Asia.</w:t>
      </w:r>
    </w:p>
    <w:p>
      <w:pPr>
        <w:spacing w:after="0" w:line="193"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i w:val="1"/>
          <w:iCs w:val="1"/>
          <w:color w:val="auto"/>
        </w:rPr>
        <w:t xml:space="preserve">Joshua Maor </w:t>
      </w:r>
      <w:r>
        <w:rPr>
          <w:rFonts w:ascii="Arial" w:cs="Arial" w:eastAsia="Arial" w:hAnsi="Arial"/>
          <w:sz w:val="18"/>
          <w:szCs w:val="18"/>
          <w:color w:val="auto"/>
        </w:rPr>
        <w:t>has served as a member of our board of directors since July 2005. Since 2001, Mr. Maor has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Delek Investments and Properties Ltd.’s holdings of high-tech companies. Prior to Delek, Mr. Maor served as Chief Executive Officer and Chairman at Green Venture Capital Ltd. Mr. Maor also served as a member of the board of directors of both Inspire Investments Ltd. and Vericom Technologies Ltd. Currently, Mr. Maor serves as a member of the board of directors, among others, of Dip-Tech Ltd. and Yeda Reaserch and Development Ltd., the commercial arm of the Weizmann Institute of Science. Mr. Maor holds a B.Sc. in Mathematics and Physics and a B.A. from the Hebrew University in Israel.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Arrangements Concerning Election of Directors; Familial Relationships</w:t>
      </w:r>
    </w:p>
    <w:p>
      <w:pPr>
        <w:spacing w:after="0" w:line="225" w:lineRule="exact"/>
        <w:rPr>
          <w:sz w:val="20"/>
          <w:szCs w:val="20"/>
          <w:color w:val="auto"/>
        </w:rPr>
      </w:pPr>
    </w:p>
    <w:p>
      <w:pPr>
        <w:ind w:left="120" w:right="179" w:firstLine="216"/>
        <w:spacing w:after="0" w:line="279" w:lineRule="auto"/>
        <w:rPr>
          <w:sz w:val="20"/>
          <w:szCs w:val="20"/>
          <w:color w:val="auto"/>
        </w:rPr>
      </w:pPr>
      <w:r>
        <w:rPr>
          <w:rFonts w:ascii="Arial" w:cs="Arial" w:eastAsia="Arial" w:hAnsi="Arial"/>
          <w:sz w:val="17"/>
          <w:szCs w:val="17"/>
          <w:color w:val="auto"/>
        </w:rPr>
        <w:t>Our current board of directors consists of seven directors. Currently-serving directors that were appointed prior to this offering will continue to serve pursuant to their appointment until the first annual meeting of shareholders held after this offering. We are not a party to, and are not aware of, any voting agreements among our shareholders. In addition, there are no family relationships among our executive officers and directors.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Practices</w:t>
      </w:r>
    </w:p>
    <w:p>
      <w:pPr>
        <w:spacing w:after="0" w:line="229"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After the completion of this offering, we will be a “controlled company” under the NASDAQ Stock Market rules. A “controlled company” is a company of which more than 50% of the voting power is held by an individual, group or another company. We will be a controlled company on the basis of Fortissimo Capital’s ownership in our company immediately following the offering. Pursuant to the “controlled company” exemption, we are not required and currently do not intend to comply with the requirement that we have a nominating committee comprised solely of independent directors and, instead, director nominations will be made by our board of directors as a whole. In the event that we cease to be a controlled company, we will be required to comply with this provision within the transition periods specified in the NASDAQ Stock Market rules, unless we elect to avail ourselves of the opt-out from NASDAQ Stock Market rules afforded to foreign private issuers, as discussed below.</w:t>
      </w:r>
    </w:p>
    <w:p>
      <w:pPr>
        <w:spacing w:after="0" w:line="182" w:lineRule="exact"/>
        <w:rPr>
          <w:sz w:val="20"/>
          <w:szCs w:val="20"/>
          <w:color w:val="auto"/>
        </w:rPr>
      </w:pPr>
    </w:p>
    <w:p>
      <w:pPr>
        <w:ind w:left="120" w:right="159" w:firstLine="216"/>
        <w:spacing w:after="0" w:line="264" w:lineRule="auto"/>
        <w:rPr>
          <w:sz w:val="20"/>
          <w:szCs w:val="20"/>
          <w:color w:val="auto"/>
        </w:rPr>
      </w:pPr>
      <w:r>
        <w:rPr>
          <w:rFonts w:ascii="Arial" w:cs="Arial" w:eastAsia="Arial" w:hAnsi="Arial"/>
          <w:sz w:val="18"/>
          <w:szCs w:val="18"/>
          <w:color w:val="auto"/>
        </w:rPr>
        <w:t>The “controlled company” exemption does not modify the independence requirements for our audit committee. Accordingly, immediately following this offering, we will have an audit committee comprised of at least three members all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2" w:name="page73"/>
    <w:bookmarkEnd w:id="72"/>
    <w:p>
      <w:pPr>
        <w:ind w:left="120" w:right="199"/>
        <w:spacing w:after="0" w:line="272" w:lineRule="auto"/>
        <w:rPr>
          <w:sz w:val="20"/>
          <w:szCs w:val="20"/>
          <w:color w:val="auto"/>
        </w:rPr>
      </w:pPr>
      <w:r>
        <w:rPr>
          <w:rFonts w:ascii="Arial" w:cs="Arial" w:eastAsia="Arial" w:hAnsi="Arial"/>
          <w:sz w:val="17"/>
          <w:szCs w:val="17"/>
          <w:color w:val="auto"/>
        </w:rPr>
        <w:t>of whom meet the NASDAQ Stock Market independence requirements and which must include all of our external directors and consist of a majority of “independent directors” as defined under the Israeli Companies Law. See “— Audit committee – Israeli Companies Law Requirements.” Furthermore, while we are exempt under the “controlled company” exemption from the requirement under the NASDAQ Stock Market rules that we have a compensation committee comprised solely of independent directors, we are required under the Israeli Companies Law to have a compensation committee consisting of at least three members, including all of our external directors. External directors must constitute a majority of the members of the compensation committee.</w:t>
      </w:r>
    </w:p>
    <w:p>
      <w:pPr>
        <w:spacing w:after="0" w:line="178"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In addition to the controlled company exemption, as a foreign private issuer, companies incorporated under the laws of the State of Israel whose shares are publicly traded, including companies with shares listed on the NASDAQ Global Market, are considered public companies under Israeli law and are required to comply with various corporate governance requirements under Israeli law relating to such matters as external directors, the audit committee and an internal auditor. This is the case even if our shares are not listed on a stock exchange in Israel. These requirements are in addition to the corporate governance requirements imposed by the Listing Rules of the NASDAQ Stock Market rules and other applicable provisions of U.S. securities laws to which we will become subject (as a foreign private issuer) upon the listing of our ordinary shares on the NASDAQ Global Market. Under the NASDAQ Stock Market rules, a foreign private issuer, such as us, may generally follow its home country rules of corporate governance in lieu of the comparable requirements of the NASDAQ Stock Market rules, except for certain matters including (among others) the composition and responsibilities of the audit committee and the independence of its members within the meaning of the rules and regulations of the Commission.</w:t>
      </w:r>
    </w:p>
    <w:p>
      <w:pPr>
        <w:spacing w:after="0" w:line="180" w:lineRule="exact"/>
        <w:rPr>
          <w:sz w:val="20"/>
          <w:szCs w:val="20"/>
          <w:color w:val="auto"/>
        </w:rPr>
      </w:pPr>
    </w:p>
    <w:p>
      <w:pPr>
        <w:ind w:left="120" w:right="259" w:firstLine="216"/>
        <w:spacing w:after="0" w:line="272" w:lineRule="auto"/>
        <w:rPr>
          <w:sz w:val="20"/>
          <w:szCs w:val="20"/>
          <w:color w:val="auto"/>
        </w:rPr>
      </w:pPr>
      <w:r>
        <w:rPr>
          <w:rFonts w:ascii="Arial" w:cs="Arial" w:eastAsia="Arial" w:hAnsi="Arial"/>
          <w:sz w:val="17"/>
          <w:szCs w:val="17"/>
          <w:color w:val="auto"/>
        </w:rPr>
        <w:t>We intend to comply with the rules generally applicable to U.S. domestic companies listed on the NASDAQ Stock Market, other than with respect to the quorum requirements. As permitted under the Israeli Companies Law, pursuant to our amended and restated articles of association to be effective upon completion of this offering, the quorum for an ordinary meeting of shareholders shall be the presence of at least two shareholders present in person, by proxy or by a voting instrument, who hold at least 25% of the voting power of our shares (and in an adjourned meeting, with some exceptions, any number of shareholders) instead of 33 1/3% of our issued share capital as required under NASDAQ corporate governance rules.</w:t>
      </w:r>
    </w:p>
    <w:p>
      <w:pPr>
        <w:spacing w:after="0" w:line="178" w:lineRule="exact"/>
        <w:rPr>
          <w:sz w:val="20"/>
          <w:szCs w:val="20"/>
          <w:color w:val="auto"/>
        </w:rPr>
      </w:pPr>
    </w:p>
    <w:p>
      <w:pPr>
        <w:ind w:left="120" w:right="199" w:firstLine="216"/>
        <w:spacing w:after="0" w:line="277" w:lineRule="auto"/>
        <w:rPr>
          <w:sz w:val="20"/>
          <w:szCs w:val="20"/>
          <w:color w:val="auto"/>
        </w:rPr>
      </w:pPr>
      <w:r>
        <w:rPr>
          <w:rFonts w:ascii="Arial" w:cs="Arial" w:eastAsia="Arial" w:hAnsi="Arial"/>
          <w:sz w:val="18"/>
          <w:szCs w:val="18"/>
          <w:color w:val="auto"/>
        </w:rPr>
        <w:t>We may in the future decide to use the controlled company exemption or foreign private issuer opt-out with respect to additional NASDAQ corporate governance rules.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Under the Israeli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ind w:left="120" w:right="159"/>
        <w:spacing w:after="0" w:line="265" w:lineRule="auto"/>
        <w:rPr>
          <w:sz w:val="20"/>
          <w:szCs w:val="20"/>
          <w:color w:val="auto"/>
        </w:rPr>
      </w:pPr>
      <w:r>
        <w:rPr>
          <w:rFonts w:ascii="Arial" w:cs="Arial" w:eastAsia="Arial" w:hAnsi="Arial"/>
          <w:sz w:val="17"/>
          <w:szCs w:val="17"/>
          <w:color w:val="auto"/>
        </w:rPr>
        <w:t>directors must consist of at least and not more than directors, including at least two external directors required to be appointed under the Israeli Companies Law. Our board of directors will consist of directors upon completion</w:t>
      </w:r>
    </w:p>
    <w:p>
      <w:pPr>
        <w:ind w:left="120" w:right="179"/>
        <w:spacing w:after="0" w:line="268" w:lineRule="auto"/>
        <w:rPr>
          <w:sz w:val="20"/>
          <w:szCs w:val="20"/>
          <w:color w:val="auto"/>
        </w:rPr>
      </w:pPr>
      <w:r>
        <w:rPr>
          <w:rFonts w:ascii="Arial" w:cs="Arial" w:eastAsia="Arial" w:hAnsi="Arial"/>
          <w:sz w:val="17"/>
          <w:szCs w:val="17"/>
          <w:color w:val="auto"/>
        </w:rPr>
        <w:t>of this offering, including new directors and two external directors whose service will commence upon the completion of this offering. The appointment of the external directors is subject to ratification at a meeting of our shareholders to be held no later than three months following the closing of this offering. Other than external directors, for whom special election requirements apply under the Israeli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will be for a term of office that expires on the third annual general meeting following such election or re-election, such that from 2015 and after, at each annual general meeting the term of office of only one class of directors will expire. Each director will hold office</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3" w:name="page74"/>
    <w:bookmarkEnd w:id="73"/>
    <w:p>
      <w:pPr>
        <w:jc w:val="both"/>
        <w:ind w:left="120" w:right="259"/>
        <w:spacing w:after="0" w:line="312" w:lineRule="auto"/>
        <w:rPr>
          <w:sz w:val="20"/>
          <w:szCs w:val="20"/>
          <w:color w:val="auto"/>
        </w:rPr>
      </w:pPr>
      <w:r>
        <w:rPr>
          <w:rFonts w:ascii="Arial" w:cs="Arial" w:eastAsia="Arial" w:hAnsi="Arial"/>
          <w:sz w:val="16"/>
          <w:szCs w:val="16"/>
          <w:color w:val="auto"/>
        </w:rPr>
        <w:t>until the annual general meeting of our shareholders in which his or her term expires, unless they are removed by a vote of 65% of the total voting power of our shareholders at a general meeting of our shareholders or upon the occurrence of certain events, in accordance with the Israeli Companies Law and our amended and restated articles of association.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directors will be divided among the three classes as follows:</w:t>
      </w:r>
    </w:p>
    <w:p>
      <w:pPr>
        <w:sectPr>
          <w:pgSz w:w="11900" w:h="16838" w:orient="portrait"/>
          <w:cols w:equalWidth="0" w:num="1">
            <w:col w:w="9019"/>
          </w:cols>
          <w:pgMar w:left="1440" w:top="125" w:right="1440" w:bottom="1440" w:gutter="0" w:footer="0" w:header="0"/>
        </w:sectPr>
      </w:pPr>
    </w:p>
    <w:p>
      <w:pPr>
        <w:spacing w:after="0" w:line="239" w:lineRule="exact"/>
        <w:rPr>
          <w:sz w:val="20"/>
          <w:szCs w:val="20"/>
          <w:color w:val="auto"/>
        </w:rPr>
      </w:pPr>
    </w:p>
    <w:p>
      <w:pPr>
        <w:ind w:left="560" w:hanging="219"/>
        <w:spacing w:after="0" w:line="297" w:lineRule="auto"/>
        <w:tabs>
          <w:tab w:leader="none" w:pos="572" w:val="left"/>
        </w:tabs>
        <w:numPr>
          <w:ilvl w:val="0"/>
          <w:numId w:val="39"/>
        </w:numPr>
        <w:rPr>
          <w:rFonts w:ascii="Arial" w:cs="Arial" w:eastAsia="Arial" w:hAnsi="Arial"/>
          <w:sz w:val="19"/>
          <w:szCs w:val="19"/>
          <w:color w:val="auto"/>
        </w:rPr>
      </w:pPr>
      <w:r>
        <w:rPr>
          <w:rFonts w:ascii="Arial" w:cs="Arial" w:eastAsia="Arial" w:hAnsi="Arial"/>
          <w:sz w:val="16"/>
          <w:szCs w:val="16"/>
          <w:color w:val="auto"/>
        </w:rPr>
        <w:t>the Class I directors will be shareholders to be held in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619" w:firstLine="273"/>
        <w:spacing w:after="0" w:line="277" w:lineRule="auto"/>
        <w:rPr>
          <w:sz w:val="20"/>
          <w:szCs w:val="20"/>
          <w:color w:val="auto"/>
        </w:rPr>
      </w:pPr>
      <w:r>
        <w:rPr>
          <w:rFonts w:ascii="Arial" w:cs="Arial" w:eastAsia="Arial" w:hAnsi="Arial"/>
          <w:sz w:val="18"/>
          <w:szCs w:val="18"/>
          <w:color w:val="auto"/>
        </w:rPr>
        <w:t>and , and their terms will expire at the annual general meeting of the and when their successors are elected and qualified;</w:t>
      </w:r>
    </w:p>
    <w:p>
      <w:pPr>
        <w:spacing w:after="0" w:line="150" w:lineRule="exact"/>
        <w:rPr>
          <w:sz w:val="20"/>
          <w:szCs w:val="20"/>
          <w:color w:val="auto"/>
        </w:rPr>
      </w:pPr>
    </w:p>
    <w:p>
      <w:pPr>
        <w:sectPr>
          <w:pgSz w:w="11900" w:h="16838" w:orient="portrait"/>
          <w:cols w:equalWidth="0" w:num="2">
            <w:col w:w="2540" w:space="220"/>
            <w:col w:w="6259"/>
          </w:cols>
          <w:pgMar w:left="1440" w:top="125" w:right="1440" w:bottom="1440" w:gutter="0" w:footer="0" w:header="0"/>
          <w:type w:val="continuous"/>
        </w:sectPr>
      </w:pPr>
    </w:p>
    <w:p>
      <w:pPr>
        <w:jc w:val="both"/>
        <w:ind w:left="560" w:right="159" w:hanging="215"/>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 directors will be</w:t>
      </w:r>
      <w:r>
        <w:rPr>
          <w:sz w:val="20"/>
          <w:szCs w:val="20"/>
          <w:color w:val="auto"/>
        </w:rPr>
        <w:t xml:space="preserve"> </w:t>
      </w:r>
      <w:r>
        <w:rPr>
          <w:rFonts w:ascii="Arial" w:cs="Arial" w:eastAsia="Arial" w:hAnsi="Arial"/>
          <w:sz w:val="18"/>
          <w:szCs w:val="18"/>
          <w:color w:val="auto"/>
        </w:rPr>
        <w:t>and , and their terms will expire at the first annual general meeting of the shareholders following the meeting referred to in clause (i) above and when their successors are elected and qualified; and</w:t>
      </w:r>
    </w:p>
    <w:p>
      <w:pPr>
        <w:sectPr>
          <w:pgSz w:w="11900" w:h="16838" w:orient="portrait"/>
          <w:cols w:equalWidth="0" w:num="1">
            <w:col w:w="9019"/>
          </w:cols>
          <w:pgMar w:left="1440" w:top="125"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560" w:hanging="215"/>
        <w:spacing w:after="0" w:line="272" w:lineRule="auto"/>
        <w:rPr>
          <w:sz w:val="20"/>
          <w:szCs w:val="20"/>
          <w:color w:val="auto"/>
        </w:rPr>
      </w:pPr>
      <w:r>
        <w:rPr>
          <w:rFonts w:ascii="Arial" w:cs="Arial" w:eastAsia="Arial" w:hAnsi="Arial"/>
          <w:sz w:val="22"/>
          <w:szCs w:val="22"/>
          <w:color w:val="auto"/>
        </w:rPr>
        <w:t xml:space="preserve">• </w:t>
      </w:r>
      <w:r>
        <w:rPr>
          <w:rFonts w:ascii="Arial" w:cs="Arial" w:eastAsia="Arial" w:hAnsi="Arial"/>
          <w:sz w:val="18"/>
          <w:szCs w:val="18"/>
          <w:color w:val="auto"/>
        </w:rPr>
        <w:t>the Class III directors will be</w:t>
      </w:r>
      <w:r>
        <w:rPr>
          <w:sz w:val="20"/>
          <w:szCs w:val="20"/>
          <w:color w:val="auto"/>
        </w:rPr>
        <w:t xml:space="preserve"> </w:t>
      </w:r>
      <w:r>
        <w:rPr>
          <w:rFonts w:ascii="Arial" w:cs="Arial" w:eastAsia="Arial" w:hAnsi="Arial"/>
          <w:sz w:val="18"/>
          <w:szCs w:val="18"/>
          <w:color w:val="auto"/>
        </w:rPr>
        <w:t>and shareholders following the meeting referred qualified.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both"/>
        <w:ind w:left="-21" w:right="119" w:firstLine="21"/>
        <w:spacing w:after="0" w:line="342" w:lineRule="auto"/>
        <w:tabs>
          <w:tab w:leader="none" w:pos="86"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and their terms will expire at the first annual general meeting of the to in clause (ii) above and when their successors are elected and</w:t>
      </w:r>
    </w:p>
    <w:p>
      <w:pPr>
        <w:spacing w:after="0" w:line="200" w:lineRule="exact"/>
        <w:rPr>
          <w:sz w:val="20"/>
          <w:szCs w:val="20"/>
          <w:color w:val="auto"/>
        </w:rPr>
      </w:pPr>
    </w:p>
    <w:p>
      <w:pPr>
        <w:sectPr>
          <w:pgSz w:w="11900" w:h="16838" w:orient="portrait"/>
          <w:cols w:equalWidth="0" w:num="2">
            <w:col w:w="3840" w:space="101"/>
            <w:col w:w="5078"/>
          </w:cols>
          <w:pgMar w:left="1440" w:top="125" w:right="1440" w:bottom="1440" w:gutter="0" w:footer="0" w:header="0"/>
          <w:type w:val="continuous"/>
        </w:sectPr>
      </w:pPr>
    </w:p>
    <w:p>
      <w:pPr>
        <w:spacing w:after="0" w:line="140" w:lineRule="exact"/>
        <w:rPr>
          <w:sz w:val="20"/>
          <w:szCs w:val="20"/>
          <w:color w:val="auto"/>
        </w:rPr>
      </w:pPr>
    </w:p>
    <w:p>
      <w:pPr>
        <w:ind w:left="120" w:right="159" w:firstLine="216"/>
        <w:spacing w:after="0" w:line="268" w:lineRule="auto"/>
        <w:rPr>
          <w:sz w:val="20"/>
          <w:szCs w:val="20"/>
          <w:color w:val="auto"/>
        </w:rPr>
      </w:pPr>
      <w:r>
        <w:rPr>
          <w:rFonts w:ascii="Arial" w:cs="Arial" w:eastAsia="Arial" w:hAnsi="Arial"/>
          <w:sz w:val="17"/>
          <w:szCs w:val="17"/>
          <w:color w:val="auto"/>
        </w:rPr>
        <w:t>Our board of directors has determined our directors, , and are independent under the rules of the NASDAQ Stock Market. The definition of “independent director” under the NASDAQ Stock Market rules and “external director” under the Israeli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Israeli Companies Law without qualifying as an “independent director” under the NASDAQ Stock Market rules, or vice-versa. The definition of external director under the Israeli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Israeli Companies Law and independent directors pursuant to the staggered board provisions of our articles of association. However, external directors must be elected by a special majority of shareholders while independent directors may be elected by an ordinary majority. See “—External Directors” for a description of the requirements under the Israeli Companies Law for a director to serve as an external director.</w:t>
      </w:r>
    </w:p>
    <w:p>
      <w:pPr>
        <w:spacing w:after="0" w:line="181"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Under the Israeli Companies Law and our amended and restated articles of association,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78" w:lineRule="exact"/>
        <w:rPr>
          <w:sz w:val="20"/>
          <w:szCs w:val="20"/>
          <w:color w:val="auto"/>
        </w:rPr>
      </w:pPr>
    </w:p>
    <w:p>
      <w:pPr>
        <w:ind w:left="120" w:right="139" w:firstLine="216"/>
        <w:spacing w:after="0" w:line="297"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Israeli Companies Law. See “—External Directors.”</w:t>
      </w:r>
    </w:p>
    <w:p>
      <w:pPr>
        <w:spacing w:after="0" w:line="158" w:lineRule="exact"/>
        <w:rPr>
          <w:sz w:val="20"/>
          <w:szCs w:val="20"/>
          <w:color w:val="auto"/>
        </w:rPr>
      </w:pPr>
    </w:p>
    <w:p>
      <w:pPr>
        <w:ind w:left="120" w:right="319" w:firstLine="216"/>
        <w:spacing w:after="0" w:line="297" w:lineRule="auto"/>
        <w:rPr>
          <w:sz w:val="20"/>
          <w:szCs w:val="20"/>
          <w:color w:val="auto"/>
        </w:rPr>
      </w:pPr>
      <w:r>
        <w:rPr>
          <w:rFonts w:ascii="Arial" w:cs="Arial" w:eastAsia="Arial" w:hAnsi="Arial"/>
          <w:sz w:val="16"/>
          <w:szCs w:val="16"/>
          <w:color w:val="auto"/>
        </w:rPr>
        <w:t>Under the Israeli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74" w:name="page75"/>
    <w:bookmarkEnd w:id="74"/>
    <w:p>
      <w:pPr>
        <w:ind w:left="12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we are required to include at least two members who qualify as external</w:t>
      </w:r>
    </w:p>
    <w:p>
      <w:pPr>
        <w:spacing w:after="0" w:line="23" w:lineRule="exact"/>
        <w:rPr>
          <w:sz w:val="20"/>
          <w:szCs w:val="20"/>
          <w:color w:val="auto"/>
        </w:rPr>
      </w:pPr>
    </w:p>
    <w:p>
      <w:pPr>
        <w:ind w:left="120" w:right="319"/>
        <w:spacing w:after="0" w:line="323" w:lineRule="auto"/>
        <w:rPr>
          <w:sz w:val="20"/>
          <w:szCs w:val="20"/>
          <w:color w:val="auto"/>
        </w:rPr>
      </w:pPr>
      <w:r>
        <w:rPr>
          <w:rFonts w:ascii="Arial" w:cs="Arial" w:eastAsia="Arial" w:hAnsi="Arial"/>
          <w:sz w:val="16"/>
          <w:szCs w:val="16"/>
          <w:color w:val="auto"/>
        </w:rPr>
        <w:t>directors. and have agreed to serve as our external directors upon the closing of this offering, subject to ratification at a meeting of our shareholders to be held no later than three months following the closing of this offering.</w:t>
      </w:r>
    </w:p>
    <w:p>
      <w:pPr>
        <w:spacing w:after="0" w:line="139" w:lineRule="exact"/>
        <w:rPr>
          <w:sz w:val="20"/>
          <w:szCs w:val="20"/>
          <w:color w:val="auto"/>
        </w:rPr>
      </w:pPr>
    </w:p>
    <w:p>
      <w:pPr>
        <w:ind w:left="120" w:right="639" w:firstLine="216"/>
        <w:spacing w:after="0" w:line="264" w:lineRule="auto"/>
        <w:rPr>
          <w:sz w:val="20"/>
          <w:szCs w:val="20"/>
          <w:color w:val="auto"/>
        </w:rPr>
      </w:pPr>
      <w:r>
        <w:rPr>
          <w:rFonts w:ascii="Arial" w:cs="Arial" w:eastAsia="Arial" w:hAnsi="Arial"/>
          <w:sz w:val="18"/>
          <w:szCs w:val="18"/>
          <w:color w:val="auto"/>
        </w:rPr>
        <w:t>The provisions of the Israeli Companies Law set forth special approval requirements for the election of external directors. External directors must be elected by a majority vote of the shares present and voting at a meeting of shareholders, provided that either:</w:t>
      </w:r>
    </w:p>
    <w:p>
      <w:pPr>
        <w:spacing w:after="0" w:line="195" w:lineRule="exact"/>
        <w:rPr>
          <w:sz w:val="20"/>
          <w:szCs w:val="20"/>
          <w:color w:val="auto"/>
        </w:rPr>
      </w:pPr>
    </w:p>
    <w:p>
      <w:pPr>
        <w:ind w:left="560" w:right="439" w:hanging="219"/>
        <w:spacing w:after="0" w:line="241" w:lineRule="auto"/>
        <w:tabs>
          <w:tab w:leader="none" w:pos="572" w:val="left"/>
        </w:tabs>
        <w:numPr>
          <w:ilvl w:val="0"/>
          <w:numId w:val="41"/>
        </w:numPr>
        <w:rPr>
          <w:rFonts w:ascii="Arial" w:cs="Arial" w:eastAsia="Arial" w:hAnsi="Arial"/>
          <w:sz w:val="22"/>
          <w:szCs w:val="22"/>
          <w:color w:val="auto"/>
        </w:rPr>
      </w:pPr>
      <w:r>
        <w:rPr>
          <w:rFonts w:ascii="Arial" w:cs="Arial" w:eastAsia="Arial" w:hAnsi="Arial"/>
          <w:sz w:val="18"/>
          <w:szCs w:val="18"/>
          <w:color w:val="auto"/>
        </w:rPr>
        <w:t>such majority includes at least a majority of the shares held by all shareholders who are not controlling shareholders and do not have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216"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41"/>
        </w:numPr>
        <w:rPr>
          <w:rFonts w:ascii="Arial" w:cs="Arial" w:eastAsia="Arial" w:hAnsi="Arial"/>
          <w:sz w:val="22"/>
          <w:szCs w:val="22"/>
          <w:color w:val="auto"/>
        </w:rPr>
      </w:pPr>
      <w:r>
        <w:rPr>
          <w:rFonts w:ascii="Arial" w:cs="Arial" w:eastAsia="Arial" w:hAnsi="Arial"/>
          <w:sz w:val="18"/>
          <w:szCs w:val="18"/>
          <w:color w:val="auto"/>
        </w:rPr>
        <w:t>the total number of shares voted by non-controlling shareholders and by shareholders who do not have a personal interest in the election of the external director against the election of the external director does not exceed 2% of the aggregate voting rights in the company.</w:t>
      </w:r>
    </w:p>
    <w:p>
      <w:pPr>
        <w:spacing w:after="0" w:line="203" w:lineRule="exact"/>
        <w:rPr>
          <w:sz w:val="20"/>
          <w:szCs w:val="20"/>
          <w:color w:val="auto"/>
        </w:rPr>
      </w:pPr>
    </w:p>
    <w:p>
      <w:pPr>
        <w:ind w:left="120" w:right="139" w:firstLine="216"/>
        <w:spacing w:after="0" w:line="289"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With respect to certain matters, a controlling shareholder is deemed to include a shareholder that holds 25% or more of the voting rights in a public company if no other shareholder holds more than 50% of the voting rights in the company, but excludes a shareholder whose power derives solely from his or her position as a director of the company or from any other position with the company. We expect that following this offering, Fortissimo Capital, which prior to this offering beneficially owned 69.6% of our shares, will be a controlling shareholder, although this status may change in the future.</w:t>
      </w:r>
    </w:p>
    <w:p>
      <w:pPr>
        <w:spacing w:after="0" w:line="167" w:lineRule="exact"/>
        <w:rPr>
          <w:sz w:val="20"/>
          <w:szCs w:val="20"/>
          <w:color w:val="auto"/>
        </w:rPr>
      </w:pPr>
    </w:p>
    <w:p>
      <w:pPr>
        <w:ind w:left="120" w:right="159" w:firstLine="216"/>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 either:</w:t>
      </w:r>
    </w:p>
    <w:p>
      <w:pPr>
        <w:spacing w:after="0" w:line="184" w:lineRule="exact"/>
        <w:rPr>
          <w:sz w:val="20"/>
          <w:szCs w:val="20"/>
          <w:color w:val="auto"/>
        </w:rPr>
      </w:pPr>
    </w:p>
    <w:p>
      <w:pPr>
        <w:ind w:left="560" w:right="119" w:hanging="219"/>
        <w:spacing w:after="0" w:line="260" w:lineRule="auto"/>
        <w:tabs>
          <w:tab w:leader="none" w:pos="572" w:val="left"/>
        </w:tabs>
        <w:numPr>
          <w:ilvl w:val="0"/>
          <w:numId w:val="42"/>
        </w:numPr>
        <w:rPr>
          <w:rFonts w:ascii="Arial" w:cs="Arial" w:eastAsia="Arial" w:hAnsi="Arial"/>
          <w:sz w:val="21"/>
          <w:szCs w:val="21"/>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Israeli Companies Law with respect to the affiliation of the external director nominee; or</w:t>
      </w:r>
    </w:p>
    <w:p>
      <w:pPr>
        <w:spacing w:after="0" w:line="201" w:lineRule="exact"/>
        <w:rPr>
          <w:rFonts w:ascii="Arial" w:cs="Arial" w:eastAsia="Arial" w:hAnsi="Arial"/>
          <w:sz w:val="21"/>
          <w:szCs w:val="21"/>
          <w:color w:val="auto"/>
        </w:rPr>
      </w:pPr>
    </w:p>
    <w:p>
      <w:pPr>
        <w:jc w:val="both"/>
        <w:ind w:left="560" w:right="119" w:hanging="219"/>
        <w:spacing w:after="0" w:line="238" w:lineRule="auto"/>
        <w:tabs>
          <w:tab w:leader="none" w:pos="613" w:val="left"/>
        </w:tabs>
        <w:numPr>
          <w:ilvl w:val="0"/>
          <w:numId w:val="42"/>
        </w:numPr>
        <w:rPr>
          <w:rFonts w:ascii="Arial" w:cs="Arial" w:eastAsia="Arial" w:hAnsi="Arial"/>
          <w:sz w:val="22"/>
          <w:szCs w:val="22"/>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203"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82" w:lineRule="exact"/>
        <w:rPr>
          <w:sz w:val="20"/>
          <w:szCs w:val="20"/>
          <w:color w:val="auto"/>
        </w:rPr>
      </w:pPr>
    </w:p>
    <w:p>
      <w:pPr>
        <w:ind w:left="120" w:right="439" w:firstLine="216"/>
        <w:spacing w:after="0" w:line="259"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5" w:name="page76"/>
    <w:bookmarkEnd w:id="75"/>
    <w:p>
      <w:pPr>
        <w:jc w:val="both"/>
        <w:ind w:left="120" w:right="239" w:firstLine="216"/>
        <w:spacing w:after="0" w:line="264" w:lineRule="auto"/>
        <w:rPr>
          <w:sz w:val="20"/>
          <w:szCs w:val="20"/>
          <w:color w:val="auto"/>
        </w:rPr>
      </w:pPr>
      <w:r>
        <w:rPr>
          <w:rFonts w:ascii="Arial" w:cs="Arial" w:eastAsia="Arial" w:hAnsi="Arial"/>
          <w:sz w:val="18"/>
          <w:szCs w:val="18"/>
          <w:color w:val="auto"/>
        </w:rPr>
        <w:t>If an external directorship becomes vacant and there are fewer than two external directors on the board of directors at the time, then the board of directors is required under the Israeli Companies Law to call a shareholders’ meeting as soon as practicable to appoint a replacement external director.</w:t>
      </w:r>
    </w:p>
    <w:p>
      <w:pPr>
        <w:spacing w:after="0" w:line="181" w:lineRule="exact"/>
        <w:rPr>
          <w:sz w:val="20"/>
          <w:szCs w:val="20"/>
          <w:color w:val="auto"/>
        </w:rPr>
      </w:pPr>
    </w:p>
    <w:p>
      <w:pPr>
        <w:ind w:left="120" w:right="259" w:firstLine="216"/>
        <w:spacing w:after="0" w:line="291" w:lineRule="auto"/>
        <w:rPr>
          <w:sz w:val="20"/>
          <w:szCs w:val="20"/>
          <w:color w:val="auto"/>
        </w:rPr>
      </w:pPr>
      <w:r>
        <w:rPr>
          <w:rFonts w:ascii="Arial" w:cs="Arial" w:eastAsia="Arial" w:hAnsi="Arial"/>
          <w:sz w:val="16"/>
          <w:szCs w:val="16"/>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Israeli Companies Law, external directors of a company are prohibited from receiving, directly or indirectly, any compensation from the company other than for their services as external directors pursuant to the Israeli Companies Law and the regulations promulgated thereunder. Compensation of an external director is determined prior to his or her appointment and may not be changed during his or her term subject to certain exceptions.</w:t>
      </w:r>
    </w:p>
    <w:p>
      <w:pPr>
        <w:spacing w:after="0" w:line="167" w:lineRule="exact"/>
        <w:rPr>
          <w:sz w:val="20"/>
          <w:szCs w:val="20"/>
          <w:color w:val="auto"/>
        </w:rPr>
      </w:pPr>
    </w:p>
    <w:p>
      <w:pPr>
        <w:ind w:left="120" w:right="139" w:firstLine="216"/>
        <w:spacing w:after="0" w:line="253" w:lineRule="auto"/>
        <w:rPr>
          <w:sz w:val="20"/>
          <w:szCs w:val="20"/>
          <w:color w:val="auto"/>
        </w:rPr>
      </w:pPr>
      <w:r>
        <w:rPr>
          <w:rFonts w:ascii="Arial" w:cs="Arial" w:eastAsia="Arial" w:hAnsi="Arial"/>
          <w:sz w:val="18"/>
          <w:szCs w:val="18"/>
          <w:color w:val="auto"/>
        </w:rPr>
        <w:t>The Israeli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95"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term “relative” is defined in the Israeli Companies Law as a spouse, sibling, parent, grandparent or descendant; spouse’s sibling, parent or descendant; and the spouse of each of the foregoing persons.</w:t>
      </w:r>
    </w:p>
    <w:p>
      <w:pPr>
        <w:spacing w:after="0" w:line="170"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Under the Israeli Companies Law, the term “affiliation” and the similar types of disqualifying relationships, as used above, include (subject to certain exceptions):</w:t>
      </w:r>
    </w:p>
    <w:p>
      <w:pPr>
        <w:spacing w:after="0" w:line="161" w:lineRule="exact"/>
        <w:rPr>
          <w:sz w:val="20"/>
          <w:szCs w:val="20"/>
          <w:color w:val="auto"/>
        </w:rPr>
      </w:pPr>
    </w:p>
    <w:p>
      <w:pPr>
        <w:ind w:left="560" w:hanging="219"/>
        <w:spacing w:after="0"/>
        <w:tabs>
          <w:tab w:leader="none" w:pos="560" w:val="left"/>
        </w:tabs>
        <w:numPr>
          <w:ilvl w:val="0"/>
          <w:numId w:val="43"/>
        </w:numPr>
        <w:rPr>
          <w:rFonts w:ascii="Arial" w:cs="Arial" w:eastAsia="Arial" w:hAnsi="Arial"/>
          <w:sz w:val="22"/>
          <w:szCs w:val="22"/>
          <w:color w:val="auto"/>
        </w:rPr>
      </w:pPr>
      <w:r>
        <w:rPr>
          <w:rFonts w:ascii="Arial" w:cs="Arial" w:eastAsia="Arial" w:hAnsi="Arial"/>
          <w:sz w:val="18"/>
          <w:szCs w:val="18"/>
          <w:color w:val="auto"/>
        </w:rPr>
        <w:t>an employment relationship;</w:t>
      </w:r>
    </w:p>
    <w:p>
      <w:pPr>
        <w:spacing w:after="0" w:line="215" w:lineRule="exact"/>
        <w:rPr>
          <w:rFonts w:ascii="Arial" w:cs="Arial" w:eastAsia="Arial" w:hAnsi="Arial"/>
          <w:sz w:val="22"/>
          <w:szCs w:val="22"/>
          <w:color w:val="auto"/>
        </w:rPr>
      </w:pPr>
    </w:p>
    <w:p>
      <w:pPr>
        <w:ind w:left="560" w:right="979" w:hanging="219"/>
        <w:spacing w:after="0" w:line="232" w:lineRule="auto"/>
        <w:tabs>
          <w:tab w:leader="none" w:pos="572" w:val="left"/>
        </w:tabs>
        <w:numPr>
          <w:ilvl w:val="0"/>
          <w:numId w:val="43"/>
        </w:numPr>
        <w:rPr>
          <w:rFonts w:ascii="Arial" w:cs="Arial" w:eastAsia="Arial" w:hAnsi="Arial"/>
          <w:sz w:val="22"/>
          <w:szCs w:val="22"/>
          <w:color w:val="auto"/>
        </w:rPr>
      </w:pPr>
      <w:r>
        <w:rPr>
          <w:rFonts w:ascii="Arial" w:cs="Arial" w:eastAsia="Arial" w:hAnsi="Arial"/>
          <w:sz w:val="18"/>
          <w:szCs w:val="18"/>
          <w:color w:val="auto"/>
        </w:rPr>
        <w:t>a business or professional relationship even if not maintained on a regular basis (excluding insignificant relationships); control; and</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86" w:val="left"/>
        </w:tabs>
        <w:numPr>
          <w:ilvl w:val="0"/>
          <w:numId w:val="43"/>
        </w:numPr>
        <w:rPr>
          <w:rFonts w:ascii="Arial" w:cs="Arial" w:eastAsia="Arial" w:hAnsi="Arial"/>
          <w:sz w:val="22"/>
          <w:szCs w:val="22"/>
          <w:color w:val="auto"/>
        </w:rPr>
      </w:pPr>
      <w:r>
        <w:rPr>
          <w:rFonts w:ascii="Arial" w:cs="Arial" w:eastAsia="Arial" w:hAnsi="Arial"/>
          <w:sz w:val="18"/>
          <w:szCs w:val="18"/>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203" w:lineRule="exact"/>
        <w:rPr>
          <w:sz w:val="20"/>
          <w:szCs w:val="20"/>
          <w:color w:val="auto"/>
        </w:rPr>
      </w:pPr>
    </w:p>
    <w:p>
      <w:pPr>
        <w:ind w:left="120" w:right="339" w:firstLine="216"/>
        <w:spacing w:after="0" w:line="312" w:lineRule="auto"/>
        <w:rPr>
          <w:sz w:val="20"/>
          <w:szCs w:val="20"/>
          <w:color w:val="auto"/>
        </w:rPr>
      </w:pPr>
      <w:r>
        <w:rPr>
          <w:rFonts w:ascii="Arial" w:cs="Arial" w:eastAsia="Arial" w:hAnsi="Arial"/>
          <w:sz w:val="16"/>
          <w:szCs w:val="16"/>
          <w:color w:val="auto"/>
        </w:rPr>
        <w:t>The term “office holder” is defined in the Israeli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47"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Israeli Companies Law and the regulations promulgated thereunder.</w:t>
      </w:r>
    </w:p>
    <w:p>
      <w:pPr>
        <w:spacing w:after="0" w:line="178"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6" w:name="page77"/>
    <w:bookmarkEnd w:id="76"/>
    <w:p>
      <w:pPr>
        <w:ind w:left="120" w:right="119" w:firstLine="216"/>
        <w:spacing w:after="0" w:line="302"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54" w:lineRule="exact"/>
        <w:rPr>
          <w:sz w:val="20"/>
          <w:szCs w:val="20"/>
          <w:color w:val="auto"/>
        </w:rPr>
      </w:pPr>
    </w:p>
    <w:p>
      <w:pPr>
        <w:ind w:left="120" w:right="179" w:firstLine="216"/>
        <w:spacing w:after="0" w:line="290" w:lineRule="auto"/>
        <w:rPr>
          <w:sz w:val="20"/>
          <w:szCs w:val="20"/>
          <w:color w:val="auto"/>
        </w:rPr>
      </w:pPr>
      <w:r>
        <w:rPr>
          <w:rFonts w:ascii="Arial" w:cs="Arial" w:eastAsia="Arial" w:hAnsi="Arial"/>
          <w:sz w:val="16"/>
          <w:szCs w:val="16"/>
          <w:color w:val="auto"/>
        </w:rPr>
        <w:t>According to the Israeli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Securities Exchange Act of 1934, as amended, or the Exchange Act, (ii) meets the standards of the Listing Rules of the NASDAQ Stock Market rules for membership on the audit committee, and (iii) has accounting and financial expertise as defined under the Israeli Companies Law, then neither of our external directors is required to possess accounting and financial expertise as long as each possesses the requisite professional qualifications.</w:t>
      </w:r>
    </w:p>
    <w:p>
      <w:pPr>
        <w:spacing w:after="0" w:line="166"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 (c) a senior position in public administration or service. The board of directors is charged with determining whether a director possesses financial and accounting expertise or professional qualifications.</w:t>
      </w:r>
    </w:p>
    <w:p>
      <w:pPr>
        <w:spacing w:after="0" w:line="173" w:lineRule="exact"/>
        <w:rPr>
          <w:sz w:val="20"/>
          <w:szCs w:val="20"/>
          <w:color w:val="auto"/>
        </w:rPr>
      </w:pPr>
    </w:p>
    <w:p>
      <w:pPr>
        <w:ind w:left="120" w:right="419" w:firstLine="216"/>
        <w:spacing w:after="0" w:line="277" w:lineRule="auto"/>
        <w:rPr>
          <w:sz w:val="20"/>
          <w:szCs w:val="20"/>
          <w:color w:val="auto"/>
        </w:rPr>
      </w:pPr>
      <w:r>
        <w:rPr>
          <w:rFonts w:ascii="Arial" w:cs="Arial" w:eastAsia="Arial" w:hAnsi="Arial"/>
          <w:sz w:val="18"/>
          <w:szCs w:val="18"/>
          <w:color w:val="auto"/>
        </w:rPr>
        <w:t>Our board of directors has determined that has accounting and financial expertise and possesses professional qualifications as required under the Israeli Companies Law.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In accordance with the Israeli Companies Law and our amended and restated articles of association, our board of directors is required to appoint one of its members to serve as chairman of the board of directors. Our board of directors has appointed Yuval Cohen to serve as chairman of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listing of our ordinary shares on the NASDAQ Global Market, our audit committee will consist of our</w:t>
      </w:r>
    </w:p>
    <w:p>
      <w:pPr>
        <w:spacing w:after="0" w:line="35" w:lineRule="exact"/>
        <w:rPr>
          <w:sz w:val="20"/>
          <w:szCs w:val="20"/>
          <w:color w:val="auto"/>
        </w:rPr>
      </w:pPr>
    </w:p>
    <w:p>
      <w:pPr>
        <w:ind w:left="120"/>
        <w:spacing w:after="0"/>
        <w:tabs>
          <w:tab w:leader="none" w:pos="2120" w:val="left"/>
          <w:tab w:leader="none" w:pos="3760" w:val="left"/>
          <w:tab w:leader="none" w:pos="4500" w:val="left"/>
        </w:tabs>
        <w:rPr>
          <w:sz w:val="20"/>
          <w:szCs w:val="20"/>
          <w:color w:val="auto"/>
        </w:rPr>
      </w:pPr>
      <w:r>
        <w:rPr>
          <w:rFonts w:ascii="Arial" w:cs="Arial" w:eastAsia="Arial" w:hAnsi="Arial"/>
          <w:sz w:val="18"/>
          <w:szCs w:val="18"/>
          <w:color w:val="auto"/>
        </w:rPr>
        <w:t>two external directors</w:t>
      </w:r>
      <w:r>
        <w:rPr>
          <w:sz w:val="20"/>
          <w:szCs w:val="20"/>
          <w:color w:val="auto"/>
        </w:rPr>
        <w:tab/>
      </w:r>
      <w:r>
        <w:rPr>
          <w:rFonts w:ascii="Arial" w:cs="Arial" w:eastAsia="Arial" w:hAnsi="Arial"/>
          <w:sz w:val="18"/>
          <w:szCs w:val="18"/>
          <w:color w:val="auto"/>
        </w:rPr>
        <w:t>(Chairman) and</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219" w:firstLine="216"/>
        <w:spacing w:after="0" w:line="270" w:lineRule="auto"/>
        <w:rPr>
          <w:sz w:val="20"/>
          <w:szCs w:val="20"/>
          <w:color w:val="auto"/>
        </w:rPr>
      </w:pPr>
      <w:r>
        <w:rPr>
          <w:rFonts w:ascii="Arial" w:cs="Arial" w:eastAsia="Arial" w:hAnsi="Arial"/>
          <w:sz w:val="17"/>
          <w:szCs w:val="17"/>
          <w:color w:val="auto"/>
        </w:rPr>
        <w:t>Under the Israeli Companies Law, we will be required to appoint an audit committee following the closing of this offering. The audit committee must be comprised of at least three directors, including all of the external directors, one of whom must serve as chairman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Israeli Companies Law, the audit committee of a publicly traded company must consist of a majority of independent directors. In general, an “independent director” under the Israeli Companies Law is defined as either an external director or as a director who meets the following criteria:</w:t>
      </w:r>
    </w:p>
    <w:p>
      <w:pPr>
        <w:spacing w:after="0" w:line="195" w:lineRule="exact"/>
        <w:rPr>
          <w:sz w:val="20"/>
          <w:szCs w:val="20"/>
          <w:color w:val="auto"/>
        </w:rPr>
      </w:pPr>
    </w:p>
    <w:p>
      <w:pPr>
        <w:ind w:left="560" w:right="179" w:hanging="219"/>
        <w:spacing w:after="0" w:line="297" w:lineRule="auto"/>
        <w:tabs>
          <w:tab w:leader="none" w:pos="572" w:val="left"/>
        </w:tabs>
        <w:numPr>
          <w:ilvl w:val="0"/>
          <w:numId w:val="44"/>
        </w:numPr>
        <w:rPr>
          <w:rFonts w:ascii="Arial" w:cs="Arial" w:eastAsia="Arial" w:hAnsi="Arial"/>
          <w:sz w:val="19"/>
          <w:szCs w:val="19"/>
          <w:color w:val="auto"/>
        </w:rPr>
      </w:pPr>
      <w:r>
        <w:rPr>
          <w:rFonts w:ascii="Arial" w:cs="Arial" w:eastAsia="Arial" w:hAnsi="Arial"/>
          <w:sz w:val="16"/>
          <w:szCs w:val="16"/>
          <w:color w:val="auto"/>
        </w:rPr>
        <w:t>he or she meets the qualifications for being appointed as an external director, except for the requirement (i) that the director be an Israeli resident (which does not apply to companies such as ours whose securities have been offered</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7" w:name="page78"/>
    <w:bookmarkEnd w:id="77"/>
    <w:p>
      <w:pPr>
        <w:ind w:left="560" w:right="799"/>
        <w:spacing w:after="0" w:line="277" w:lineRule="auto"/>
        <w:rPr>
          <w:sz w:val="20"/>
          <w:szCs w:val="20"/>
          <w:color w:val="auto"/>
        </w:rPr>
      </w:pPr>
      <w:r>
        <w:rPr>
          <w:rFonts w:ascii="Arial" w:cs="Arial" w:eastAsia="Arial" w:hAnsi="Arial"/>
          <w:sz w:val="18"/>
          <w:szCs w:val="18"/>
          <w:color w:val="auto"/>
        </w:rPr>
        <w:t>outside of Israel or are listed for trading outside of Israel) and (ii) for accounting and financial expertise or professional qualifications; and</w:t>
      </w:r>
    </w:p>
    <w:p>
      <w:pPr>
        <w:spacing w:after="0" w:line="184" w:lineRule="exact"/>
        <w:rPr>
          <w:sz w:val="20"/>
          <w:szCs w:val="20"/>
          <w:color w:val="auto"/>
        </w:rPr>
      </w:pPr>
    </w:p>
    <w:p>
      <w:pPr>
        <w:jc w:val="both"/>
        <w:ind w:left="560" w:right="119" w:hanging="219"/>
        <w:spacing w:after="0" w:line="238" w:lineRule="auto"/>
        <w:tabs>
          <w:tab w:leader="none" w:pos="626" w:val="left"/>
        </w:tabs>
        <w:numPr>
          <w:ilvl w:val="0"/>
          <w:numId w:val="45"/>
        </w:numPr>
        <w:rPr>
          <w:rFonts w:ascii="Arial" w:cs="Arial" w:eastAsia="Arial" w:hAnsi="Arial"/>
          <w:sz w:val="22"/>
          <w:szCs w:val="22"/>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left="120" w:right="419" w:firstLine="216"/>
        <w:spacing w:after="0" w:line="264"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81"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All members of our audit committee will meet the requirements for financial literacy under the applicable rules and regulations of the Commission and NASDAQ corporate governance rules. Our board of directors has determined that is an audit committee financial expert as defined by the Commission rules and has the requisite financial experience as defined by NASDAQ corporate governance rules.</w:t>
      </w:r>
    </w:p>
    <w:p>
      <w:pPr>
        <w:spacing w:after="0" w:line="187" w:lineRule="exact"/>
        <w:rPr>
          <w:sz w:val="20"/>
          <w:szCs w:val="20"/>
          <w:color w:val="auto"/>
        </w:rPr>
      </w:pPr>
    </w:p>
    <w:p>
      <w:pPr>
        <w:ind w:left="120" w:right="199" w:firstLine="216"/>
        <w:spacing w:after="0" w:line="342" w:lineRule="auto"/>
        <w:rPr>
          <w:sz w:val="20"/>
          <w:szCs w:val="20"/>
          <w:color w:val="auto"/>
        </w:rPr>
      </w:pPr>
      <w:r>
        <w:rPr>
          <w:rFonts w:ascii="Arial" w:cs="Arial" w:eastAsia="Arial" w:hAnsi="Arial"/>
          <w:sz w:val="16"/>
          <w:szCs w:val="16"/>
          <w:color w:val="auto"/>
        </w:rPr>
        <w:t>Each of the members of our audit committee will be “independent” as such term is defined in Rule 10A-3(b)(1) under the Exchange Act and satisfies the independent director requirements under the NASDAQ Stock Market rules.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ind w:left="120" w:right="319" w:firstLine="216"/>
        <w:spacing w:after="0" w:line="279" w:lineRule="auto"/>
        <w:rPr>
          <w:sz w:val="20"/>
          <w:szCs w:val="20"/>
          <w:color w:val="auto"/>
        </w:rPr>
      </w:pPr>
      <w:r>
        <w:rPr>
          <w:rFonts w:ascii="Arial" w:cs="Arial" w:eastAsia="Arial" w:hAnsi="Arial"/>
          <w:sz w:val="17"/>
          <w:szCs w:val="17"/>
          <w:color w:val="auto"/>
        </w:rPr>
        <w:t>We expect that our board of directors will adopt an audit committee charter to be effective upon the listing of our shares on the NASDAQ Global Market that will set forth the responsibilities of the audit committee consistent with the rules and regulations of the Commission and the listing requirements of the NASDAQ Stock Market, as well as the requirements for such committee under the Israeli Companies Law, including the following:</w:t>
      </w:r>
    </w:p>
    <w:p>
      <w:pPr>
        <w:spacing w:after="0" w:line="185" w:lineRule="exact"/>
        <w:rPr>
          <w:sz w:val="20"/>
          <w:szCs w:val="20"/>
          <w:color w:val="auto"/>
        </w:rPr>
      </w:pPr>
    </w:p>
    <w:p>
      <w:pPr>
        <w:ind w:left="560" w:right="239" w:hanging="219"/>
        <w:spacing w:after="0" w:line="238" w:lineRule="auto"/>
        <w:tabs>
          <w:tab w:leader="none" w:pos="572" w:val="left"/>
        </w:tabs>
        <w:numPr>
          <w:ilvl w:val="0"/>
          <w:numId w:val="46"/>
        </w:numPr>
        <w:rPr>
          <w:rFonts w:ascii="Arial" w:cs="Arial" w:eastAsia="Arial" w:hAnsi="Arial"/>
          <w:sz w:val="22"/>
          <w:szCs w:val="22"/>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46"/>
        </w:numPr>
        <w:rPr>
          <w:rFonts w:ascii="Arial" w:cs="Arial" w:eastAsia="Arial" w:hAnsi="Arial"/>
          <w:sz w:val="22"/>
          <w:szCs w:val="22"/>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46"/>
        </w:numPr>
        <w:rPr>
          <w:rFonts w:ascii="Arial" w:cs="Arial" w:eastAsia="Arial" w:hAnsi="Arial"/>
          <w:sz w:val="22"/>
          <w:szCs w:val="22"/>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204"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Israeli Companies Law, our audit committee is responsible for:</w:t>
      </w:r>
    </w:p>
    <w:p>
      <w:pPr>
        <w:spacing w:after="0" w:line="239" w:lineRule="exact"/>
        <w:rPr>
          <w:sz w:val="20"/>
          <w:szCs w:val="20"/>
          <w:color w:val="auto"/>
        </w:rPr>
      </w:pPr>
    </w:p>
    <w:p>
      <w:pPr>
        <w:jc w:val="both"/>
        <w:ind w:left="560" w:right="499" w:hanging="219"/>
        <w:spacing w:after="0" w:line="238" w:lineRule="auto"/>
        <w:tabs>
          <w:tab w:leader="none" w:pos="572" w:val="left"/>
        </w:tabs>
        <w:numPr>
          <w:ilvl w:val="0"/>
          <w:numId w:val="47"/>
        </w:numPr>
        <w:rPr>
          <w:rFonts w:ascii="Arial" w:cs="Arial" w:eastAsia="Arial" w:hAnsi="Arial"/>
          <w:sz w:val="22"/>
          <w:szCs w:val="22"/>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216" w:lineRule="exact"/>
        <w:rPr>
          <w:rFonts w:ascii="Arial" w:cs="Arial" w:eastAsia="Arial" w:hAnsi="Arial"/>
          <w:sz w:val="22"/>
          <w:szCs w:val="22"/>
          <w:color w:val="auto"/>
        </w:rPr>
      </w:pPr>
    </w:p>
    <w:p>
      <w:pPr>
        <w:jc w:val="both"/>
        <w:ind w:left="560" w:right="219" w:hanging="219"/>
        <w:spacing w:after="0" w:line="238" w:lineRule="auto"/>
        <w:tabs>
          <w:tab w:leader="none" w:pos="572" w:val="left"/>
        </w:tabs>
        <w:numPr>
          <w:ilvl w:val="0"/>
          <w:numId w:val="47"/>
        </w:numPr>
        <w:rPr>
          <w:rFonts w:ascii="Arial" w:cs="Arial" w:eastAsia="Arial" w:hAnsi="Arial"/>
          <w:sz w:val="22"/>
          <w:szCs w:val="22"/>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extraordinary or material under the Israeli Companies Law) (see “—Approval of Related Party Transactions under Israeli Law”);</w:t>
      </w:r>
    </w:p>
    <w:p>
      <w:pPr>
        <w:spacing w:after="0" w:line="216" w:lineRule="exact"/>
        <w:rPr>
          <w:rFonts w:ascii="Arial" w:cs="Arial" w:eastAsia="Arial" w:hAnsi="Arial"/>
          <w:sz w:val="22"/>
          <w:szCs w:val="22"/>
          <w:color w:val="auto"/>
        </w:rPr>
      </w:pPr>
    </w:p>
    <w:p>
      <w:pPr>
        <w:ind w:left="560" w:right="179" w:hanging="219"/>
        <w:spacing w:after="0" w:line="238" w:lineRule="auto"/>
        <w:tabs>
          <w:tab w:leader="none" w:pos="572" w:val="left"/>
        </w:tabs>
        <w:numPr>
          <w:ilvl w:val="0"/>
          <w:numId w:val="47"/>
        </w:numPr>
        <w:rPr>
          <w:rFonts w:ascii="Arial" w:cs="Arial" w:eastAsia="Arial" w:hAnsi="Arial"/>
          <w:sz w:val="22"/>
          <w:szCs w:val="22"/>
          <w:color w:val="auto"/>
        </w:rPr>
      </w:pPr>
      <w:r>
        <w:rPr>
          <w:rFonts w:ascii="Arial" w:cs="Arial" w:eastAsia="Arial" w:hAnsi="Arial"/>
          <w:sz w:val="18"/>
          <w:szCs w:val="18"/>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8" w:name="page79"/>
    <w:bookmarkEnd w:id="78"/>
    <w:p>
      <w:pPr>
        <w:ind w:left="560" w:right="139" w:hanging="219"/>
        <w:spacing w:after="0" w:line="232" w:lineRule="auto"/>
        <w:tabs>
          <w:tab w:leader="none" w:pos="572" w:val="left"/>
        </w:tabs>
        <w:numPr>
          <w:ilvl w:val="0"/>
          <w:numId w:val="48"/>
        </w:numPr>
        <w:rPr>
          <w:rFonts w:ascii="Arial" w:cs="Arial" w:eastAsia="Arial" w:hAnsi="Arial"/>
          <w:sz w:val="22"/>
          <w:szCs w:val="22"/>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217" w:lineRule="exact"/>
        <w:rPr>
          <w:rFonts w:ascii="Arial" w:cs="Arial" w:eastAsia="Arial" w:hAnsi="Arial"/>
          <w:sz w:val="22"/>
          <w:szCs w:val="22"/>
          <w:color w:val="auto"/>
        </w:rPr>
      </w:pPr>
    </w:p>
    <w:p>
      <w:pPr>
        <w:ind w:left="560" w:right="159" w:hanging="219"/>
        <w:spacing w:after="0" w:line="232" w:lineRule="auto"/>
        <w:tabs>
          <w:tab w:leader="none" w:pos="572" w:val="left"/>
        </w:tabs>
        <w:numPr>
          <w:ilvl w:val="0"/>
          <w:numId w:val="48"/>
        </w:numPr>
        <w:rPr>
          <w:rFonts w:ascii="Arial" w:cs="Arial" w:eastAsia="Arial" w:hAnsi="Arial"/>
          <w:sz w:val="22"/>
          <w:szCs w:val="22"/>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responsibilities;</w:t>
      </w:r>
    </w:p>
    <w:p>
      <w:pPr>
        <w:spacing w:after="0" w:line="217" w:lineRule="exact"/>
        <w:rPr>
          <w:rFonts w:ascii="Arial" w:cs="Arial" w:eastAsia="Arial" w:hAnsi="Arial"/>
          <w:sz w:val="22"/>
          <w:szCs w:val="22"/>
          <w:color w:val="auto"/>
        </w:rPr>
      </w:pPr>
    </w:p>
    <w:p>
      <w:pPr>
        <w:ind w:left="560" w:right="139" w:hanging="219"/>
        <w:spacing w:after="0" w:line="238" w:lineRule="auto"/>
        <w:tabs>
          <w:tab w:leader="none" w:pos="572" w:val="left"/>
        </w:tabs>
        <w:numPr>
          <w:ilvl w:val="0"/>
          <w:numId w:val="48"/>
        </w:numPr>
        <w:rPr>
          <w:rFonts w:ascii="Arial" w:cs="Arial" w:eastAsia="Arial" w:hAnsi="Arial"/>
          <w:sz w:val="22"/>
          <w:szCs w:val="22"/>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48"/>
        </w:numPr>
        <w:rPr>
          <w:rFonts w:ascii="Arial" w:cs="Arial" w:eastAsia="Arial" w:hAnsi="Arial"/>
          <w:sz w:val="22"/>
          <w:szCs w:val="22"/>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204" w:lineRule="exact"/>
        <w:rPr>
          <w:sz w:val="20"/>
          <w:szCs w:val="20"/>
          <w:color w:val="auto"/>
        </w:rPr>
      </w:pPr>
    </w:p>
    <w:p>
      <w:pPr>
        <w:ind w:left="120" w:right="299" w:firstLine="216"/>
        <w:spacing w:after="0" w:line="286" w:lineRule="auto"/>
        <w:rPr>
          <w:sz w:val="20"/>
          <w:szCs w:val="20"/>
          <w:color w:val="auto"/>
        </w:rPr>
      </w:pPr>
      <w:r>
        <w:rPr>
          <w:rFonts w:ascii="Arial" w:cs="Arial" w:eastAsia="Arial" w:hAnsi="Arial"/>
          <w:sz w:val="17"/>
          <w:szCs w:val="17"/>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Following the listing of our ordinary shares on the NASDAQ Global Market, our compensation committee will</w:t>
      </w:r>
    </w:p>
    <w:p>
      <w:pPr>
        <w:spacing w:after="0" w:line="35" w:lineRule="exact"/>
        <w:rPr>
          <w:sz w:val="20"/>
          <w:szCs w:val="20"/>
          <w:color w:val="auto"/>
        </w:rPr>
      </w:pPr>
    </w:p>
    <w:p>
      <w:pPr>
        <w:ind w:left="120"/>
        <w:spacing w:after="0"/>
        <w:tabs>
          <w:tab w:leader="none" w:pos="1240" w:val="left"/>
          <w:tab w:leader="none" w:pos="2620" w:val="left"/>
          <w:tab w:leader="none" w:pos="3380" w:val="left"/>
        </w:tabs>
        <w:rPr>
          <w:sz w:val="20"/>
          <w:szCs w:val="20"/>
          <w:color w:val="auto"/>
        </w:rPr>
      </w:pPr>
      <w:r>
        <w:rPr>
          <w:rFonts w:ascii="Arial" w:cs="Arial" w:eastAsia="Arial" w:hAnsi="Arial"/>
          <w:sz w:val="18"/>
          <w:szCs w:val="18"/>
          <w:color w:val="auto"/>
        </w:rPr>
        <w:t>consist of</w:t>
      </w:r>
      <w:r>
        <w:rPr>
          <w:sz w:val="20"/>
          <w:szCs w:val="20"/>
          <w:color w:val="auto"/>
        </w:rPr>
        <w:tab/>
      </w: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Israeli Companies Law Requirements</w:t>
      </w:r>
    </w:p>
    <w:p>
      <w:pPr>
        <w:spacing w:after="0" w:line="225"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Under the Israeli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Market, and who do not have a controlling shareholder, do not have to meet this majority requirement; provided, however, that the compensation committee meets other Israeli Companies Law composition requirements, as well as the requirements of the jurisdiction where the company’s securities are traded. As we currently have a controlling shareholder,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Israeli Companies Law restrictions as the audit committee as to who may not be a member of the compensation committee.</w:t>
      </w:r>
    </w:p>
    <w:p>
      <w:pPr>
        <w:spacing w:after="0" w:line="173" w:lineRule="exact"/>
        <w:rPr>
          <w:sz w:val="20"/>
          <w:szCs w:val="20"/>
          <w:color w:val="auto"/>
        </w:rPr>
      </w:pPr>
    </w:p>
    <w:p>
      <w:pPr>
        <w:ind w:left="120" w:right="119" w:firstLine="216"/>
        <w:spacing w:after="0" w:line="287" w:lineRule="auto"/>
        <w:rPr>
          <w:sz w:val="20"/>
          <w:szCs w:val="20"/>
          <w:color w:val="auto"/>
        </w:rPr>
      </w:pPr>
      <w:r>
        <w:rPr>
          <w:rFonts w:ascii="Arial" w:cs="Arial" w:eastAsia="Arial" w:hAnsi="Arial"/>
          <w:sz w:val="16"/>
          <w:szCs w:val="16"/>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will need to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 We will be required to adopt a compensation policy within nine months following our listing on the NASDAQ Global Market.</w:t>
      </w:r>
    </w:p>
    <w:p>
      <w:pPr>
        <w:spacing w:after="0" w:line="173" w:lineRule="exact"/>
        <w:rPr>
          <w:sz w:val="20"/>
          <w:szCs w:val="20"/>
          <w:color w:val="auto"/>
        </w:rPr>
      </w:pPr>
    </w:p>
    <w:p>
      <w:pPr>
        <w:ind w:left="120" w:right="199" w:firstLine="216"/>
        <w:spacing w:after="0" w:line="290" w:lineRule="auto"/>
        <w:rPr>
          <w:sz w:val="20"/>
          <w:szCs w:val="20"/>
          <w:color w:val="auto"/>
        </w:rPr>
      </w:pPr>
      <w:r>
        <w:rPr>
          <w:rFonts w:ascii="Arial" w:cs="Arial" w:eastAsia="Arial" w:hAnsi="Arial"/>
          <w:sz w:val="16"/>
          <w:szCs w:val="16"/>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79" w:name="page80"/>
    <w:bookmarkEnd w:id="79"/>
    <w:p>
      <w:pPr>
        <w:ind w:left="120" w:right="219" w:firstLine="216"/>
        <w:spacing w:after="0" w:line="302" w:lineRule="auto"/>
        <w:rPr>
          <w:sz w:val="20"/>
          <w:szCs w:val="20"/>
          <w:color w:val="auto"/>
        </w:rPr>
      </w:pPr>
      <w:r>
        <w:rPr>
          <w:rFonts w:ascii="Arial" w:cs="Arial" w:eastAsia="Arial" w:hAnsi="Arial"/>
          <w:sz w:val="16"/>
          <w:szCs w:val="16"/>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previously fulfilled by a company’s audit committee with respect to matters related to approval of the terms of engagement of office holders, including:</w:t>
      </w:r>
    </w:p>
    <w:p>
      <w:pPr>
        <w:spacing w:after="0" w:line="168" w:lineRule="exact"/>
        <w:rPr>
          <w:sz w:val="20"/>
          <w:szCs w:val="20"/>
          <w:color w:val="auto"/>
        </w:rPr>
      </w:pPr>
    </w:p>
    <w:p>
      <w:pPr>
        <w:ind w:left="560" w:right="399" w:hanging="219"/>
        <w:spacing w:after="0" w:line="238"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216" w:lineRule="exact"/>
        <w:rPr>
          <w:rFonts w:ascii="Arial" w:cs="Arial" w:eastAsia="Arial" w:hAnsi="Arial"/>
          <w:sz w:val="22"/>
          <w:szCs w:val="22"/>
          <w:color w:val="auto"/>
        </w:rPr>
      </w:pPr>
    </w:p>
    <w:p>
      <w:pPr>
        <w:ind w:left="560" w:right="179" w:hanging="219"/>
        <w:spacing w:after="0" w:line="232"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recommending to the board of directors periodic updates to the compensation policy and assessing implementation of the compensation policy;</w:t>
      </w:r>
    </w:p>
    <w:p>
      <w:pPr>
        <w:spacing w:after="0" w:line="217" w:lineRule="exact"/>
        <w:rPr>
          <w:rFonts w:ascii="Arial" w:cs="Arial" w:eastAsia="Arial" w:hAnsi="Arial"/>
          <w:sz w:val="22"/>
          <w:szCs w:val="22"/>
          <w:color w:val="auto"/>
        </w:rPr>
      </w:pPr>
    </w:p>
    <w:p>
      <w:pPr>
        <w:ind w:left="560" w:right="859" w:hanging="219"/>
        <w:spacing w:after="0" w:line="232"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approving compensation terms of executive officers, directors and employees that require approval of the compensation committee;</w:t>
      </w:r>
    </w:p>
    <w:p>
      <w:pPr>
        <w:spacing w:after="0" w:line="217" w:lineRule="exact"/>
        <w:rPr>
          <w:rFonts w:ascii="Arial" w:cs="Arial" w:eastAsia="Arial" w:hAnsi="Arial"/>
          <w:sz w:val="22"/>
          <w:szCs w:val="22"/>
          <w:color w:val="auto"/>
        </w:rPr>
      </w:pPr>
    </w:p>
    <w:p>
      <w:pPr>
        <w:ind w:left="560" w:right="559" w:hanging="219"/>
        <w:spacing w:after="0" w:line="238" w:lineRule="auto"/>
        <w:tabs>
          <w:tab w:leader="none" w:pos="572"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216"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49"/>
        </w:numPr>
        <w:rPr>
          <w:rFonts w:ascii="Arial" w:cs="Arial" w:eastAsia="Arial" w:hAnsi="Arial"/>
          <w:sz w:val="22"/>
          <w:szCs w:val="22"/>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NASDAQ Listing Requirements</w:t>
      </w:r>
    </w:p>
    <w:p>
      <w:pPr>
        <w:spacing w:after="0" w:line="212" w:lineRule="exact"/>
        <w:rPr>
          <w:sz w:val="20"/>
          <w:szCs w:val="20"/>
          <w:color w:val="auto"/>
        </w:rPr>
      </w:pPr>
    </w:p>
    <w:p>
      <w:pPr>
        <w:ind w:left="120" w:right="139" w:firstLine="216"/>
        <w:spacing w:after="0" w:line="302" w:lineRule="auto"/>
        <w:rPr>
          <w:sz w:val="20"/>
          <w:szCs w:val="20"/>
          <w:color w:val="auto"/>
        </w:rPr>
      </w:pPr>
      <w:r>
        <w:rPr>
          <w:rFonts w:ascii="Arial" w:cs="Arial" w:eastAsia="Arial" w:hAnsi="Arial"/>
          <w:sz w:val="16"/>
          <w:szCs w:val="16"/>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will satisfy those requirements.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Role</w:t>
      </w:r>
    </w:p>
    <w:p>
      <w:pPr>
        <w:spacing w:after="0" w:line="212" w:lineRule="exact"/>
        <w:rPr>
          <w:sz w:val="20"/>
          <w:szCs w:val="20"/>
          <w:color w:val="auto"/>
        </w:rPr>
      </w:pPr>
    </w:p>
    <w:p>
      <w:pPr>
        <w:ind w:left="120" w:right="339" w:firstLine="216"/>
        <w:spacing w:after="0" w:line="342" w:lineRule="auto"/>
        <w:rPr>
          <w:sz w:val="20"/>
          <w:szCs w:val="20"/>
          <w:color w:val="auto"/>
        </w:rPr>
      </w:pPr>
      <w:r>
        <w:rPr>
          <w:rFonts w:ascii="Arial" w:cs="Arial" w:eastAsia="Arial" w:hAnsi="Arial"/>
          <w:sz w:val="16"/>
          <w:szCs w:val="16"/>
          <w:color w:val="auto"/>
        </w:rPr>
        <w:t>Our board of directors will adopt a compensation committee charter to be effective upon the listing of our shares on the NASDAQ Stock Market setting forth the responsibilities of the compensation committee, which include:</w:t>
      </w:r>
    </w:p>
    <w:p>
      <w:pPr>
        <w:spacing w:after="0" w:line="101" w:lineRule="exact"/>
        <w:rPr>
          <w:sz w:val="20"/>
          <w:szCs w:val="20"/>
          <w:color w:val="auto"/>
        </w:rPr>
      </w:pPr>
    </w:p>
    <w:p>
      <w:pPr>
        <w:ind w:left="560" w:hanging="219"/>
        <w:spacing w:after="0"/>
        <w:tabs>
          <w:tab w:leader="none" w:pos="560" w:val="left"/>
        </w:tabs>
        <w:numPr>
          <w:ilvl w:val="0"/>
          <w:numId w:val="50"/>
        </w:numPr>
        <w:rPr>
          <w:rFonts w:ascii="Arial" w:cs="Arial" w:eastAsia="Arial" w:hAnsi="Arial"/>
          <w:sz w:val="22"/>
          <w:szCs w:val="22"/>
          <w:color w:val="auto"/>
        </w:rPr>
      </w:pPr>
      <w:r>
        <w:rPr>
          <w:rFonts w:ascii="Arial" w:cs="Arial" w:eastAsia="Arial" w:hAnsi="Arial"/>
          <w:sz w:val="18"/>
          <w:szCs w:val="18"/>
          <w:color w:val="auto"/>
        </w:rPr>
        <w:t>the responsibilities set forth in the compensation policy;</w:t>
      </w:r>
    </w:p>
    <w:p>
      <w:pPr>
        <w:spacing w:after="0" w:line="215" w:lineRule="exact"/>
        <w:rPr>
          <w:rFonts w:ascii="Arial" w:cs="Arial" w:eastAsia="Arial" w:hAnsi="Arial"/>
          <w:sz w:val="22"/>
          <w:szCs w:val="22"/>
          <w:color w:val="auto"/>
        </w:rPr>
      </w:pPr>
    </w:p>
    <w:p>
      <w:pPr>
        <w:ind w:left="560" w:right="819" w:hanging="219"/>
        <w:spacing w:after="0" w:line="232" w:lineRule="auto"/>
        <w:tabs>
          <w:tab w:leader="none" w:pos="572"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94" w:val="left"/>
        </w:tabs>
        <w:numPr>
          <w:ilvl w:val="0"/>
          <w:numId w:val="50"/>
        </w:numPr>
        <w:rPr>
          <w:rFonts w:ascii="Arial" w:cs="Arial" w:eastAsia="Arial" w:hAnsi="Arial"/>
          <w:sz w:val="22"/>
          <w:szCs w:val="22"/>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listing of our ordinary shares on the NASDAQ Global Market, our nominating and governance</w:t>
      </w:r>
    </w:p>
    <w:p>
      <w:pPr>
        <w:spacing w:after="0" w:line="23" w:lineRule="exact"/>
        <w:rPr>
          <w:sz w:val="20"/>
          <w:szCs w:val="20"/>
          <w:color w:val="auto"/>
        </w:rPr>
      </w:pPr>
    </w:p>
    <w:p>
      <w:pPr>
        <w:ind w:left="120" w:right="199"/>
        <w:spacing w:after="0" w:line="255" w:lineRule="auto"/>
        <w:rPr>
          <w:sz w:val="20"/>
          <w:szCs w:val="20"/>
          <w:color w:val="auto"/>
        </w:rPr>
      </w:pPr>
      <w:r>
        <w:rPr>
          <w:rFonts w:ascii="Arial" w:cs="Arial" w:eastAsia="Arial" w:hAnsi="Arial"/>
          <w:sz w:val="18"/>
          <w:szCs w:val="18"/>
          <w:color w:val="auto"/>
        </w:rPr>
        <w:t>committee will consist of (Chairman), and . Our board of directors will adopt a nominating and governance committee charter to be effective upon the listing of our shares on the NASDAQ Global Market setting forth the responsibilities of the nominating and governance committee, which include:</w:t>
      </w:r>
    </w:p>
    <w:p>
      <w:pPr>
        <w:spacing w:after="0" w:line="168" w:lineRule="exact"/>
        <w:rPr>
          <w:sz w:val="20"/>
          <w:szCs w:val="20"/>
          <w:color w:val="auto"/>
        </w:rPr>
      </w:pPr>
    </w:p>
    <w:p>
      <w:pPr>
        <w:ind w:left="560" w:hanging="219"/>
        <w:spacing w:after="0"/>
        <w:tabs>
          <w:tab w:leader="none" w:pos="5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overseeing and assisting our board in reviewing and recommending nominees for election as directors;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1"/>
        </w:numPr>
        <w:rPr>
          <w:rFonts w:ascii="Arial" w:cs="Arial" w:eastAsia="Arial" w:hAnsi="Arial"/>
          <w:sz w:val="22"/>
          <w:szCs w:val="22"/>
          <w:color w:val="auto"/>
        </w:rPr>
      </w:pPr>
      <w:r>
        <w:rPr>
          <w:rFonts w:ascii="Arial" w:cs="Arial" w:eastAsia="Arial" w:hAnsi="Arial"/>
          <w:sz w:val="18"/>
          <w:szCs w:val="18"/>
          <w:color w:val="auto"/>
        </w:rPr>
        <w:t>assessing the performance of the members of our board; and</w:t>
      </w:r>
    </w:p>
    <w:p>
      <w:pPr>
        <w:spacing w:after="0" w:line="215" w:lineRule="exact"/>
        <w:rPr>
          <w:rFonts w:ascii="Arial" w:cs="Arial" w:eastAsia="Arial" w:hAnsi="Arial"/>
          <w:sz w:val="22"/>
          <w:szCs w:val="22"/>
          <w:color w:val="auto"/>
        </w:rPr>
      </w:pPr>
    </w:p>
    <w:p>
      <w:pPr>
        <w:ind w:left="560" w:right="119" w:hanging="219"/>
        <w:spacing w:after="0" w:line="297" w:lineRule="auto"/>
        <w:tabs>
          <w:tab w:leader="none" w:pos="613" w:val="left"/>
        </w:tabs>
        <w:numPr>
          <w:ilvl w:val="0"/>
          <w:numId w:val="51"/>
        </w:numPr>
        <w:rPr>
          <w:rFonts w:ascii="Arial" w:cs="Arial" w:eastAsia="Arial" w:hAnsi="Arial"/>
          <w:sz w:val="19"/>
          <w:szCs w:val="19"/>
          <w:color w:val="auto"/>
        </w:rPr>
      </w:pPr>
      <w:r>
        <w:rPr>
          <w:rFonts w:ascii="Arial" w:cs="Arial" w:eastAsia="Arial" w:hAnsi="Arial"/>
          <w:sz w:val="16"/>
          <w:szCs w:val="16"/>
          <w:color w:val="auto"/>
        </w:rPr>
        <w:t>establishing and maintaining effective corporate governance policies and practices, including, but not limited to, developing and recommending to our board a set of corporate governance guidelines applicable to our company.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ind w:left="120"/>
        <w:spacing w:after="0"/>
        <w:rPr>
          <w:sz w:val="20"/>
          <w:szCs w:val="20"/>
          <w:color w:val="auto"/>
        </w:rPr>
      </w:pPr>
      <w:r>
        <w:rPr>
          <w:rFonts w:ascii="Arial" w:cs="Arial" w:eastAsia="Arial" w:hAnsi="Arial"/>
          <w:sz w:val="18"/>
          <w:szCs w:val="18"/>
          <w:b w:val="1"/>
          <w:bCs w:val="1"/>
          <w:i w:val="1"/>
          <w:iCs w:val="1"/>
          <w:color w:val="auto"/>
        </w:rPr>
        <w:t>Disclosure of Compensation of Executive Officers</w:t>
      </w:r>
    </w:p>
    <w:p>
      <w:pPr>
        <w:spacing w:after="0" w:line="21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For so long as we qualify as a foreign private issuer, 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an aggregate, basis. Nevertheless, a recent amendment to regulations promulgated under the Israeli Companies Law will require us, after we become a public company, to disclose the annual compensation of our five most highly compensated office holders on an individual basis, rather than on an aggregate basis, as was previously permitted for Israeli public companies listed overseas. This disclosure will not be as extensive as that required of a U.S. domestic issuer. We intend to commence providing such disclosure, at the latest, in the annual proxy statement for our 2015 annual meeting of shareholders, which will be furnished under cover of a Form 6-K and we may elect to provide such information at an earlier date.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12" w:lineRule="exact"/>
        <w:rPr>
          <w:sz w:val="20"/>
          <w:szCs w:val="20"/>
          <w:color w:val="auto"/>
        </w:rPr>
      </w:pPr>
    </w:p>
    <w:p>
      <w:pPr>
        <w:ind w:left="120" w:right="339" w:firstLine="216"/>
        <w:spacing w:after="0" w:line="297" w:lineRule="auto"/>
        <w:rPr>
          <w:sz w:val="20"/>
          <w:szCs w:val="20"/>
          <w:color w:val="auto"/>
        </w:rPr>
      </w:pPr>
      <w:r>
        <w:rPr>
          <w:rFonts w:ascii="Arial" w:cs="Arial" w:eastAsia="Arial" w:hAnsi="Arial"/>
          <w:sz w:val="16"/>
          <w:szCs w:val="16"/>
          <w:color w:val="auto"/>
        </w:rPr>
        <w:t>Under the Israeli Companies Law, compensation of directors requires the approval of a company’s compensation committee, the subsequent approval of the board of directors and, unless exempted under the regulations promulgated under the Israeli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45" w:lineRule="exact"/>
        <w:rPr>
          <w:sz w:val="20"/>
          <w:szCs w:val="20"/>
          <w:color w:val="auto"/>
        </w:rPr>
      </w:pPr>
    </w:p>
    <w:p>
      <w:pPr>
        <w:ind w:left="120" w:right="199" w:firstLine="216"/>
        <w:spacing w:after="0" w:line="264"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81" w:lineRule="exact"/>
        <w:rPr>
          <w:sz w:val="20"/>
          <w:szCs w:val="20"/>
          <w:color w:val="auto"/>
        </w:rPr>
      </w:pPr>
    </w:p>
    <w:p>
      <w:pPr>
        <w:ind w:left="120" w:right="499" w:firstLine="216"/>
        <w:spacing w:after="0" w:line="277" w:lineRule="auto"/>
        <w:rPr>
          <w:sz w:val="20"/>
          <w:szCs w:val="20"/>
          <w:color w:val="auto"/>
        </w:rPr>
      </w:pPr>
      <w:r>
        <w:rPr>
          <w:rFonts w:ascii="Arial" w:cs="Arial" w:eastAsia="Arial" w:hAnsi="Arial"/>
          <w:sz w:val="18"/>
          <w:szCs w:val="18"/>
          <w:color w:val="auto"/>
        </w:rPr>
        <w:t>External directors are entitled to remuneration subject to the provisions and limitations set forth in the regulations promulgated under the Israeli Companies Law.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 xml:space="preserve">Under the Israeli Companies Law, the board of directors of an Israeli public company must appoint an internal auditor </w:t>
      </w:r>
      <w:r>
        <w:rPr>
          <w:rFonts w:ascii="Arial" w:cs="Arial" w:eastAsia="Arial" w:hAnsi="Arial"/>
          <w:sz w:val="18"/>
          <w:szCs w:val="18"/>
          <w:color w:val="231F20"/>
        </w:rPr>
        <w:t xml:space="preserve">recommended </w:t>
      </w:r>
      <w:r>
        <w:rPr>
          <w:rFonts w:ascii="Arial" w:cs="Arial" w:eastAsia="Arial" w:hAnsi="Arial"/>
          <w:sz w:val="18"/>
          <w:szCs w:val="18"/>
          <w:color w:val="000000"/>
        </w:rPr>
        <w:t>by the audit committee. An internal auditor may not be:</w:t>
      </w:r>
    </w:p>
    <w:p>
      <w:pPr>
        <w:spacing w:after="0" w:line="184" w:lineRule="exact"/>
        <w:rPr>
          <w:sz w:val="20"/>
          <w:szCs w:val="20"/>
          <w:color w:val="auto"/>
        </w:rPr>
      </w:pPr>
    </w:p>
    <w:p>
      <w:pPr>
        <w:ind w:left="560" w:hanging="219"/>
        <w:spacing w:after="0"/>
        <w:tabs>
          <w:tab w:leader="none" w:pos="560" w:val="left"/>
        </w:tabs>
        <w:numPr>
          <w:ilvl w:val="0"/>
          <w:numId w:val="52"/>
        </w:numPr>
        <w:rPr>
          <w:rFonts w:ascii="Arial" w:cs="Arial" w:eastAsia="Arial" w:hAnsi="Arial"/>
          <w:sz w:val="19"/>
          <w:szCs w:val="19"/>
          <w:color w:val="auto"/>
        </w:rPr>
      </w:pPr>
      <w:r>
        <w:rPr>
          <w:rFonts w:ascii="Arial" w:cs="Arial" w:eastAsia="Arial" w:hAnsi="Arial"/>
          <w:sz w:val="16"/>
          <w:szCs w:val="16"/>
          <w:color w:val="auto"/>
        </w:rPr>
        <w:t>a person (or a relative of a person) who holds 5% or more of the company’s outstanding shares or voting rights;</w:t>
      </w:r>
    </w:p>
    <w:p>
      <w:pPr>
        <w:spacing w:after="0" w:line="227" w:lineRule="exact"/>
        <w:rPr>
          <w:rFonts w:ascii="Arial" w:cs="Arial" w:eastAsia="Arial" w:hAnsi="Arial"/>
          <w:sz w:val="19"/>
          <w:szCs w:val="19"/>
          <w:color w:val="auto"/>
        </w:rPr>
      </w:pPr>
    </w:p>
    <w:p>
      <w:pPr>
        <w:ind w:left="560" w:hanging="219"/>
        <w:spacing w:after="0"/>
        <w:tabs>
          <w:tab w:leader="none" w:pos="560" w:val="left"/>
        </w:tabs>
        <w:numPr>
          <w:ilvl w:val="0"/>
          <w:numId w:val="52"/>
        </w:numPr>
        <w:rPr>
          <w:rFonts w:ascii="Arial" w:cs="Arial" w:eastAsia="Arial" w:hAnsi="Arial"/>
          <w:sz w:val="19"/>
          <w:szCs w:val="19"/>
          <w:color w:val="auto"/>
        </w:rPr>
      </w:pPr>
      <w:r>
        <w:rPr>
          <w:rFonts w:ascii="Arial" w:cs="Arial" w:eastAsia="Arial" w:hAnsi="Arial"/>
          <w:sz w:val="16"/>
          <w:szCs w:val="16"/>
          <w:color w:val="auto"/>
        </w:rPr>
        <w:t>a person (or a relative of a person) who has the power to appoint a director or the general manager of the company;</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an office holder (including a director) of the company (or a relative thereof);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a member of the company’s independent auditor, or anyone on its behalf.</w:t>
      </w:r>
    </w:p>
    <w:p>
      <w:pPr>
        <w:spacing w:after="0" w:line="202" w:lineRule="exact"/>
        <w:rPr>
          <w:sz w:val="20"/>
          <w:szCs w:val="20"/>
          <w:color w:val="auto"/>
        </w:rPr>
      </w:pPr>
    </w:p>
    <w:p>
      <w:pPr>
        <w:ind w:left="120" w:right="319" w:firstLine="216"/>
        <w:spacing w:after="0" w:line="259"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We intend to appoint an internal auditor following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left="120" w:right="319" w:firstLine="216"/>
        <w:spacing w:after="0" w:line="342"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1" w:name="page82"/>
    <w:bookmarkEnd w:id="81"/>
    <w:p>
      <w:pPr>
        <w:ind w:left="120" w:right="159" w:firstLine="216"/>
        <w:spacing w:after="0" w:line="259"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color w:val="231F20"/>
        </w:rPr>
        <w:t>office</w:t>
      </w:r>
      <w:r>
        <w:rPr>
          <w:rFonts w:ascii="Arial" w:cs="Arial" w:eastAsia="Arial" w:hAnsi="Arial"/>
          <w:sz w:val="18"/>
          <w:szCs w:val="18"/>
          <w:color w:val="auto"/>
        </w:rPr>
        <w:t xml:space="preserv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The duty of care </w:t>
      </w:r>
      <w:r>
        <w:rPr>
          <w:rFonts w:ascii="Arial" w:cs="Arial" w:eastAsia="Arial" w:hAnsi="Arial"/>
          <w:sz w:val="18"/>
          <w:szCs w:val="18"/>
          <w:color w:val="231F20"/>
        </w:rPr>
        <w:t>includes</w:t>
      </w:r>
      <w:r>
        <w:rPr>
          <w:rFonts w:ascii="Arial" w:cs="Arial" w:eastAsia="Arial" w:hAnsi="Arial"/>
          <w:sz w:val="18"/>
          <w:szCs w:val="18"/>
          <w:color w:val="auto"/>
        </w:rPr>
        <w:t xml:space="preserve"> a duty to use reasonable means to obtain:</w:t>
      </w:r>
    </w:p>
    <w:p>
      <w:pPr>
        <w:spacing w:after="0" w:line="239" w:lineRule="exact"/>
        <w:rPr>
          <w:sz w:val="20"/>
          <w:szCs w:val="20"/>
          <w:color w:val="auto"/>
        </w:rPr>
      </w:pPr>
    </w:p>
    <w:p>
      <w:pPr>
        <w:ind w:left="560" w:right="119" w:hanging="219"/>
        <w:spacing w:after="0" w:line="232" w:lineRule="auto"/>
        <w:tabs>
          <w:tab w:leader="none" w:pos="572" w:val="left"/>
        </w:tabs>
        <w:numPr>
          <w:ilvl w:val="0"/>
          <w:numId w:val="53"/>
        </w:numPr>
        <w:rPr>
          <w:rFonts w:ascii="Arial" w:cs="Arial" w:eastAsia="Arial" w:hAnsi="Arial"/>
          <w:sz w:val="22"/>
          <w:szCs w:val="22"/>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all other important information pertaining to any such action.</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duty of loyalty includes a duty to:</w:t>
      </w:r>
    </w:p>
    <w:p>
      <w:pPr>
        <w:spacing w:after="0" w:line="239" w:lineRule="exact"/>
        <w:rPr>
          <w:sz w:val="20"/>
          <w:szCs w:val="20"/>
          <w:color w:val="auto"/>
        </w:rPr>
      </w:pPr>
    </w:p>
    <w:p>
      <w:pPr>
        <w:ind w:left="560" w:right="459" w:hanging="219"/>
        <w:spacing w:after="0" w:line="232" w:lineRule="auto"/>
        <w:tabs>
          <w:tab w:leader="none" w:pos="572" w:val="left"/>
        </w:tabs>
        <w:numPr>
          <w:ilvl w:val="0"/>
          <w:numId w:val="54"/>
        </w:numPr>
        <w:rPr>
          <w:rFonts w:ascii="Arial" w:cs="Arial" w:eastAsia="Arial" w:hAnsi="Arial"/>
          <w:sz w:val="22"/>
          <w:szCs w:val="22"/>
          <w:color w:val="auto"/>
        </w:rPr>
      </w:pPr>
      <w:r>
        <w:rPr>
          <w:rFonts w:ascii="Arial" w:cs="Arial" w:eastAsia="Arial" w:hAnsi="Arial"/>
          <w:sz w:val="18"/>
          <w:szCs w:val="18"/>
          <w:color w:val="auto"/>
        </w:rPr>
        <w:t>refrain from any conflict of interest between the performance of his or her duties to the company and his or her other duties or personal affairs;</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4"/>
        </w:numPr>
        <w:rPr>
          <w:rFonts w:ascii="Arial" w:cs="Arial" w:eastAsia="Arial" w:hAnsi="Arial"/>
          <w:sz w:val="22"/>
          <w:szCs w:val="22"/>
          <w:color w:val="auto"/>
        </w:rPr>
      </w:pPr>
      <w:r>
        <w:rPr>
          <w:rFonts w:ascii="Arial" w:cs="Arial" w:eastAsia="Arial" w:hAnsi="Arial"/>
          <w:sz w:val="18"/>
          <w:szCs w:val="18"/>
          <w:color w:val="auto"/>
        </w:rPr>
        <w:t>refrain from any activity that is competitive with the business of the company;</w:t>
      </w:r>
    </w:p>
    <w:p>
      <w:pPr>
        <w:spacing w:after="0" w:line="215" w:lineRule="exact"/>
        <w:rPr>
          <w:rFonts w:ascii="Arial" w:cs="Arial" w:eastAsia="Arial" w:hAnsi="Arial"/>
          <w:sz w:val="22"/>
          <w:szCs w:val="22"/>
          <w:color w:val="auto"/>
        </w:rPr>
      </w:pPr>
    </w:p>
    <w:p>
      <w:pPr>
        <w:ind w:left="560" w:right="139" w:hanging="219"/>
        <w:spacing w:after="0" w:line="232" w:lineRule="auto"/>
        <w:tabs>
          <w:tab w:leader="none" w:pos="572" w:val="left"/>
        </w:tabs>
        <w:numPr>
          <w:ilvl w:val="0"/>
          <w:numId w:val="54"/>
        </w:numPr>
        <w:rPr>
          <w:rFonts w:ascii="Arial" w:cs="Arial" w:eastAsia="Arial" w:hAnsi="Arial"/>
          <w:sz w:val="22"/>
          <w:szCs w:val="22"/>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613" w:val="left"/>
        </w:tabs>
        <w:numPr>
          <w:ilvl w:val="0"/>
          <w:numId w:val="54"/>
        </w:numPr>
        <w:rPr>
          <w:rFonts w:ascii="Arial" w:cs="Arial" w:eastAsia="Arial" w:hAnsi="Arial"/>
          <w:sz w:val="22"/>
          <w:szCs w:val="22"/>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ind w:left="120" w:right="159" w:firstLine="216"/>
        <w:spacing w:after="0" w:line="271" w:lineRule="auto"/>
        <w:rPr>
          <w:sz w:val="20"/>
          <w:szCs w:val="20"/>
          <w:color w:val="auto"/>
        </w:rPr>
      </w:pPr>
      <w:r>
        <w:rPr>
          <w:rFonts w:ascii="Arial" w:cs="Arial" w:eastAsia="Arial" w:hAnsi="Arial"/>
          <w:sz w:val="17"/>
          <w:szCs w:val="17"/>
          <w:color w:val="auto"/>
        </w:rPr>
        <w:t xml:space="preserve">The Israeli Companies Law requires that an office holder promptly disclose to the board of directors any personal interest that he or she may be aware of and all related material information or documents concerning any existing or proposed </w:t>
      </w:r>
      <w:r>
        <w:rPr>
          <w:rFonts w:ascii="Arial" w:cs="Arial" w:eastAsia="Arial" w:hAnsi="Arial"/>
          <w:sz w:val="17"/>
          <w:szCs w:val="17"/>
          <w:color w:val="231F20"/>
        </w:rPr>
        <w:t>transaction</w:t>
      </w:r>
      <w:r>
        <w:rPr>
          <w:rFonts w:ascii="Arial" w:cs="Arial" w:eastAsia="Arial" w:hAnsi="Arial"/>
          <w:sz w:val="17"/>
          <w:szCs w:val="17"/>
          <w:color w:val="auto"/>
        </w:rPr>
        <w:t xml:space="preserve">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179"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Israeli Companies Law, an extraordinary transaction is defined as any of the following:</w:t>
      </w:r>
    </w:p>
    <w:p>
      <w:pPr>
        <w:spacing w:after="0" w:line="184" w:lineRule="exact"/>
        <w:rPr>
          <w:sz w:val="20"/>
          <w:szCs w:val="20"/>
          <w:color w:val="auto"/>
        </w:rPr>
      </w:pPr>
    </w:p>
    <w:p>
      <w:pPr>
        <w:ind w:left="560" w:hanging="219"/>
        <w:spacing w:after="0"/>
        <w:tabs>
          <w:tab w:leader="none" w:pos="560" w:val="left"/>
        </w:tabs>
        <w:numPr>
          <w:ilvl w:val="0"/>
          <w:numId w:val="55"/>
        </w:numPr>
        <w:rPr>
          <w:rFonts w:ascii="Arial" w:cs="Arial" w:eastAsia="Arial" w:hAnsi="Arial"/>
          <w:sz w:val="22"/>
          <w:szCs w:val="22"/>
          <w:color w:val="auto"/>
        </w:rPr>
      </w:pPr>
      <w:r>
        <w:rPr>
          <w:rFonts w:ascii="Arial" w:cs="Arial" w:eastAsia="Arial" w:hAnsi="Arial"/>
          <w:sz w:val="18"/>
          <w:szCs w:val="18"/>
          <w:color w:val="auto"/>
        </w:rPr>
        <w:t>a transaction other than in the ordinary course of business;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5"/>
        </w:numPr>
        <w:rPr>
          <w:rFonts w:ascii="Arial" w:cs="Arial" w:eastAsia="Arial" w:hAnsi="Arial"/>
          <w:sz w:val="22"/>
          <w:szCs w:val="22"/>
          <w:color w:val="auto"/>
        </w:rPr>
      </w:pPr>
      <w:r>
        <w:rPr>
          <w:rFonts w:ascii="Arial" w:cs="Arial" w:eastAsia="Arial" w:hAnsi="Arial"/>
          <w:sz w:val="18"/>
          <w:szCs w:val="18"/>
          <w:color w:val="auto"/>
        </w:rPr>
        <w:t>a transaction that is not on market terms;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5"/>
        </w:numPr>
        <w:rPr>
          <w:rFonts w:ascii="Arial" w:cs="Arial" w:eastAsia="Arial" w:hAnsi="Arial"/>
          <w:sz w:val="22"/>
          <w:szCs w:val="22"/>
          <w:color w:val="auto"/>
        </w:rPr>
      </w:pPr>
      <w:r>
        <w:rPr>
          <w:rFonts w:ascii="Arial" w:cs="Arial" w:eastAsia="Arial" w:hAnsi="Arial"/>
          <w:sz w:val="18"/>
          <w:szCs w:val="18"/>
          <w:color w:val="auto"/>
        </w:rPr>
        <w:t>a transaction that may have a material impact on a company’s profitability, assets or liabilities.</w:t>
      </w:r>
    </w:p>
    <w:p>
      <w:pPr>
        <w:spacing w:after="0" w:line="20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 xml:space="preserve">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w:t>
      </w:r>
      <w:r>
        <w:rPr>
          <w:rFonts w:ascii="Arial" w:cs="Arial" w:eastAsia="Arial" w:hAnsi="Arial"/>
          <w:sz w:val="17"/>
          <w:szCs w:val="17"/>
          <w:color w:val="231F20"/>
        </w:rPr>
        <w:t>company’s</w:t>
      </w:r>
      <w:r>
        <w:rPr>
          <w:rFonts w:ascii="Arial" w:cs="Arial" w:eastAsia="Arial" w:hAnsi="Arial"/>
          <w:sz w:val="17"/>
          <w:szCs w:val="17"/>
          <w:color w:val="auto"/>
        </w:rPr>
        <w:t xml:space="preserve"> compensation committee, then by the company’s board of directors. If such compensation arrangement or an undertaking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2" w:name="page83"/>
    <w:bookmarkEnd w:id="82"/>
    <w:p>
      <w:pPr>
        <w:ind w:left="120" w:right="319"/>
        <w:spacing w:after="0" w:line="276" w:lineRule="auto"/>
        <w:rPr>
          <w:sz w:val="20"/>
          <w:szCs w:val="20"/>
          <w:color w:val="auto"/>
        </w:rPr>
      </w:pPr>
      <w:r>
        <w:rPr>
          <w:rFonts w:ascii="Arial" w:cs="Arial" w:eastAsia="Arial" w:hAnsi="Arial"/>
          <w:sz w:val="17"/>
          <w:szCs w:val="17"/>
          <w:color w:val="auto"/>
        </w:rPr>
        <w:t>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3" w:lineRule="exact"/>
        <w:rPr>
          <w:sz w:val="20"/>
          <w:szCs w:val="20"/>
          <w:color w:val="auto"/>
        </w:rPr>
      </w:pPr>
    </w:p>
    <w:p>
      <w:pPr>
        <w:ind w:left="120" w:right="199" w:firstLine="216"/>
        <w:spacing w:after="0" w:line="272" w:lineRule="auto"/>
        <w:rPr>
          <w:sz w:val="20"/>
          <w:szCs w:val="20"/>
          <w:color w:val="auto"/>
        </w:rPr>
      </w:pPr>
      <w:r>
        <w:rPr>
          <w:rFonts w:ascii="Arial" w:cs="Arial" w:eastAsia="Arial" w:hAnsi="Arial"/>
          <w:sz w:val="17"/>
          <w:szCs w:val="17"/>
          <w:color w:val="auto"/>
        </w:rPr>
        <w:t xml:space="preserve">Generally, a person who has a personal interest in a matter which is considered at a meeting of the board of directors or the audit committee may not be present at such a meeting or vote on that matter unless the chairman of the relevant </w:t>
      </w:r>
      <w:r>
        <w:rPr>
          <w:rFonts w:ascii="Arial" w:cs="Arial" w:eastAsia="Arial" w:hAnsi="Arial"/>
          <w:sz w:val="17"/>
          <w:szCs w:val="17"/>
          <w:color w:val="231F20"/>
        </w:rPr>
        <w:t xml:space="preserve">committee </w:t>
      </w:r>
      <w:r>
        <w:rPr>
          <w:rFonts w:ascii="Arial" w:cs="Arial" w:eastAsia="Arial" w:hAnsi="Arial"/>
          <w:sz w:val="17"/>
          <w:szCs w:val="17"/>
          <w:color w:val="000000"/>
        </w:rPr>
        <w:t>or board of directors (as applicable) determines that he or she should be present in order to present the</w:t>
      </w:r>
      <w:r>
        <w:rPr>
          <w:rFonts w:ascii="Arial" w:cs="Arial" w:eastAsia="Arial" w:hAnsi="Arial"/>
          <w:sz w:val="17"/>
          <w:szCs w:val="17"/>
          <w:color w:val="231F20"/>
        </w:rPr>
        <w:t xml:space="preserve"> </w:t>
      </w:r>
      <w:r>
        <w:rPr>
          <w:rFonts w:ascii="Arial" w:cs="Arial" w:eastAsia="Arial" w:hAnsi="Arial"/>
          <w:sz w:val="17"/>
          <w:szCs w:val="17"/>
          <w:color w:val="000000"/>
        </w:rPr>
        <w:t>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ind w:left="120" w:right="199" w:firstLine="216"/>
        <w:spacing w:after="0" w:line="283" w:lineRule="auto"/>
        <w:rPr>
          <w:sz w:val="20"/>
          <w:szCs w:val="20"/>
          <w:color w:val="auto"/>
        </w:rPr>
      </w:pPr>
      <w:r>
        <w:rPr>
          <w:rFonts w:ascii="Arial" w:cs="Arial" w:eastAsia="Arial" w:hAnsi="Arial"/>
          <w:sz w:val="16"/>
          <w:szCs w:val="16"/>
          <w:color w:val="auto"/>
        </w:rPr>
        <w:t xml:space="preserve">Pursuant to Israeli law, the disclosure requirements regarding personal interests that apply to directors and executive officers also apply to a controlling shareholder of a public company. In the context of a transaction involving a shareholder of the company, a controlling shareholder also includes a shareholder who holds 25% or more of the voting rights in the company if no other shareholder holds more than 50% of the voting rights in the company. For this purpose, the </w:t>
      </w:r>
      <w:r>
        <w:rPr>
          <w:rFonts w:ascii="Arial" w:cs="Arial" w:eastAsia="Arial" w:hAnsi="Arial"/>
          <w:sz w:val="16"/>
          <w:szCs w:val="16"/>
          <w:color w:val="231F20"/>
        </w:rPr>
        <w:t>holdings</w:t>
      </w:r>
      <w:r>
        <w:rPr>
          <w:rFonts w:ascii="Arial" w:cs="Arial" w:eastAsia="Arial" w:hAnsi="Arial"/>
          <w:sz w:val="16"/>
          <w:szCs w:val="16"/>
          <w:color w:val="auto"/>
        </w:rPr>
        <w:t xml:space="preserve"> of all shareholders who have a personal interest in the same transaction will be aggregated. The approval of the audit committee or the compensation committee, the board of directors and the shareholders of the company, in that order, is required for (a) extraordinary transactions with a controlling shareholder or in which a controlling shareholder has a personal interest, (b) the engagement with a controlling shareholder or his or her relative, directly or indirectly, including through a company under control of the controlling shareholder, for the provision of services to the company,</w:t>
      </w:r>
    </w:p>
    <w:p>
      <w:pPr>
        <w:spacing w:after="0" w:line="7" w:lineRule="exact"/>
        <w:rPr>
          <w:sz w:val="20"/>
          <w:szCs w:val="20"/>
          <w:color w:val="auto"/>
        </w:rPr>
      </w:pPr>
    </w:p>
    <w:p>
      <w:pPr>
        <w:ind w:left="120" w:right="139" w:firstLine="5"/>
        <w:spacing w:after="0" w:line="302" w:lineRule="auto"/>
        <w:tabs>
          <w:tab w:leader="none" w:pos="365"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terms of engagement and compensation of a controlling shareholder or his or her relative who is an office holder or (d) the employment of a controlling shareholder or his or her relative by the company, other than as an office holder. In addition, the shareholder approval requires one of the following, which we refer to as a Special Majority:</w:t>
      </w:r>
    </w:p>
    <w:p>
      <w:pPr>
        <w:spacing w:after="0" w:line="168" w:lineRule="exact"/>
        <w:rPr>
          <w:rFonts w:ascii="Arial" w:cs="Arial" w:eastAsia="Arial" w:hAnsi="Arial"/>
          <w:sz w:val="16"/>
          <w:szCs w:val="16"/>
          <w:color w:val="auto"/>
        </w:rPr>
      </w:pPr>
    </w:p>
    <w:p>
      <w:pPr>
        <w:ind w:left="560" w:right="259" w:hanging="219"/>
        <w:spacing w:after="0" w:line="297" w:lineRule="auto"/>
        <w:tabs>
          <w:tab w:leader="none" w:pos="572" w:val="left"/>
        </w:tabs>
        <w:numPr>
          <w:ilvl w:val="1"/>
          <w:numId w:val="56"/>
        </w:numPr>
        <w:rPr>
          <w:rFonts w:ascii="Arial" w:cs="Arial" w:eastAsia="Arial" w:hAnsi="Arial"/>
          <w:sz w:val="19"/>
          <w:szCs w:val="19"/>
          <w:color w:val="auto"/>
        </w:rPr>
      </w:pPr>
      <w:r>
        <w:rPr>
          <w:rFonts w:ascii="Arial" w:cs="Arial" w:eastAsia="Arial" w:hAnsi="Arial"/>
          <w:sz w:val="16"/>
          <w:szCs w:val="16"/>
          <w:color w:val="auto"/>
        </w:rPr>
        <w:t>at least a majority of the shares held by all shareholders who do not have a personal interest in the transaction and who are present and voting at the meeting approves the transaction, excluding abstentions; or</w:t>
      </w:r>
    </w:p>
    <w:p>
      <w:pPr>
        <w:spacing w:after="0" w:line="163" w:lineRule="exact"/>
        <w:rPr>
          <w:rFonts w:ascii="Arial" w:cs="Arial" w:eastAsia="Arial" w:hAnsi="Arial"/>
          <w:sz w:val="19"/>
          <w:szCs w:val="19"/>
          <w:color w:val="auto"/>
        </w:rPr>
      </w:pPr>
    </w:p>
    <w:p>
      <w:pPr>
        <w:ind w:left="560" w:right="119" w:hanging="219"/>
        <w:spacing w:after="0" w:line="251" w:lineRule="auto"/>
        <w:tabs>
          <w:tab w:leader="none" w:pos="586" w:val="left"/>
        </w:tabs>
        <w:numPr>
          <w:ilvl w:val="1"/>
          <w:numId w:val="56"/>
        </w:numPr>
        <w:rPr>
          <w:rFonts w:ascii="Arial" w:cs="Arial" w:eastAsia="Arial" w:hAnsi="Arial"/>
          <w:sz w:val="21"/>
          <w:szCs w:val="21"/>
          <w:color w:val="auto"/>
        </w:rPr>
      </w:pPr>
      <w:r>
        <w:rPr>
          <w:rFonts w:ascii="Arial" w:cs="Arial" w:eastAsia="Arial" w:hAnsi="Arial"/>
          <w:sz w:val="17"/>
          <w:szCs w:val="17"/>
          <w:color w:val="auto"/>
        </w:rPr>
        <w:t>the shares voted against the transaction by shareholders who have no personal interest in the transaction and who are present and voting at the meeting do not exceed 2% of the voting rights in the company.</w:t>
      </w:r>
    </w:p>
    <w:p>
      <w:pPr>
        <w:spacing w:after="0" w:line="191" w:lineRule="exact"/>
        <w:rPr>
          <w:sz w:val="20"/>
          <w:szCs w:val="20"/>
          <w:color w:val="auto"/>
        </w:rPr>
      </w:pPr>
    </w:p>
    <w:p>
      <w:pPr>
        <w:ind w:left="120" w:right="319" w:firstLine="216"/>
        <w:spacing w:after="0" w:line="286" w:lineRule="auto"/>
        <w:rPr>
          <w:sz w:val="20"/>
          <w:szCs w:val="20"/>
          <w:color w:val="auto"/>
        </w:rPr>
      </w:pPr>
      <w:r>
        <w:rPr>
          <w:rFonts w:ascii="Arial" w:cs="Arial" w:eastAsia="Arial" w:hAnsi="Arial"/>
          <w:sz w:val="17"/>
          <w:szCs w:val="17"/>
          <w:color w:val="auto"/>
        </w:rPr>
        <w:t xml:space="preserve">To the extent that any such transaction with a controlling shareholder is for a period extending beyond three years, approval is </w:t>
      </w:r>
      <w:r>
        <w:rPr>
          <w:rFonts w:ascii="Arial" w:cs="Arial" w:eastAsia="Arial" w:hAnsi="Arial"/>
          <w:sz w:val="17"/>
          <w:szCs w:val="17"/>
          <w:color w:val="231F20"/>
        </w:rPr>
        <w:t>required</w:t>
      </w:r>
      <w:r>
        <w:rPr>
          <w:rFonts w:ascii="Arial" w:cs="Arial" w:eastAsia="Arial" w:hAnsi="Arial"/>
          <w:sz w:val="17"/>
          <w:szCs w:val="17"/>
          <w:color w:val="auto"/>
        </w:rPr>
        <w:t xml:space="preserve"> once every three years, unless, with respect to certain transactions, the audit committee determines that the duration of the transaction is reasonable given the circumstances related thereto.</w:t>
      </w:r>
    </w:p>
    <w:p>
      <w:pPr>
        <w:spacing w:after="0" w:line="166" w:lineRule="exact"/>
        <w:rPr>
          <w:sz w:val="20"/>
          <w:szCs w:val="20"/>
          <w:color w:val="auto"/>
        </w:rPr>
      </w:pPr>
    </w:p>
    <w:p>
      <w:pPr>
        <w:ind w:left="120" w:right="139" w:firstLine="216"/>
        <w:spacing w:after="0" w:line="259"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7" w:lineRule="exact"/>
        <w:rPr>
          <w:sz w:val="20"/>
          <w:szCs w:val="20"/>
          <w:color w:val="auto"/>
        </w:rPr>
      </w:pPr>
    </w:p>
    <w:p>
      <w:pPr>
        <w:ind w:left="120" w:right="239" w:firstLine="216"/>
        <w:spacing w:after="0" w:line="255" w:lineRule="auto"/>
        <w:rPr>
          <w:sz w:val="20"/>
          <w:szCs w:val="20"/>
          <w:color w:val="auto"/>
        </w:rPr>
      </w:pPr>
      <w:r>
        <w:rPr>
          <w:rFonts w:ascii="Arial" w:cs="Arial" w:eastAsia="Arial" w:hAnsi="Arial"/>
          <w:sz w:val="18"/>
          <w:szCs w:val="18"/>
          <w:color w:val="auto"/>
        </w:rPr>
        <w:t xml:space="preserve">Pursuant to </w:t>
      </w:r>
      <w:r>
        <w:rPr>
          <w:rFonts w:ascii="Arial" w:cs="Arial" w:eastAsia="Arial" w:hAnsi="Arial"/>
          <w:sz w:val="18"/>
          <w:szCs w:val="18"/>
          <w:color w:val="231F20"/>
        </w:rPr>
        <w:t>regulations</w:t>
      </w:r>
      <w:r>
        <w:rPr>
          <w:rFonts w:ascii="Arial" w:cs="Arial" w:eastAsia="Arial" w:hAnsi="Arial"/>
          <w:sz w:val="18"/>
          <w:szCs w:val="18"/>
          <w:color w:val="auto"/>
        </w:rPr>
        <w:t xml:space="preserve"> promulgated under the Israeli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w:t>
      </w:r>
      <w:r>
        <w:rPr>
          <w:rFonts w:ascii="Arial" w:cs="Arial" w:eastAsia="Arial" w:hAnsi="Arial"/>
          <w:sz w:val="18"/>
          <w:szCs w:val="18"/>
          <w:color w:val="231F20"/>
        </w:rPr>
        <w:t xml:space="preserve">company </w:t>
      </w:r>
      <w:r>
        <w:rPr>
          <w:rFonts w:ascii="Arial" w:cs="Arial" w:eastAsia="Arial" w:hAnsi="Arial"/>
          <w:sz w:val="18"/>
          <w:szCs w:val="18"/>
          <w:color w:val="000000"/>
        </w:rPr>
        <w:t>may require, within 14 days of the publication of such determinations, that despite such determinations by</w:t>
      </w:r>
      <w:r>
        <w:rPr>
          <w:rFonts w:ascii="Arial" w:cs="Arial" w:eastAsia="Arial" w:hAnsi="Arial"/>
          <w:sz w:val="18"/>
          <w:szCs w:val="18"/>
          <w:color w:val="231F20"/>
        </w:rPr>
        <w:t xml:space="preserve"> </w:t>
      </w:r>
      <w:r>
        <w:rPr>
          <w:rFonts w:ascii="Arial" w:cs="Arial" w:eastAsia="Arial" w:hAnsi="Arial"/>
          <w:sz w:val="18"/>
          <w:szCs w:val="18"/>
          <w:color w:val="000000"/>
        </w:rPr>
        <w:t>the audit committee and the board of directors, such transaction will require shareholder approval under the same majority requirements that would otherwise apply to such transactions.</w:t>
      </w:r>
    </w:p>
    <w:p>
      <w:pPr>
        <w:spacing w:after="0" w:line="189" w:lineRule="exact"/>
        <w:rPr>
          <w:sz w:val="20"/>
          <w:szCs w:val="20"/>
          <w:color w:val="auto"/>
        </w:rPr>
      </w:pPr>
    </w:p>
    <w:p>
      <w:pPr>
        <w:ind w:left="120" w:right="359" w:firstLine="216"/>
        <w:spacing w:after="0" w:line="308" w:lineRule="auto"/>
        <w:rPr>
          <w:sz w:val="20"/>
          <w:szCs w:val="20"/>
          <w:color w:val="auto"/>
        </w:rPr>
      </w:pPr>
      <w:r>
        <w:rPr>
          <w:rFonts w:ascii="Arial" w:cs="Arial" w:eastAsia="Arial" w:hAnsi="Arial"/>
          <w:sz w:val="17"/>
          <w:szCs w:val="17"/>
          <w:color w:val="auto"/>
        </w:rPr>
        <w:t>We expect that following this offering, Fortissimo Capital, which prior to this offering beneficially owned 69.6% of our ordinary shares, will be a controlling shareholder, although this status may change in the future.</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3" w:name="page84"/>
    <w:bookmarkEnd w:id="83"/>
    <w:p>
      <w:pPr>
        <w:ind w:left="120"/>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left="120" w:right="119" w:firstLine="216"/>
        <w:spacing w:after="0" w:line="312"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38" w:lineRule="exact"/>
        <w:rPr>
          <w:sz w:val="20"/>
          <w:szCs w:val="20"/>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an amendment to the company’s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an increase of the company’s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merger; or</w:t>
      </w:r>
    </w:p>
    <w:p>
      <w:pPr>
        <w:spacing w:after="0" w:line="215" w:lineRule="exact"/>
        <w:rPr>
          <w:rFonts w:ascii="Arial" w:cs="Arial" w:eastAsia="Arial" w:hAnsi="Arial"/>
          <w:sz w:val="22"/>
          <w:szCs w:val="22"/>
          <w:color w:val="auto"/>
        </w:rPr>
      </w:pPr>
    </w:p>
    <w:p>
      <w:pPr>
        <w:ind w:left="340" w:right="1179" w:firstLine="1"/>
        <w:spacing w:after="0" w:line="515" w:lineRule="auto"/>
        <w:tabs>
          <w:tab w:leader="none" w:pos="569" w:val="left"/>
        </w:tabs>
        <w:numPr>
          <w:ilvl w:val="0"/>
          <w:numId w:val="57"/>
        </w:numPr>
        <w:rPr>
          <w:rFonts w:ascii="Arial" w:cs="Arial" w:eastAsia="Arial" w:hAnsi="Arial"/>
          <w:sz w:val="19"/>
          <w:szCs w:val="19"/>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 xml:space="preserve">In addition, certain shareholders have a duty of fairness toward the company. These shareholders include any controlling shareholder, any shareholder who knows that he or she has the power to determine the outcome of a shareholder vote </w:t>
      </w:r>
      <w:r>
        <w:rPr>
          <w:rFonts w:ascii="Arial" w:cs="Arial" w:eastAsia="Arial" w:hAnsi="Arial"/>
          <w:sz w:val="18"/>
          <w:szCs w:val="18"/>
          <w:color w:val="231F20"/>
        </w:rPr>
        <w:t>and</w:t>
      </w:r>
      <w:r>
        <w:rPr>
          <w:rFonts w:ascii="Arial" w:cs="Arial" w:eastAsia="Arial" w:hAnsi="Arial"/>
          <w:sz w:val="18"/>
          <w:szCs w:val="18"/>
          <w:color w:val="auto"/>
        </w:rPr>
        <w:t xml:space="preserve"> any shareholder who has the power to appoint or to prevent the appointment of an office holder of the company or other power towards the company. The Israeli Companies Law does not define the substance of the duty of fairness, except to state that the remedies generally available upon a breach of contract will also apply in the event of a breach of the duty to act with fairness.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02" w:lineRule="exact"/>
        <w:rPr>
          <w:sz w:val="20"/>
          <w:szCs w:val="20"/>
          <w:color w:val="auto"/>
        </w:rPr>
      </w:pPr>
    </w:p>
    <w:p>
      <w:pPr>
        <w:ind w:left="120" w:right="17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which will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72" w:val="left"/>
        </w:tabs>
        <w:numPr>
          <w:ilvl w:val="0"/>
          <w:numId w:val="58"/>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5" w:lineRule="auto"/>
        <w:tabs>
          <w:tab w:leader="none" w:pos="572"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13" w:val="left"/>
        </w:tabs>
        <w:numPr>
          <w:ilvl w:val="0"/>
          <w:numId w:val="58"/>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4" w:name="page85"/>
    <w:bookmarkEnd w:id="84"/>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39" w:hanging="219"/>
        <w:spacing w:after="0" w:line="232" w:lineRule="auto"/>
        <w:tabs>
          <w:tab w:leader="none" w:pos="572"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399" w:hanging="219"/>
        <w:spacing w:after="0" w:line="232" w:lineRule="auto"/>
        <w:tabs>
          <w:tab w:leader="none" w:pos="572"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59"/>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39" w:hanging="219"/>
        <w:spacing w:after="0" w:line="238" w:lineRule="auto"/>
        <w:tabs>
          <w:tab w:leader="none" w:pos="572"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599" w:hanging="219"/>
        <w:spacing w:after="0" w:line="232" w:lineRule="auto"/>
        <w:tabs>
          <w:tab w:leader="none" w:pos="572"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0"/>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19" w:firstLine="216"/>
        <w:spacing w:after="0" w:line="312" w:lineRule="auto"/>
        <w:rPr>
          <w:sz w:val="20"/>
          <w:szCs w:val="20"/>
          <w:color w:val="auto"/>
        </w:rPr>
      </w:pPr>
      <w:r>
        <w:rPr>
          <w:rFonts w:ascii="Arial" w:cs="Arial" w:eastAsia="Arial" w:hAnsi="Arial"/>
          <w:sz w:val="16"/>
          <w:szCs w:val="16"/>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14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79" w:firstLine="216"/>
        <w:spacing w:after="0" w:line="270"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prior to the closing of this offering, we intend to enter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the completion of this offering and the Israeli Companies Law, including with respect to liabilities resulting from this offering to the extent that these liabilities are not covered by insurance. In the opinion of the Commission, indemnification of directors and office holders for liabilities arising under the Securities Act, however, is against public policy and therefore unenforceable.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We intend to adopt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Commission. Upon the effectiveness of the registration statement of which this prospectus forms a part, the full text of the Code of Business Conduct and Ethics will be posted on our website at www.kornit.com.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Commission. Under Item 16B of the Commission’s Form 20-F, if a waiver or amendment of the Code of Business Conduct and Ethics applies to our principal executive officer, principal financial officer, principal accounting officer or controller and relates to standards promoting any of the values described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5" w:name="page86"/>
    <w:bookmarkEnd w:id="85"/>
    <w:p>
      <w:pPr>
        <w:ind w:left="120" w:right="479"/>
        <w:spacing w:after="0" w:line="277" w:lineRule="auto"/>
        <w:rPr>
          <w:sz w:val="20"/>
          <w:szCs w:val="20"/>
          <w:color w:val="auto"/>
        </w:rPr>
      </w:pPr>
      <w:r>
        <w:rPr>
          <w:rFonts w:ascii="Arial" w:cs="Arial" w:eastAsia="Arial" w:hAnsi="Arial"/>
          <w:sz w:val="18"/>
          <w:szCs w:val="18"/>
          <w:color w:val="auto"/>
        </w:rPr>
        <w:t>in Item 16B(b) of Form 20-F, we are required to disclose such waiver or amendment on our website in accordance with the requirements of Instruction 4 to such Item 16B.</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119" w:firstLine="216"/>
        <w:spacing w:after="0" w:line="290" w:lineRule="auto"/>
        <w:rPr>
          <w:sz w:val="20"/>
          <w:szCs w:val="20"/>
          <w:color w:val="auto"/>
        </w:rPr>
      </w:pPr>
      <w:r>
        <w:rPr>
          <w:rFonts w:ascii="Arial" w:cs="Arial" w:eastAsia="Arial" w:hAnsi="Arial"/>
          <w:sz w:val="16"/>
          <w:szCs w:val="16"/>
          <w:color w:val="auto"/>
        </w:rPr>
        <w:t>The aggregate compensation paid and equity-based compensation and other payments expensed by us and our subsidiaries to our directors and executive officers with respect to the year ended December 31, 2013 was $1.1 million. This amount includes approximately $0.2 million set aside or accrued to provide pension, severance, retirement or similar benefits or expenses, but does not include business travel, relocation, professional and business association dues and expenses reimbursed to office holders, and other benefits commonly reimbursed or paid by companies in our industry. As of September 30, 2014, options to purchase 203,683 ordinary shares granted to our directors and executive officers were outstanding under our share option plan at a weighted average exercise price of $10.55 per share. Certain of our officers and directors receive a severance payment of up to six months of their base salary upon termination of their employment.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52" w:lineRule="exact"/>
        <w:rPr>
          <w:sz w:val="20"/>
          <w:szCs w:val="20"/>
          <w:color w:val="auto"/>
        </w:rPr>
      </w:pPr>
    </w:p>
    <w:p>
      <w:pPr>
        <w:ind w:left="120" w:right="159" w:firstLine="216"/>
        <w:spacing w:after="0" w:line="290" w:lineRule="auto"/>
        <w:rPr>
          <w:sz w:val="20"/>
          <w:szCs w:val="20"/>
          <w:color w:val="auto"/>
        </w:rPr>
      </w:pPr>
      <w:r>
        <w:rPr>
          <w:rFonts w:ascii="Arial" w:cs="Arial" w:eastAsia="Arial" w:hAnsi="Arial"/>
          <w:sz w:val="16"/>
          <w:szCs w:val="16"/>
          <w:color w:val="auto"/>
        </w:rPr>
        <w:t>We have entered into written employment agreements with all of our executive officers. These agreements contain standard provisions for a company in our industry regarding non-competition, confidentiality of information and assignment of inventions. These agreements do not provide for benefits upon the termination of these executives’ respective employment with us, other than payment of salary and benefits (but not accrual of vacation days) during the required notice period for termination of these agreements, which varies under these individual agreements. Under their employment agreements, certain of our officers and directors receive a severance payment of up to six months of their base salary upon termination of their employment. See “Certain Relationships and Related Party Transactions— Agreements and Arrangements with, and Compensation of, Directors and Executive Officers” for additional information.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Incentive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ind w:left="120" w:right="139" w:firstLine="216"/>
        <w:spacing w:after="0" w:line="279"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not granting options under the 2004 Plan anymore because it was superceded by the 2012 Plan, athough previously granted awards remain outstanding. As of September 30, 2014, a total of 179,350 ordinary shares remain outstanding under the 2004 Plan.</w:t>
      </w:r>
    </w:p>
    <w:p>
      <w:pPr>
        <w:spacing w:after="0" w:line="17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jc w:val="both"/>
        <w:ind w:left="120" w:right="279" w:firstLine="216"/>
        <w:spacing w:after="0" w:line="297" w:lineRule="auto"/>
        <w:rPr>
          <w:sz w:val="20"/>
          <w:szCs w:val="20"/>
          <w:color w:val="auto"/>
        </w:rPr>
      </w:pPr>
      <w:r>
        <w:rPr>
          <w:rFonts w:ascii="Arial" w:cs="Arial" w:eastAsia="Arial" w:hAnsi="Arial"/>
          <w:sz w:val="16"/>
          <w:szCs w:val="16"/>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58" w:lineRule="exact"/>
        <w:rPr>
          <w:sz w:val="20"/>
          <w:szCs w:val="20"/>
          <w:color w:val="auto"/>
        </w:rPr>
      </w:pPr>
    </w:p>
    <w:p>
      <w:pPr>
        <w:ind w:left="120" w:right="159" w:firstLine="216"/>
        <w:spacing w:after="0" w:line="285"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(up to 50% in 2014).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ectPr>
          <w:pgSz w:w="11900" w:h="16838" w:orient="portrait"/>
          <w:cols w:equalWidth="0" w:num="1">
            <w:col w:w="9019"/>
          </w:cols>
          <w:pgMar w:left="1440" w:top="125" w:right="1440" w:bottom="1440" w:gutter="0" w:footer="0" w:header="0"/>
        </w:sect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18415</wp:posOffset>
            </wp:positionV>
            <wp:extent cx="55740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6" w:name="page87"/>
    <w:bookmarkEnd w:id="86"/>
    <w:p>
      <w:pPr>
        <w:ind w:left="120" w:right="119" w:firstLine="216"/>
        <w:spacing w:after="0" w:line="270" w:lineRule="auto"/>
        <w:rPr>
          <w:sz w:val="20"/>
          <w:szCs w:val="20"/>
          <w:color w:val="auto"/>
        </w:rPr>
      </w:pPr>
      <w:r>
        <w:rPr>
          <w:rFonts w:ascii="Arial" w:cs="Arial" w:eastAsia="Arial" w:hAnsi="Arial"/>
          <w:sz w:val="17"/>
          <w:szCs w:val="17"/>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78" w:lineRule="exact"/>
        <w:rPr>
          <w:sz w:val="20"/>
          <w:szCs w:val="20"/>
          <w:color w:val="auto"/>
        </w:rPr>
      </w:pPr>
    </w:p>
    <w:p>
      <w:pPr>
        <w:ind w:left="120" w:right="139" w:firstLine="216"/>
        <w:spacing w:after="0" w:line="277" w:lineRule="auto"/>
        <w:rPr>
          <w:sz w:val="20"/>
          <w:szCs w:val="20"/>
          <w:color w:val="auto"/>
        </w:rPr>
      </w:pPr>
      <w:r>
        <w:rPr>
          <w:rFonts w:ascii="Arial" w:cs="Arial" w:eastAsia="Arial" w:hAnsi="Arial"/>
          <w:sz w:val="18"/>
          <w:szCs w:val="18"/>
          <w:color w:val="auto"/>
        </w:rPr>
        <w:t>Options may not be sold, assigned, pledged or otherwise disposed of by the participant who holds such options, except by will or the laws of descent.</w:t>
      </w:r>
    </w:p>
    <w:p>
      <w:pPr>
        <w:spacing w:after="0" w:line="170" w:lineRule="exact"/>
        <w:rPr>
          <w:sz w:val="20"/>
          <w:szCs w:val="20"/>
          <w:color w:val="auto"/>
        </w:rPr>
      </w:pPr>
    </w:p>
    <w:p>
      <w:pPr>
        <w:ind w:left="120" w:right="179" w:firstLine="216"/>
        <w:spacing w:after="0" w:line="293"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ind w:left="120" w:right="239" w:firstLine="216"/>
        <w:spacing w:after="0" w:line="291"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September 30, 2014, we had available 68,217 shares for future grant and had 154,582 options to purchase ordinary shares outstanding under the 2012 Plan.</w:t>
      </w:r>
    </w:p>
    <w:p>
      <w:pPr>
        <w:spacing w:after="0" w:line="167" w:lineRule="exact"/>
        <w:rPr>
          <w:sz w:val="20"/>
          <w:szCs w:val="20"/>
          <w:color w:val="auto"/>
        </w:rPr>
      </w:pPr>
    </w:p>
    <w:p>
      <w:pPr>
        <w:ind w:left="120" w:right="139" w:firstLine="216"/>
        <w:spacing w:after="0" w:line="273" w:lineRule="auto"/>
        <w:rPr>
          <w:sz w:val="20"/>
          <w:szCs w:val="20"/>
          <w:color w:val="auto"/>
        </w:rPr>
      </w:pPr>
      <w:r>
        <w:rPr>
          <w:rFonts w:ascii="Arial" w:cs="Arial" w:eastAsia="Arial" w:hAnsi="Arial"/>
          <w:sz w:val="17"/>
          <w:szCs w:val="17"/>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78"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102(b)(2) of the Ordinance. Our Israeli non-employee service providers and controlling shareholders may only be granted options under Section 3(i) of the Ordinance, which does not provide for similar tax benefits.</w:t>
      </w:r>
    </w:p>
    <w:p>
      <w:pPr>
        <w:spacing w:after="0" w:line="188"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7" w:lineRule="exact"/>
        <w:rPr>
          <w:sz w:val="20"/>
          <w:szCs w:val="20"/>
          <w:color w:val="auto"/>
        </w:rPr>
      </w:pPr>
    </w:p>
    <w:p>
      <w:pPr>
        <w:ind w:left="120" w:right="259" w:firstLine="216"/>
        <w:spacing w:after="0" w:line="277" w:lineRule="auto"/>
        <w:rPr>
          <w:sz w:val="20"/>
          <w:szCs w:val="20"/>
          <w:color w:val="auto"/>
        </w:rPr>
      </w:pPr>
      <w:r>
        <w:rPr>
          <w:rFonts w:ascii="Arial" w:cs="Arial" w:eastAsia="Arial" w:hAnsi="Arial"/>
          <w:sz w:val="18"/>
          <w:szCs w:val="18"/>
          <w:color w:val="auto"/>
        </w:rPr>
        <w:t>Awards under the 2012 Plan may be granted until 10 years from the date on which the 2012 Plan was adopted by our board of directors.</w:t>
      </w:r>
    </w:p>
    <w:p>
      <w:pPr>
        <w:spacing w:after="0" w:line="170"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7" w:name="page88"/>
    <w:bookmarkEnd w:id="87"/>
    <w:p>
      <w:pPr>
        <w:ind w:left="120" w:right="139" w:firstLine="216"/>
        <w:spacing w:after="0" w:line="268"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88" w:lineRule="exact"/>
        <w:rPr>
          <w:sz w:val="20"/>
          <w:szCs w:val="20"/>
          <w:color w:val="auto"/>
        </w:rPr>
      </w:pPr>
    </w:p>
    <w:p>
      <w:pPr>
        <w:ind w:left="120" w:right="179" w:firstLine="216"/>
        <w:spacing w:after="0" w:line="289"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 (i) 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67" w:lineRule="exact"/>
        <w:rPr>
          <w:sz w:val="20"/>
          <w:szCs w:val="20"/>
          <w:color w:val="auto"/>
        </w:rPr>
      </w:pPr>
    </w:p>
    <w:p>
      <w:pPr>
        <w:ind w:left="120" w:right="119" w:firstLine="216"/>
        <w:spacing w:after="0" w:line="273" w:lineRule="auto"/>
        <w:rPr>
          <w:sz w:val="20"/>
          <w:szCs w:val="20"/>
          <w:color w:val="auto"/>
        </w:rPr>
      </w:pPr>
      <w:r>
        <w:rPr>
          <w:rFonts w:ascii="Arial" w:cs="Arial" w:eastAsia="Arial" w:hAnsi="Arial"/>
          <w:sz w:val="17"/>
          <w:szCs w:val="17"/>
          <w:color w:val="auto"/>
        </w:rPr>
        <w:t>Restricted share awards are ordinary shares that are awarded to a participant subject to the satisfaction of the terms and conditions established by the board of directors or a committee designated by the board of directors. Until such time as the applicable restrictions lapse, restricted shares are subject to forfeiture and may not be sold, assigned, pledged or otherwise disposed of by the participant who holds those shares, except by will or the laws of descent. Generally, if a grantee’s employment or service is terminated for any reason prior to the expiration of the time when the restrictions lapse, shares that are still restricted will be forfeited by the participant.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the date of this prospectus and after this offering by:</w:t>
      </w:r>
    </w:p>
    <w:p>
      <w:pPr>
        <w:spacing w:after="0" w:line="161" w:lineRule="exact"/>
        <w:rPr>
          <w:sz w:val="20"/>
          <w:szCs w:val="20"/>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each person or entity known by us to own beneficially 5% or more of our outstanding ordinary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each of our directors and executive officers individually;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1"/>
        </w:numPr>
        <w:rPr>
          <w:rFonts w:ascii="Arial" w:cs="Arial" w:eastAsia="Arial" w:hAnsi="Arial"/>
          <w:sz w:val="22"/>
          <w:szCs w:val="22"/>
          <w:color w:val="auto"/>
        </w:rPr>
      </w:pPr>
      <w:r>
        <w:rPr>
          <w:rFonts w:ascii="Arial" w:cs="Arial" w:eastAsia="Arial" w:hAnsi="Arial"/>
          <w:sz w:val="18"/>
          <w:szCs w:val="18"/>
          <w:color w:val="auto"/>
        </w:rPr>
        <w:t>all of our executive officers and directors as a group.</w:t>
      </w:r>
    </w:p>
    <w:p>
      <w:pPr>
        <w:spacing w:after="0" w:line="202" w:lineRule="exact"/>
        <w:rPr>
          <w:sz w:val="20"/>
          <w:szCs w:val="20"/>
          <w:color w:val="auto"/>
        </w:rPr>
      </w:pPr>
    </w:p>
    <w:p>
      <w:pPr>
        <w:ind w:left="120" w:right="119" w:firstLine="216"/>
        <w:spacing w:after="0" w:line="269" w:lineRule="auto"/>
        <w:rPr>
          <w:sz w:val="20"/>
          <w:szCs w:val="20"/>
          <w:color w:val="auto"/>
        </w:rPr>
      </w:pPr>
      <w:r>
        <w:rPr>
          <w:rFonts w:ascii="Arial" w:cs="Arial" w:eastAsia="Arial" w:hAnsi="Arial"/>
          <w:sz w:val="17"/>
          <w:szCs w:val="17"/>
          <w:color w:val="auto"/>
        </w:rPr>
        <w:t>The beneficial ownership of our ordinary shares is determined in accordance with the rules of the Commission and generally includes any ordinary shares over which a person exercises sole or shared voting or investment power, or the right to receive the economic benefit of ownership. For purposes of the table below, we deem ordinary shares issuable pursuant to options or warrants that are currently exercisable or exercisable within 60 days of November 30, 2014 to be outstanding and to be beneficially owned by the person holding the options or warrants for the purposes of computing the percentage ownership of that person, but we do not treat them as outstanding for the purpose of computing the percentage ownership of any other person. The percentage of ordinary shares beneficially owned prior to the offering is based on 3,296,450 ordinary shares outstanding as of November 30, 2014, assuming the conversion of all outstanding preferred shares as of that date. Except where otherwise indicated, we believe, based on information furnished to us by such owners, that the beneficial owners of the ordinary shares listed below have sole investment and voting power with respect to such shares.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not aware of any U.S. persons that are holders of record of our shares as of November 30, 2014.</w:t>
      </w:r>
    </w:p>
    <w:p>
      <w:pPr>
        <w:spacing w:after="0" w:line="225" w:lineRule="exact"/>
        <w:rPr>
          <w:sz w:val="20"/>
          <w:szCs w:val="20"/>
          <w:color w:val="auto"/>
        </w:rPr>
      </w:pPr>
    </w:p>
    <w:p>
      <w:pPr>
        <w:ind w:left="120" w:right="639" w:firstLine="216"/>
        <w:spacing w:after="0" w:line="277" w:lineRule="auto"/>
        <w:rPr>
          <w:sz w:val="20"/>
          <w:szCs w:val="20"/>
          <w:color w:val="auto"/>
        </w:rPr>
      </w:pPr>
      <w:r>
        <w:rPr>
          <w:rFonts w:ascii="Arial" w:cs="Arial" w:eastAsia="Arial" w:hAnsi="Arial"/>
          <w:sz w:val="18"/>
          <w:szCs w:val="18"/>
          <w:color w:val="auto"/>
        </w:rPr>
        <w:t>Unless otherwise noted below, each shareholder’s address is c/o Kornit Digital Ltd., 12 Ha’Amal Street, Rosh – Ha’Ayin 4809246, Israel.</w:t>
      </w:r>
    </w:p>
    <w:p>
      <w:pPr>
        <w:spacing w:after="0" w:line="170" w:lineRule="exact"/>
        <w:rPr>
          <w:sz w:val="20"/>
          <w:szCs w:val="20"/>
          <w:color w:val="auto"/>
        </w:rPr>
      </w:pPr>
    </w:p>
    <w:p>
      <w:pPr>
        <w:ind w:left="120" w:right="239" w:firstLine="216"/>
        <w:spacing w:after="0" w:line="342" w:lineRule="auto"/>
        <w:rPr>
          <w:sz w:val="20"/>
          <w:szCs w:val="20"/>
          <w:color w:val="auto"/>
        </w:rPr>
      </w:pPr>
      <w:r>
        <w:rPr>
          <w:rFonts w:ascii="Arial" w:cs="Arial" w:eastAsia="Arial" w:hAnsi="Arial"/>
          <w:sz w:val="16"/>
          <w:szCs w:val="16"/>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1"/>
              </w:rPr>
              <w:t>Number and Percentage of</w:t>
            </w:r>
          </w:p>
        </w:tc>
        <w:tc>
          <w:tcPr>
            <w:tcW w:w="23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Ordinary Shares Beneficially</w:t>
            </w:r>
          </w:p>
        </w:tc>
        <w:tc>
          <w:tcPr>
            <w:tcW w:w="23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4"/>
              </w:rPr>
              <w:t>Owned Prior to Offering</w:t>
            </w:r>
          </w:p>
        </w:tc>
        <w:tc>
          <w:tcPr>
            <w:tcW w:w="23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Assuming</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Assuming</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Full</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 Exercise</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the Over-</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the Over-</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Allotment</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Allotment</w:t>
            </w:r>
          </w:p>
        </w:tc>
      </w:tr>
      <w:tr>
        <w:trPr>
          <w:trHeight w:val="213"/>
        </w:trPr>
        <w:tc>
          <w:tcPr>
            <w:tcW w:w="394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Option</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r>
      <w:tr>
        <w:trPr>
          <w:trHeight w:val="240"/>
        </w:trPr>
        <w:tc>
          <w:tcPr>
            <w:tcW w:w="20" w:type="dxa"/>
            <w:vAlign w:val="bottom"/>
          </w:tcPr>
          <w:p>
            <w:pPr>
              <w:spacing w:after="0"/>
              <w:rPr>
                <w:sz w:val="20"/>
                <w:szCs w:val="20"/>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or Greater Shareholders</w:t>
            </w:r>
          </w:p>
        </w:tc>
        <w:tc>
          <w:tcPr>
            <w:tcW w:w="1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line="243"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8"/>
                <w:szCs w:val="28"/>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Gavriel Weinshtock</w:t>
            </w:r>
            <w:r>
              <w:rPr>
                <w:rFonts w:ascii="Arial" w:cs="Arial" w:eastAsia="Arial" w:hAnsi="Arial"/>
                <w:sz w:val="28"/>
                <w:szCs w:val="28"/>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205,920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r>
              <w:rPr>
                <w:rFonts w:ascii="Arial" w:cs="Arial" w:eastAsia="Arial" w:hAnsi="Arial"/>
                <w:sz w:val="21"/>
                <w:szCs w:val="21"/>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line="243" w:lineRule="exact"/>
              <w:rPr>
                <w:sz w:val="20"/>
                <w:szCs w:val="20"/>
                <w:color w:val="auto"/>
              </w:rPr>
            </w:pPr>
            <w:r>
              <w:rPr>
                <w:rFonts w:ascii="Arial" w:cs="Arial" w:eastAsia="Arial" w:hAnsi="Arial"/>
                <w:sz w:val="18"/>
                <w:szCs w:val="18"/>
                <w:color w:val="auto"/>
              </w:rPr>
              <w:t>Yossef Nuriel</w:t>
            </w:r>
            <w:r>
              <w:rPr>
                <w:rFonts w:ascii="Arial" w:cs="Arial" w:eastAsia="Arial" w:hAnsi="Arial"/>
                <w:sz w:val="28"/>
                <w:szCs w:val="28"/>
                <w:color w:val="auto"/>
                <w:vertAlign w:val="superscript"/>
              </w:rPr>
              <w:t>(3)</w:t>
            </w:r>
          </w:p>
        </w:tc>
        <w:tc>
          <w:tcPr>
            <w:tcW w:w="940" w:type="dxa"/>
            <w:vAlign w:val="bottom"/>
          </w:tcPr>
          <w:p>
            <w:pPr>
              <w:jc w:val="right"/>
              <w:spacing w:after="0"/>
              <w:rPr>
                <w:sz w:val="20"/>
                <w:szCs w:val="20"/>
                <w:color w:val="auto"/>
              </w:rPr>
            </w:pPr>
            <w:r>
              <w:rPr>
                <w:rFonts w:ascii="Arial" w:cs="Arial" w:eastAsia="Arial" w:hAnsi="Arial"/>
                <w:sz w:val="18"/>
                <w:szCs w:val="18"/>
                <w:color w:val="auto"/>
              </w:rPr>
              <w:t>192,890</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r>
              <w:rPr>
                <w:rFonts w:ascii="Arial" w:cs="Arial" w:eastAsia="Arial" w:hAnsi="Arial"/>
                <w:sz w:val="21"/>
                <w:szCs w:val="21"/>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Yahel (Nur Group) Holdings Ltd.</w:t>
            </w:r>
            <w:r>
              <w:rPr>
                <w:rFonts w:ascii="Arial" w:cs="Arial" w:eastAsia="Arial" w:hAnsi="Arial"/>
                <w:sz w:val="28"/>
                <w:szCs w:val="28"/>
                <w:color w:val="auto"/>
                <w:vertAlign w:val="superscript"/>
              </w:rPr>
              <w:t>(4)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r>
              <w:rPr>
                <w:rFonts w:ascii="Arial" w:cs="Arial" w:eastAsia="Arial" w:hAnsi="Arial"/>
                <w:sz w:val="21"/>
                <w:szCs w:val="21"/>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80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line="243" w:lineRule="exact"/>
              <w:rPr>
                <w:sz w:val="20"/>
                <w:szCs w:val="20"/>
                <w:color w:val="auto"/>
              </w:rPr>
            </w:pPr>
            <w:r>
              <w:rPr>
                <w:rFonts w:ascii="Arial" w:cs="Arial" w:eastAsia="Arial" w:hAnsi="Arial"/>
                <w:sz w:val="18"/>
                <w:szCs w:val="18"/>
                <w:color w:val="auto"/>
              </w:rPr>
              <w:t>Yuval Cohen</w:t>
            </w:r>
            <w:r>
              <w:rPr>
                <w:rFonts w:ascii="Arial" w:cs="Arial" w:eastAsia="Arial" w:hAnsi="Arial"/>
                <w:sz w:val="28"/>
                <w:szCs w:val="28"/>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 Zur</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226,990</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w:t>
            </w:r>
            <w:r>
              <w:rPr>
                <w:rFonts w:ascii="Arial" w:cs="Arial" w:eastAsia="Arial" w:hAnsi="Arial"/>
                <w:sz w:val="21"/>
                <w:szCs w:val="21"/>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line="243" w:lineRule="exact"/>
              <w:rPr>
                <w:sz w:val="20"/>
                <w:szCs w:val="20"/>
                <w:color w:val="auto"/>
              </w:rPr>
            </w:pPr>
            <w:r>
              <w:rPr>
                <w:rFonts w:ascii="Arial" w:cs="Arial" w:eastAsia="Arial" w:hAnsi="Arial"/>
                <w:sz w:val="18"/>
                <w:szCs w:val="18"/>
                <w:color w:val="auto"/>
              </w:rPr>
              <w:t>Eli Blatt</w:t>
            </w:r>
            <w:r>
              <w:rPr>
                <w:rFonts w:ascii="Arial" w:cs="Arial" w:eastAsia="Arial" w:hAnsi="Arial"/>
                <w:sz w:val="28"/>
                <w:szCs w:val="28"/>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Yoav Hineman</w:t>
            </w:r>
            <w:r>
              <w:rPr>
                <w:rFonts w:ascii="Arial" w:cs="Arial" w:eastAsia="Arial" w:hAnsi="Arial"/>
                <w:sz w:val="28"/>
                <w:szCs w:val="28"/>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tcPr>
          <w:p>
            <w:pPr>
              <w:spacing w:after="0" w:line="243" w:lineRule="exact"/>
              <w:rPr>
                <w:sz w:val="20"/>
                <w:szCs w:val="20"/>
                <w:color w:val="auto"/>
              </w:rPr>
            </w:pPr>
            <w:r>
              <w:rPr>
                <w:rFonts w:ascii="Arial" w:cs="Arial" w:eastAsia="Arial" w:hAnsi="Arial"/>
                <w:sz w:val="18"/>
                <w:szCs w:val="18"/>
                <w:color w:val="auto"/>
              </w:rPr>
              <w:t>Marc Lesnick</w:t>
            </w:r>
            <w:r>
              <w:rPr>
                <w:rFonts w:ascii="Arial" w:cs="Arial" w:eastAsia="Arial" w:hAnsi="Arial"/>
                <w:sz w:val="28"/>
                <w:szCs w:val="28"/>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2,294,713</w:t>
            </w:r>
          </w:p>
        </w:tc>
        <w:tc>
          <w:tcPr>
            <w:tcW w:w="30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69.6</w:t>
            </w:r>
            <w:r>
              <w:rPr>
                <w:rFonts w:ascii="Arial" w:cs="Arial" w:eastAsia="Arial" w:hAnsi="Arial"/>
                <w:sz w:val="21"/>
                <w:szCs w:val="21"/>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line="243" w:lineRule="exact"/>
              <w:rPr>
                <w:sz w:val="20"/>
                <w:szCs w:val="20"/>
                <w:color w:val="auto"/>
              </w:rPr>
            </w:pPr>
            <w:r>
              <w:rPr>
                <w:rFonts w:ascii="Arial" w:cs="Arial" w:eastAsia="Arial" w:hAnsi="Arial"/>
                <w:sz w:val="18"/>
                <w:szCs w:val="18"/>
                <w:color w:val="auto"/>
              </w:rPr>
              <w:t>Moshe Nur</w:t>
            </w:r>
            <w:r>
              <w:rPr>
                <w:rFonts w:ascii="Arial" w:cs="Arial" w:eastAsia="Arial" w:hAnsi="Arial"/>
                <w:sz w:val="28"/>
                <w:szCs w:val="28"/>
                <w:color w:val="auto"/>
                <w:vertAlign w:val="superscript"/>
              </w:rPr>
              <w:t>(4)(5)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173,217</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r>
              <w:rPr>
                <w:rFonts w:ascii="Arial" w:cs="Arial" w:eastAsia="Arial" w:hAnsi="Arial"/>
                <w:sz w:val="21"/>
                <w:szCs w:val="21"/>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Joshua Maor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Guy Avidan</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color w:val="auto"/>
              </w:rPr>
              <w:t>86</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89" w:name="page90"/>
    <w:bookmarkEnd w:id="89"/>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232"/>
              <w:spacing w:after="0"/>
              <w:rPr>
                <w:sz w:val="20"/>
                <w:szCs w:val="20"/>
                <w:color w:val="auto"/>
              </w:rPr>
            </w:pPr>
            <w:r>
              <w:rPr>
                <w:rFonts w:ascii="Arial" w:cs="Arial" w:eastAsia="Arial" w:hAnsi="Arial"/>
                <w:sz w:val="16"/>
                <w:szCs w:val="16"/>
                <w:b w:val="1"/>
                <w:bCs w:val="1"/>
                <w:color w:val="auto"/>
                <w:w w:val="91"/>
              </w:rPr>
              <w:t>Number and Percentage of</w:t>
            </w:r>
          </w:p>
        </w:tc>
        <w:tc>
          <w:tcPr>
            <w:tcW w:w="23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92"/>
              </w:rPr>
              <w:t>Percentage of Ordinary</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520" w:type="dxa"/>
            <w:vAlign w:val="bottom"/>
            <w:gridSpan w:val="4"/>
          </w:tcPr>
          <w:p>
            <w:pPr>
              <w:jc w:val="center"/>
              <w:ind w:right="252"/>
              <w:spacing w:after="0"/>
              <w:rPr>
                <w:sz w:val="20"/>
                <w:szCs w:val="20"/>
                <w:color w:val="auto"/>
              </w:rPr>
            </w:pPr>
            <w:r>
              <w:rPr>
                <w:rFonts w:ascii="Arial" w:cs="Arial" w:eastAsia="Arial" w:hAnsi="Arial"/>
                <w:sz w:val="16"/>
                <w:szCs w:val="16"/>
                <w:b w:val="1"/>
                <w:bCs w:val="1"/>
                <w:color w:val="auto"/>
                <w:w w:val="91"/>
              </w:rPr>
              <w:t>Ordinary Shares Beneficially</w:t>
            </w:r>
          </w:p>
        </w:tc>
        <w:tc>
          <w:tcPr>
            <w:tcW w:w="2320" w:type="dxa"/>
            <w:vAlign w:val="bottom"/>
            <w:gridSpan w:val="4"/>
          </w:tcPr>
          <w:p>
            <w:pPr>
              <w:jc w:val="center"/>
              <w:ind w:right="160"/>
              <w:spacing w:after="0"/>
              <w:rPr>
                <w:sz w:val="20"/>
                <w:szCs w:val="20"/>
                <w:color w:val="auto"/>
              </w:rPr>
            </w:pPr>
            <w:r>
              <w:rPr>
                <w:rFonts w:ascii="Arial" w:cs="Arial" w:eastAsia="Arial" w:hAnsi="Arial"/>
                <w:sz w:val="16"/>
                <w:szCs w:val="16"/>
                <w:b w:val="1"/>
                <w:bCs w:val="1"/>
                <w:color w:val="auto"/>
                <w:w w:val="89"/>
              </w:rPr>
              <w:t>Shares Beneficially Owned</w:t>
            </w:r>
          </w:p>
        </w:tc>
      </w:tr>
      <w:tr>
        <w:trPr>
          <w:trHeight w:val="210"/>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center"/>
              <w:ind w:right="252"/>
              <w:spacing w:after="0"/>
              <w:rPr>
                <w:sz w:val="20"/>
                <w:szCs w:val="20"/>
                <w:color w:val="auto"/>
              </w:rPr>
            </w:pPr>
            <w:r>
              <w:rPr>
                <w:rFonts w:ascii="Arial" w:cs="Arial" w:eastAsia="Arial" w:hAnsi="Arial"/>
                <w:sz w:val="16"/>
                <w:szCs w:val="16"/>
                <w:b w:val="1"/>
                <w:bCs w:val="1"/>
                <w:color w:val="auto"/>
                <w:w w:val="94"/>
              </w:rPr>
              <w:t>Owned Prior to Offering</w:t>
            </w:r>
          </w:p>
        </w:tc>
        <w:tc>
          <w:tcPr>
            <w:tcW w:w="2320" w:type="dxa"/>
            <w:vAlign w:val="bottom"/>
            <w:gridSpan w:val="4"/>
          </w:tcPr>
          <w:p>
            <w:pPr>
              <w:jc w:val="center"/>
              <w:ind w:right="140"/>
              <w:spacing w:after="0"/>
              <w:rPr>
                <w:sz w:val="20"/>
                <w:szCs w:val="20"/>
                <w:color w:val="auto"/>
              </w:rPr>
            </w:pPr>
            <w:r>
              <w:rPr>
                <w:rFonts w:ascii="Arial" w:cs="Arial" w:eastAsia="Arial" w:hAnsi="Arial"/>
                <w:sz w:val="16"/>
                <w:szCs w:val="16"/>
                <w:b w:val="1"/>
                <w:bCs w:val="1"/>
                <w:color w:val="auto"/>
                <w:w w:val="95"/>
              </w:rPr>
              <w:t>After the Offering</w:t>
            </w:r>
          </w:p>
        </w:tc>
      </w:tr>
      <w:tr>
        <w:trPr>
          <w:trHeight w:val="188"/>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Assuming</w:t>
            </w:r>
          </w:p>
        </w:tc>
        <w:tc>
          <w:tcPr>
            <w:tcW w:w="14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Assuming</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Full</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No Exercise</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Exercise of</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of the Over-</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the Over-</w:t>
            </w:r>
          </w:p>
        </w:tc>
      </w:t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Allotment</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Allotment</w:t>
            </w:r>
          </w:p>
        </w:tc>
      </w:tr>
      <w:tr>
        <w:trPr>
          <w:trHeight w:val="213"/>
        </w:trPr>
        <w:tc>
          <w:tcPr>
            <w:tcW w:w="3940" w:type="dxa"/>
            <w:vAlign w:val="bottom"/>
            <w:gridSpan w:val="3"/>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gridSpan w:val="2"/>
          </w:tcPr>
          <w:p>
            <w:pPr>
              <w:jc w:val="right"/>
              <w:ind w:right="390"/>
              <w:spacing w:after="0"/>
              <w:rPr>
                <w:sz w:val="20"/>
                <w:szCs w:val="20"/>
                <w:color w:val="auto"/>
              </w:rPr>
            </w:pPr>
            <w:r>
              <w:rPr>
                <w:rFonts w:ascii="Arial" w:cs="Arial" w:eastAsia="Arial" w:hAnsi="Arial"/>
                <w:sz w:val="16"/>
                <w:szCs w:val="16"/>
                <w:b w:val="1"/>
                <w:bCs w:val="1"/>
                <w:color w:val="auto"/>
              </w:rPr>
              <w:t>Number</w:t>
            </w:r>
          </w:p>
        </w:tc>
        <w:tc>
          <w:tcPr>
            <w:tcW w:w="1280" w:type="dxa"/>
            <w:vAlign w:val="bottom"/>
            <w:gridSpan w:val="2"/>
          </w:tcPr>
          <w:p>
            <w:pPr>
              <w:jc w:val="right"/>
              <w:ind w:right="452"/>
              <w:spacing w:after="0"/>
              <w:rPr>
                <w:sz w:val="20"/>
                <w:szCs w:val="20"/>
                <w:color w:val="auto"/>
              </w:rPr>
            </w:pPr>
            <w:r>
              <w:rPr>
                <w:rFonts w:ascii="Arial" w:cs="Arial" w:eastAsia="Arial" w:hAnsi="Arial"/>
                <w:sz w:val="16"/>
                <w:szCs w:val="16"/>
                <w:b w:val="1"/>
                <w:bCs w:val="1"/>
                <w:color w:val="auto"/>
              </w:rPr>
              <w:t>Percent</w:t>
            </w: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Option</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Option</w:t>
            </w:r>
          </w:p>
        </w:tc>
      </w:tr>
      <w:tr>
        <w:trPr>
          <w:trHeight w:val="240"/>
        </w:trPr>
        <w:tc>
          <w:tcPr>
            <w:tcW w:w="20" w:type="dxa"/>
            <w:vAlign w:val="bottom"/>
          </w:tcPr>
          <w:p>
            <w:pPr>
              <w:spacing w:after="0"/>
              <w:rPr>
                <w:sz w:val="20"/>
                <w:szCs w:val="20"/>
                <w:color w:val="auto"/>
              </w:rPr>
            </w:pPr>
          </w:p>
        </w:tc>
        <w:tc>
          <w:tcPr>
            <w:tcW w:w="3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Sarel Ashkenazy</w:t>
            </w:r>
          </w:p>
        </w:tc>
        <w:tc>
          <w:tcPr>
            <w:tcW w:w="14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jc w:val="right"/>
              <w:ind w:right="132"/>
              <w:spacing w:after="0" w:line="240" w:lineRule="exact"/>
              <w:rPr>
                <w:sz w:val="20"/>
                <w:szCs w:val="20"/>
                <w:color w:val="auto"/>
              </w:rPr>
            </w:pPr>
            <w:r>
              <w:rPr>
                <w:rFonts w:ascii="Arial" w:cs="Arial" w:eastAsia="Arial" w:hAnsi="Arial"/>
                <w:sz w:val="22"/>
                <w:szCs w:val="22"/>
                <w:color w:val="auto"/>
                <w:w w:val="92"/>
              </w:rPr>
              <w:t>*</w:t>
            </w:r>
          </w:p>
        </w:tc>
        <w:tc>
          <w:tcPr>
            <w:tcW w:w="9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Ofer Sandelson</w:t>
            </w: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Zimmerman</w:t>
            </w:r>
          </w:p>
        </w:tc>
        <w:tc>
          <w:tcPr>
            <w:tcW w:w="12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3940" w:type="dxa"/>
            <w:vAlign w:val="bottom"/>
            <w:gridSpan w:val="3"/>
          </w:tcPr>
          <w:p>
            <w:pPr>
              <w:spacing w:after="0"/>
              <w:rPr>
                <w:sz w:val="20"/>
                <w:szCs w:val="20"/>
                <w:color w:val="auto"/>
              </w:rPr>
            </w:pPr>
            <w:r>
              <w:rPr>
                <w:rFonts w:ascii="Arial" w:cs="Arial" w:eastAsia="Arial" w:hAnsi="Arial"/>
                <w:sz w:val="18"/>
                <w:szCs w:val="18"/>
                <w:color w:val="auto"/>
              </w:rPr>
              <w:t>Oded Kraft</w:t>
            </w: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93"/>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w w:val="96"/>
              </w:rPr>
              <w:t>All Directors and Executive Officers as a Group</w:t>
            </w: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66"/>
        </w:trPr>
        <w:tc>
          <w:tcPr>
            <w:tcW w:w="20" w:type="dxa"/>
            <w:vAlign w:val="bottom"/>
          </w:tcPr>
          <w:p>
            <w:pPr>
              <w:spacing w:after="0"/>
              <w:rPr>
                <w:sz w:val="23"/>
                <w:szCs w:val="23"/>
                <w:color w:val="auto"/>
              </w:rPr>
            </w:pPr>
          </w:p>
        </w:tc>
        <w:tc>
          <w:tcPr>
            <w:tcW w:w="3920" w:type="dxa"/>
            <w:vAlign w:val="bottom"/>
            <w:gridSpan w:val="2"/>
            <w:shd w:val="clear" w:color="auto" w:fill="CCEEFF"/>
          </w:tcPr>
          <w:p>
            <w:pPr>
              <w:spacing w:after="0" w:line="266" w:lineRule="exact"/>
              <w:rPr>
                <w:sz w:val="20"/>
                <w:szCs w:val="20"/>
                <w:color w:val="auto"/>
              </w:rPr>
            </w:pPr>
            <w:r>
              <w:rPr>
                <w:rFonts w:ascii="Arial" w:cs="Arial" w:eastAsia="Arial" w:hAnsi="Arial"/>
                <w:sz w:val="18"/>
                <w:szCs w:val="18"/>
                <w:b w:val="1"/>
                <w:bCs w:val="1"/>
                <w:color w:val="auto"/>
              </w:rPr>
              <w:t>(13 persons)</w:t>
            </w:r>
            <w:r>
              <w:rPr>
                <w:rFonts w:ascii="Arial" w:cs="Arial" w:eastAsia="Arial" w:hAnsi="Arial"/>
                <w:sz w:val="28"/>
                <w:szCs w:val="28"/>
                <w:b w:val="1"/>
                <w:bCs w:val="1"/>
                <w:color w:val="auto"/>
                <w:vertAlign w:val="superscript"/>
              </w:rPr>
              <w:t>(6)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2,722,068</w:t>
            </w:r>
          </w:p>
        </w:tc>
        <w:tc>
          <w:tcPr>
            <w:tcW w:w="3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82.8</w:t>
            </w:r>
            <w:r>
              <w:rPr>
                <w:rFonts w:ascii="Arial" w:cs="Arial" w:eastAsia="Arial" w:hAnsi="Arial"/>
                <w:sz w:val="21"/>
                <w:szCs w:val="21"/>
                <w:color w:val="auto"/>
              </w:rPr>
              <w:t>%</w:t>
            </w:r>
          </w:p>
        </w:tc>
        <w:tc>
          <w:tcPr>
            <w:tcW w:w="9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440" w:hanging="315"/>
        <w:spacing w:after="0"/>
        <w:tabs>
          <w:tab w:leader="none" w:pos="4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9" w:lineRule="exact"/>
        <w:rPr>
          <w:sz w:val="20"/>
          <w:szCs w:val="20"/>
          <w:color w:val="auto"/>
        </w:rPr>
      </w:pPr>
    </w:p>
    <w:p>
      <w:pPr>
        <w:ind w:left="440" w:right="139" w:hanging="315"/>
        <w:spacing w:after="0" w:line="265" w:lineRule="auto"/>
        <w:tabs>
          <w:tab w:leader="none" w:pos="506"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Consists of 367,573 ordinary shares and 1,927,140 Series A-1 Preferred Shares. Fortissimo Capital Fund II (GP), L.P. is a Cayman Island limited partnership, which serves as the general partner of Fortissimo Capital Fund II (Israel), L.P., an Israeli limited partnership: The general partner of Fortissimo Capital Fund II (GP), L.P. is Fortissimo Capital 2 Management (GP) Ltd., a Cayman Islands corporation (“Fortissimo Capital”). Messrs. Eli Blatt, Yuval Cohen, Yoav Hineman and Marc Lesnick are members of the investment committee of Fortissimo Capital and share voting and dispositive power with respect to such shares. The principal address of Fortissimo Capital is 14 Hamelacha St., Park Afek, Rosh Ha’Ayin 48091, Israel.</w:t>
      </w:r>
    </w:p>
    <w:p>
      <w:pPr>
        <w:spacing w:after="0" w:line="1" w:lineRule="exact"/>
        <w:rPr>
          <w:rFonts w:ascii="Arial" w:cs="Arial" w:eastAsia="Arial" w:hAnsi="Arial"/>
          <w:sz w:val="17"/>
          <w:szCs w:val="17"/>
          <w:color w:val="auto"/>
        </w:rPr>
      </w:pPr>
    </w:p>
    <w:p>
      <w:pPr>
        <w:ind w:left="420" w:hanging="295"/>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address of Mr. Weinshtock is 10 Bertonov, Petach Tikva, Israel.</w:t>
      </w:r>
    </w:p>
    <w:p>
      <w:pPr>
        <w:spacing w:after="0" w:line="9" w:lineRule="exact"/>
        <w:rPr>
          <w:rFonts w:ascii="Arial" w:cs="Arial" w:eastAsia="Arial" w:hAnsi="Arial"/>
          <w:sz w:val="18"/>
          <w:szCs w:val="18"/>
          <w:color w:val="auto"/>
        </w:rPr>
      </w:pPr>
    </w:p>
    <w:p>
      <w:pPr>
        <w:ind w:left="420" w:hanging="295"/>
        <w:spacing w:after="0"/>
        <w:tabs>
          <w:tab w:leader="none" w:pos="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principal address of Mr. Nuriel is 10 Ein Gedi St., Ganei Tikva, Israel.</w:t>
      </w:r>
    </w:p>
    <w:p>
      <w:pPr>
        <w:spacing w:after="0" w:line="9" w:lineRule="exact"/>
        <w:rPr>
          <w:rFonts w:ascii="Arial" w:cs="Arial" w:eastAsia="Arial" w:hAnsi="Arial"/>
          <w:sz w:val="18"/>
          <w:szCs w:val="18"/>
          <w:color w:val="auto"/>
        </w:rPr>
      </w:pPr>
    </w:p>
    <w:p>
      <w:pPr>
        <w:ind w:left="440" w:right="239" w:hanging="315"/>
        <w:spacing w:after="0" w:line="265" w:lineRule="auto"/>
        <w:tabs>
          <w:tab w:leader="none" w:pos="412"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principal address of Yahel (Nur Group) Holdings Ltd., or Yahel, is 5 David Navon St., Magshimim, Israel. Substantially all of the shares of Yahel are held by Zevik Nur. Moshe Nur, the father of Zevik Nur and a director of our company, is the sole director of Yahel. The address of Yahel is Moshav Magshimim 56910, Israel.</w:t>
      </w:r>
    </w:p>
    <w:p>
      <w:pPr>
        <w:ind w:left="440" w:right="179" w:hanging="315"/>
        <w:spacing w:after="0" w:line="250" w:lineRule="auto"/>
        <w:tabs>
          <w:tab w:leader="none" w:pos="4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167,217 ordinary shares held directly by Yahel and options to purchase 6,000 ordinary shares exercisable within 60 days of November 30, 2014. Mr. Nur is the sole director of Yahel.</w:t>
      </w:r>
    </w:p>
    <w:p>
      <w:pPr>
        <w:ind w:left="440" w:right="279" w:hanging="315"/>
        <w:spacing w:after="0" w:line="261" w:lineRule="auto"/>
        <w:tabs>
          <w:tab w:leader="none" w:pos="416"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2,691,468 ordinary shares and options to purchase 30,600 ordinary shares exercisable within 60 days of November 30, 2014.</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99" w:firstLine="216"/>
        <w:spacing w:after="0" w:line="272" w:lineRule="auto"/>
        <w:rPr>
          <w:sz w:val="20"/>
          <w:szCs w:val="20"/>
          <w:color w:val="auto"/>
        </w:rPr>
      </w:pPr>
      <w:r>
        <w:rPr>
          <w:rFonts w:ascii="Arial" w:cs="Arial" w:eastAsia="Arial" w:hAnsi="Arial"/>
          <w:sz w:val="17"/>
          <w:szCs w:val="17"/>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2012 to which we were or will be a party and in which the other parties included or will include our directors, executive officers, holders of more than 5% of our voting securities or any member of the immediate family of any of the foregoing persons.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Related Parties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Transactions</w:t>
      </w:r>
    </w:p>
    <w:p>
      <w:pPr>
        <w:spacing w:after="0" w:line="212" w:lineRule="exact"/>
        <w:rPr>
          <w:sz w:val="20"/>
          <w:szCs w:val="20"/>
          <w:color w:val="auto"/>
        </w:rPr>
      </w:pPr>
    </w:p>
    <w:p>
      <w:pPr>
        <w:ind w:left="120" w:right="199" w:firstLine="216"/>
        <w:spacing w:after="0" w:line="308" w:lineRule="auto"/>
        <w:rPr>
          <w:sz w:val="20"/>
          <w:szCs w:val="20"/>
          <w:color w:val="auto"/>
        </w:rPr>
      </w:pPr>
      <w:r>
        <w:rPr>
          <w:rFonts w:ascii="Arial" w:cs="Arial" w:eastAsia="Arial" w:hAnsi="Arial"/>
          <w:sz w:val="17"/>
          <w:szCs w:val="17"/>
          <w:i w:val="1"/>
          <w:iCs w:val="1"/>
          <w:color w:val="auto"/>
        </w:rPr>
        <w:t xml:space="preserve">Original Rounds of Financing. </w:t>
      </w:r>
      <w:r>
        <w:rPr>
          <w:rFonts w:ascii="Arial" w:cs="Arial" w:eastAsia="Arial" w:hAnsi="Arial"/>
          <w:sz w:val="17"/>
          <w:szCs w:val="17"/>
          <w:color w:val="auto"/>
        </w:rPr>
        <w:t>Since our founding, we have raised capital through equity financings. Between 2002</w:t>
      </w:r>
      <w:r>
        <w:rPr>
          <w:rFonts w:ascii="Arial" w:cs="Arial" w:eastAsia="Arial" w:hAnsi="Arial"/>
          <w:sz w:val="17"/>
          <w:szCs w:val="17"/>
          <w:i w:val="1"/>
          <w:iCs w:val="1"/>
          <w:color w:val="auto"/>
        </w:rPr>
        <w:t xml:space="preserve"> </w:t>
      </w:r>
      <w:r>
        <w:rPr>
          <w:rFonts w:ascii="Arial" w:cs="Arial" w:eastAsia="Arial" w:hAnsi="Arial"/>
          <w:sz w:val="17"/>
          <w:szCs w:val="17"/>
          <w:color w:val="auto"/>
        </w:rPr>
        <w:t>and 2011, we raised capital through sales of our ordinary shares and Series A and A-1 preferred shares.</w:t>
      </w:r>
    </w:p>
    <w:p>
      <w:pPr>
        <w:spacing w:after="0" w:line="133" w:lineRule="exact"/>
        <w:rPr>
          <w:sz w:val="20"/>
          <w:szCs w:val="20"/>
          <w:color w:val="auto"/>
        </w:rPr>
      </w:pPr>
    </w:p>
    <w:p>
      <w:pPr>
        <w:ind w:left="120" w:right="239" w:firstLine="216"/>
        <w:spacing w:after="0" w:line="290" w:lineRule="auto"/>
        <w:rPr>
          <w:sz w:val="20"/>
          <w:szCs w:val="20"/>
          <w:color w:val="auto"/>
        </w:rPr>
      </w:pPr>
      <w:r>
        <w:rPr>
          <w:rFonts w:ascii="Arial" w:cs="Arial" w:eastAsia="Arial" w:hAnsi="Arial"/>
          <w:sz w:val="16"/>
          <w:szCs w:val="16"/>
          <w:i w:val="1"/>
          <w:iCs w:val="1"/>
          <w:color w:val="auto"/>
        </w:rPr>
        <w:t xml:space="preserve">Series A-1 Financing. </w:t>
      </w:r>
      <w:r>
        <w:rPr>
          <w:rFonts w:ascii="Arial" w:cs="Arial" w:eastAsia="Arial" w:hAnsi="Arial"/>
          <w:sz w:val="16"/>
          <w:szCs w:val="16"/>
          <w:color w:val="auto"/>
        </w:rPr>
        <w:t>In 2011, we sold Series A-1 preferred shares convertible into 602,230 ordinary shares at a price</w:t>
      </w:r>
      <w:r>
        <w:rPr>
          <w:rFonts w:ascii="Arial" w:cs="Arial" w:eastAsia="Arial" w:hAnsi="Arial"/>
          <w:sz w:val="16"/>
          <w:szCs w:val="16"/>
          <w:i w:val="1"/>
          <w:iCs w:val="1"/>
          <w:color w:val="auto"/>
        </w:rPr>
        <w:t xml:space="preserve"> </w:t>
      </w:r>
      <w:r>
        <w:rPr>
          <w:rFonts w:ascii="Arial" w:cs="Arial" w:eastAsia="Arial" w:hAnsi="Arial"/>
          <w:sz w:val="16"/>
          <w:szCs w:val="16"/>
          <w:color w:val="auto"/>
        </w:rPr>
        <w:t>per underlying preferred share of $8.30243 for an aggregate purchase price of approximately $5 million. Concurrently with this transaction, Fortissimo Capital purchased Series A-1 preferred shares convertible into 1,324,910 ordinary shares from certain of our shareholder s at a price per underlying preferred share of $8.30243 for an aggregate purchase price of approximately $11 million (these shares were reclassified as Series A-1 preferred shares immediately prior to this transaction). Each Series A-1 preferred share will convert into one ordinary share upon the closing of this offering. The following table sets forth the number of ordinary shares resulting from conversion upon the closing of this offering of the Series A-1 preferred shares purchased by Fortissimo Capital:</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Number of Ordinary</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Shares Resulting from</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the Conversion</w:t>
            </w: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9"/>
              </w:rPr>
              <w:t>of Series A-1 Preferred</w:t>
            </w:r>
          </w:p>
        </w:tc>
      </w:tr>
      <w:tr>
        <w:trPr>
          <w:trHeight w:val="213"/>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1"/>
              </w:rPr>
              <w:t>Aggregate Purchase Price</w:t>
            </w:r>
          </w:p>
        </w:tc>
        <w:tc>
          <w:tcPr>
            <w:tcW w:w="440" w:type="dxa"/>
            <w:vAlign w:val="bottom"/>
          </w:tcPr>
          <w:p>
            <w:pPr>
              <w:spacing w:after="0"/>
              <w:rPr>
                <w:sz w:val="18"/>
                <w:szCs w:val="18"/>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Fortissimo Capital</w:t>
            </w: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1,927,140</w:t>
            </w:r>
          </w:p>
        </w:tc>
        <w:tc>
          <w:tcPr>
            <w:tcW w:w="160" w:type="dxa"/>
            <w:vAlign w:val="bottom"/>
            <w:shd w:val="clear" w:color="auto" w:fill="CCEEFF"/>
          </w:tcPr>
          <w:p>
            <w:pPr>
              <w:spacing w:after="0"/>
              <w:rPr>
                <w:sz w:val="19"/>
                <w:szCs w:val="19"/>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9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We are party to an investors’ rights agreement, dated July 18, 2011, or the Investors’ Rights Agreement, with certain of our shareholders. The Investors’ Rights Agreement provides that certain holders of our ordinary shares and Series A-1 preferred shares have the right to demand that we file a registration statement or request that their ordinary shares be covered by a registration statement that we are otherwise filing.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 The Investors’ Rights Agreement also includes certain information rights, which will terminate upon the completion of this offering. The registration rights are described in more detail under “Description of Share Capital—Registration Rights.”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Services Agreement</w:t>
      </w:r>
    </w:p>
    <w:p>
      <w:pPr>
        <w:spacing w:after="0" w:line="212" w:lineRule="exact"/>
        <w:rPr>
          <w:sz w:val="20"/>
          <w:szCs w:val="20"/>
          <w:color w:val="auto"/>
        </w:rPr>
      </w:pPr>
    </w:p>
    <w:p>
      <w:pPr>
        <w:ind w:left="120" w:right="119" w:firstLine="216"/>
        <w:spacing w:after="0" w:line="254" w:lineRule="auto"/>
        <w:rPr>
          <w:sz w:val="20"/>
          <w:szCs w:val="20"/>
          <w:color w:val="auto"/>
        </w:rPr>
      </w:pPr>
      <w:r>
        <w:rPr>
          <w:rFonts w:ascii="Arial" w:cs="Arial" w:eastAsia="Arial" w:hAnsi="Arial"/>
          <w:sz w:val="18"/>
          <w:szCs w:val="18"/>
          <w:color w:val="auto"/>
        </w:rPr>
        <w:t>We are party to a management services agreement, dated August 11, 2011, pursuant to which our principal shareholder, Fortissimo Capital, assists and advises our management on matters concerning our business and renders other management services and advice as agreed from time to time. In consideration of these management services, we pay to Fortissimo Capital an annual management fee of $120,000 plus the amount by which 5% of our net income, as defined in the management services agreement, exceeds this management fee, up to a maximum of $250,000 per year in the aggregate. In 2012, 2013 and the nine months ended September 30, 2014, we recorded expenses for management fees paid to Fortissimo of $175,000, $120,000 and $139,000, respectively. The agreement may be terminated when our board of directors includes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ind w:left="120" w:right="279"/>
        <w:spacing w:after="0" w:line="277" w:lineRule="auto"/>
        <w:rPr>
          <w:sz w:val="20"/>
          <w:szCs w:val="20"/>
          <w:color w:val="auto"/>
        </w:rPr>
      </w:pPr>
      <w:r>
        <w:rPr>
          <w:rFonts w:ascii="Arial" w:cs="Arial" w:eastAsia="Arial" w:hAnsi="Arial"/>
          <w:sz w:val="18"/>
          <w:szCs w:val="18"/>
          <w:color w:val="auto"/>
        </w:rPr>
        <w:t>less than two directors appointed by Fortissimo Capital, and the agreement terminates automatically in the event that Fortissimo Capital holds less than 15% of our issued share capital.</w:t>
      </w:r>
    </w:p>
    <w:p>
      <w:pPr>
        <w:spacing w:after="0" w:line="157"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We and Fortissimo Capital have agreed to terminate the management services agreement upon the consummation of this offering. As consideration for Fortissimo Capital’s agreement to terminate the management services agreement, we</w:t>
      </w:r>
    </w:p>
    <w:p>
      <w:pPr>
        <w:ind w:left="120" w:right="459"/>
        <w:spacing w:after="0" w:line="290" w:lineRule="auto"/>
        <w:rPr>
          <w:sz w:val="20"/>
          <w:szCs w:val="20"/>
          <w:color w:val="auto"/>
        </w:rPr>
      </w:pPr>
      <w:r>
        <w:rPr>
          <w:rFonts w:ascii="Arial" w:cs="Arial" w:eastAsia="Arial" w:hAnsi="Arial"/>
          <w:sz w:val="17"/>
          <w:szCs w:val="17"/>
          <w:color w:val="auto"/>
        </w:rPr>
        <w:t>will make a one-time payment of $ to Fortissimo Capital. Fortissimo Capital will receive no other compensation from us in connection with this offering or in connection with the management services agreement.</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Appointment</w:t>
      </w:r>
    </w:p>
    <w:p>
      <w:pPr>
        <w:spacing w:after="0" w:line="229"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Our current board of directors consists of seven directors. Pursuant to our articles of association in effect prior to this offering, certain of our shareholders had rights to appoint members of our board of directors. The following table sets forth the shareholders who are entitled to appoint board members and the number and identities of the members they appointed:</w:t>
      </w:r>
    </w:p>
    <w:p>
      <w:pPr>
        <w:spacing w:after="0" w:line="228" w:lineRule="exact"/>
        <w:rPr>
          <w:sz w:val="20"/>
          <w:szCs w:val="20"/>
          <w:color w:val="auto"/>
        </w:rPr>
      </w:pPr>
    </w:p>
    <w:tbl>
      <w:tblPr>
        <w:tblLayout w:type="fixed"/>
        <w:tblInd w:w="140" w:type="dxa"/>
        <w:tblCellMar>
          <w:top w:w="0" w:type="dxa"/>
          <w:left w:w="0" w:type="dxa"/>
          <w:bottom w:w="0" w:type="dxa"/>
          <w:right w:w="0" w:type="dxa"/>
        </w:tblCellMar>
      </w:tblPr>
      <w:tr>
        <w:trPr>
          <w:trHeight w:val="210"/>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Number</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79"/>
              </w:rPr>
              <w:t>of</w:t>
            </w:r>
          </w:p>
        </w:tc>
        <w:tc>
          <w:tcPr>
            <w:tcW w:w="1000" w:type="dxa"/>
            <w:vAlign w:val="bottom"/>
          </w:tcPr>
          <w:p>
            <w:pPr>
              <w:spacing w:after="0"/>
              <w:rPr>
                <w:sz w:val="18"/>
                <w:szCs w:val="18"/>
                <w:color w:val="auto"/>
              </w:rPr>
            </w:pP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3"/>
              </w:rPr>
              <w:t>Members</w:t>
            </w:r>
          </w:p>
        </w:tc>
        <w:tc>
          <w:tcPr>
            <w:tcW w:w="1000" w:type="dxa"/>
            <w:vAlign w:val="bottom"/>
          </w:tcPr>
          <w:p>
            <w:pPr>
              <w:ind w:left="160"/>
              <w:spacing w:after="0"/>
              <w:rPr>
                <w:sz w:val="20"/>
                <w:szCs w:val="20"/>
                <w:color w:val="auto"/>
              </w:rPr>
            </w:pPr>
            <w:r>
              <w:rPr>
                <w:rFonts w:ascii="Arial" w:cs="Arial" w:eastAsia="Arial" w:hAnsi="Arial"/>
                <w:sz w:val="16"/>
                <w:szCs w:val="16"/>
                <w:b w:val="1"/>
                <w:bCs w:val="1"/>
                <w:color w:val="auto"/>
              </w:rPr>
              <w:t>Members</w:t>
            </w:r>
          </w:p>
        </w:tc>
      </w:tr>
      <w:tr>
        <w:trPr>
          <w:trHeight w:val="216"/>
        </w:trPr>
        <w:tc>
          <w:tcPr>
            <w:tcW w:w="6640" w:type="dxa"/>
            <w:vAlign w:val="bottom"/>
            <w:gridSpan w:val="2"/>
          </w:tcPr>
          <w:p>
            <w:pPr>
              <w:ind w:left="2600"/>
              <w:spacing w:after="0"/>
              <w:rPr>
                <w:sz w:val="20"/>
                <w:szCs w:val="20"/>
                <w:color w:val="auto"/>
              </w:rPr>
            </w:pPr>
            <w:r>
              <w:rPr>
                <w:rFonts w:ascii="Arial" w:cs="Arial" w:eastAsia="Arial" w:hAnsi="Arial"/>
                <w:sz w:val="16"/>
                <w:szCs w:val="16"/>
                <w:b w:val="1"/>
                <w:bCs w:val="1"/>
                <w:color w:val="auto"/>
              </w:rPr>
              <w:t>Appointing Party</w:t>
            </w:r>
          </w:p>
        </w:tc>
        <w:tc>
          <w:tcPr>
            <w:tcW w:w="11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Appointed</w:t>
            </w:r>
          </w:p>
        </w:tc>
        <w:tc>
          <w:tcPr>
            <w:tcW w:w="1000" w:type="dxa"/>
            <w:vAlign w:val="bottom"/>
          </w:tcPr>
          <w:p>
            <w:pPr>
              <w:ind w:left="140"/>
              <w:spacing w:after="0"/>
              <w:rPr>
                <w:sz w:val="20"/>
                <w:szCs w:val="20"/>
                <w:color w:val="auto"/>
              </w:rPr>
            </w:pPr>
            <w:r>
              <w:rPr>
                <w:rFonts w:ascii="Arial" w:cs="Arial" w:eastAsia="Arial" w:hAnsi="Arial"/>
                <w:sz w:val="16"/>
                <w:szCs w:val="16"/>
                <w:b w:val="1"/>
                <w:bCs w:val="1"/>
                <w:color w:val="auto"/>
              </w:rPr>
              <w:t>Appointed</w:t>
            </w:r>
          </w:p>
        </w:tc>
      </w:tr>
      <w:tr>
        <w:trPr>
          <w:trHeight w:val="60"/>
        </w:trPr>
        <w:tc>
          <w:tcPr>
            <w:tcW w:w="650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3"/>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Fortissimo Capital</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Four</w:t>
            </w:r>
          </w:p>
        </w:tc>
        <w:tc>
          <w:tcPr>
            <w:tcW w:w="1000" w:type="dxa"/>
            <w:vAlign w:val="bottom"/>
          </w:tcPr>
          <w:p>
            <w:pPr>
              <w:ind w:left="40"/>
              <w:spacing w:after="0"/>
              <w:rPr>
                <w:sz w:val="20"/>
                <w:szCs w:val="20"/>
                <w:color w:val="auto"/>
              </w:rPr>
            </w:pPr>
            <w:r>
              <w:rPr>
                <w:rFonts w:ascii="Arial" w:cs="Arial" w:eastAsia="Arial" w:hAnsi="Arial"/>
                <w:sz w:val="18"/>
                <w:szCs w:val="18"/>
                <w:color w:val="auto"/>
              </w:rPr>
              <w:t>Yuval</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Cohen, Eli</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Blatt, Yoav</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Hineman</w:t>
            </w:r>
          </w:p>
        </w:tc>
      </w:tr>
      <w:tr>
        <w:trPr>
          <w:trHeight w:val="216"/>
        </w:trPr>
        <w:tc>
          <w:tcPr>
            <w:tcW w:w="6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and Marc</w:t>
            </w:r>
          </w:p>
        </w:tc>
      </w:tr>
      <w:tr>
        <w:trPr>
          <w:trHeight w:val="230"/>
        </w:trPr>
        <w:tc>
          <w:tcPr>
            <w:tcW w:w="6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Lesnick</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8"/>
              </w:rPr>
              <w:t>Ofer Ben-Zur, together with other shareholders who are not directors, officers or 5%</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Ofer Ben-</w:t>
            </w: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shareholders provided such group holds 9% of our 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40"/>
              <w:spacing w:after="0"/>
              <w:rPr>
                <w:sz w:val="20"/>
                <w:szCs w:val="20"/>
                <w:color w:val="auto"/>
              </w:rPr>
            </w:pPr>
            <w:r>
              <w:rPr>
                <w:rFonts w:ascii="Arial" w:cs="Arial" w:eastAsia="Arial" w:hAnsi="Arial"/>
                <w:sz w:val="18"/>
                <w:szCs w:val="18"/>
                <w:color w:val="auto"/>
              </w:rPr>
              <w:t>Zur</w:t>
            </w:r>
          </w:p>
        </w:tc>
      </w:tr>
      <w:tr>
        <w:trPr>
          <w:trHeight w:val="364"/>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Gavriel Weinshtock, Yossef Nuriel and Yahel (Nur Group) Holdings Ltd. (formerly</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One</w:t>
            </w:r>
          </w:p>
        </w:tc>
        <w:tc>
          <w:tcPr>
            <w:tcW w:w="1000" w:type="dxa"/>
            <w:vAlign w:val="bottom"/>
          </w:tcPr>
          <w:p>
            <w:pPr>
              <w:ind w:left="40"/>
              <w:spacing w:after="0"/>
              <w:rPr>
                <w:sz w:val="20"/>
                <w:szCs w:val="20"/>
                <w:color w:val="auto"/>
              </w:rPr>
            </w:pPr>
            <w:r>
              <w:rPr>
                <w:rFonts w:ascii="Arial" w:cs="Arial" w:eastAsia="Arial" w:hAnsi="Arial"/>
                <w:sz w:val="18"/>
                <w:szCs w:val="18"/>
                <w:color w:val="auto"/>
              </w:rPr>
              <w:t>Moshe Nur</w:t>
            </w: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w w:val="96"/>
              </w:rPr>
              <w:t>Yahel Productions K.D.M. and Events Ltd.), together with other shareholders who are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not directors, officers or 5% shareholders provided such group holds 9% of our</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640" w:type="dxa"/>
            <w:vAlign w:val="bottom"/>
            <w:gridSpan w:val="2"/>
          </w:tcPr>
          <w:p>
            <w:pPr>
              <w:ind w:left="40"/>
              <w:spacing w:after="0"/>
              <w:rPr>
                <w:sz w:val="20"/>
                <w:szCs w:val="20"/>
                <w:color w:val="auto"/>
              </w:rPr>
            </w:pPr>
            <w:r>
              <w:rPr>
                <w:rFonts w:ascii="Arial" w:cs="Arial" w:eastAsia="Arial" w:hAnsi="Arial"/>
                <w:sz w:val="18"/>
                <w:szCs w:val="18"/>
                <w:color w:val="auto"/>
              </w:rPr>
              <w:t>outstanding ordinary shares</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29" w:lineRule="exact"/>
        <w:rPr>
          <w:sz w:val="20"/>
          <w:szCs w:val="20"/>
          <w:color w:val="auto"/>
        </w:rPr>
      </w:pPr>
    </w:p>
    <w:p>
      <w:pPr>
        <w:ind w:left="120" w:right="379" w:firstLine="216"/>
        <w:spacing w:after="0" w:line="277" w:lineRule="auto"/>
        <w:rPr>
          <w:sz w:val="20"/>
          <w:szCs w:val="20"/>
          <w:color w:val="auto"/>
        </w:rPr>
      </w:pPr>
      <w:r>
        <w:rPr>
          <w:rFonts w:ascii="Arial" w:cs="Arial" w:eastAsia="Arial" w:hAnsi="Arial"/>
          <w:sz w:val="18"/>
          <w:szCs w:val="18"/>
          <w:color w:val="auto"/>
        </w:rPr>
        <w:t>In addition, our former shareholder, Delek Investments and Properties Ltd. was entitled to appoint one member and elected to appoint Joshua Maor who continues to serve on our board of directors.</w:t>
      </w:r>
    </w:p>
    <w:p>
      <w:pPr>
        <w:spacing w:after="0" w:line="170"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All rights to appoint directors will terminate following the adoption of our amended and restated articles of association upon the closing of this offering, although the existing board members will continue to serve until our next annual meeting absent their earlier resignation or removal.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ind w:left="120" w:right="459" w:firstLine="216"/>
        <w:spacing w:after="0" w:line="297" w:lineRule="auto"/>
        <w:rPr>
          <w:sz w:val="20"/>
          <w:szCs w:val="20"/>
          <w:color w:val="auto"/>
        </w:rPr>
      </w:pPr>
      <w:r>
        <w:rPr>
          <w:rFonts w:ascii="Arial" w:cs="Arial" w:eastAsia="Arial" w:hAnsi="Arial"/>
          <w:sz w:val="16"/>
          <w:szCs w:val="16"/>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“Management—Share Incentive Plans”. “ If the relationship between us and an executive officer or a director is terminated, except for cause (as defined in the option plans), all options that are vested will generally remain exercisable for ninety days after such termination.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2" w:name="page93"/>
    <w:bookmarkEnd w:id="92"/>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left="120" w:right="139" w:firstLine="216"/>
        <w:spacing w:after="0" w:line="255" w:lineRule="auto"/>
        <w:rPr>
          <w:sz w:val="20"/>
          <w:szCs w:val="20"/>
          <w:color w:val="auto"/>
        </w:rPr>
      </w:pPr>
      <w:r>
        <w:rPr>
          <w:rFonts w:ascii="Arial" w:cs="Arial" w:eastAsia="Arial" w:hAnsi="Arial"/>
          <w:sz w:val="18"/>
          <w:szCs w:val="18"/>
          <w:color w:val="auto"/>
        </w:rPr>
        <w:t>Our amended and restated articles of association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“Management—Exculpation, Insurance and Indemnification of Directors and Officers.”</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3" w:name="page94"/>
    <w:bookmarkEnd w:id="93"/>
    <w:p>
      <w:pPr>
        <w:jc w:val="center"/>
        <w:ind w:right="-20"/>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120" w:right="599" w:firstLine="216"/>
        <w:spacing w:after="0" w:line="342"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effective upon the completion of this offering are summaries and do not purport to be complete.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120" w:right="179" w:firstLine="216"/>
        <w:spacing w:after="0" w:line="274" w:lineRule="auto"/>
        <w:rPr>
          <w:sz w:val="20"/>
          <w:szCs w:val="20"/>
          <w:color w:val="auto"/>
        </w:rPr>
      </w:pPr>
      <w:r>
        <w:rPr>
          <w:rFonts w:ascii="Arial" w:cs="Arial" w:eastAsia="Arial" w:hAnsi="Arial"/>
          <w:sz w:val="17"/>
          <w:szCs w:val="17"/>
          <w:color w:val="auto"/>
        </w:rPr>
        <w:t>Upon the closing of this offering, our authorized share capital will consist of ordinary shares, par value NIS 0.01 per share, of which shares will be issued and outstanding (assuming that the underwriters do not exercise their</w:t>
      </w:r>
    </w:p>
    <w:p>
      <w:pPr>
        <w:ind w:left="120"/>
        <w:spacing w:after="0"/>
        <w:rPr>
          <w:sz w:val="20"/>
          <w:szCs w:val="20"/>
          <w:color w:val="auto"/>
        </w:rPr>
      </w:pPr>
      <w:r>
        <w:rPr>
          <w:rFonts w:ascii="Arial" w:cs="Arial" w:eastAsia="Arial" w:hAnsi="Arial"/>
          <w:sz w:val="18"/>
          <w:szCs w:val="18"/>
          <w:color w:val="auto"/>
        </w:rPr>
        <w:t>option to purchase additional ordinary shares).</w:t>
      </w:r>
    </w:p>
    <w:p>
      <w:pPr>
        <w:spacing w:after="0" w:line="211"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All of our outstanding ordinary shares are validly issued, fully paid and non-assessable. Our ordinary shares are not redeemable and do not have any preemptive rights.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120" w:right="759" w:firstLine="216"/>
        <w:spacing w:after="0" w:line="277" w:lineRule="auto"/>
        <w:rPr>
          <w:sz w:val="20"/>
          <w:szCs w:val="20"/>
          <w:color w:val="auto"/>
        </w:rPr>
      </w:pPr>
      <w:r>
        <w:rPr>
          <w:rFonts w:ascii="Arial" w:cs="Arial" w:eastAsia="Arial" w:hAnsi="Arial"/>
          <w:sz w:val="18"/>
          <w:szCs w:val="18"/>
          <w:color w:val="auto"/>
        </w:rPr>
        <w:t>Our registration number with the Israeli Registrar of Companies is 513195420. Our purpose as set forth in our amended and restated articles of association is to engage in any lawful activity.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 and Conversion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ordinary shares will have identical voting and other rights in all respects.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Our fully paid ordinary shares are issued in registered form and may be freely transferred under our amended and restated articles of association, unless the transfer is restricted or prohibited by another instrument, applicable law or the rules of a stock exchange on which the shares are listed for trade.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meeting of shareholders have the power to elect all of our directors that are proposed for election at that meeting, subject to the special approval requirements for external directors described under “Management—Board Practices—External Directors.”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Under our amended and restated articles of association to be effective upon completion of this offering, our board of</w:t>
      </w:r>
    </w:p>
    <w:p>
      <w:pPr>
        <w:spacing w:after="0" w:line="46" w:lineRule="exact"/>
        <w:rPr>
          <w:sz w:val="20"/>
          <w:szCs w:val="20"/>
          <w:color w:val="auto"/>
        </w:rPr>
      </w:pPr>
    </w:p>
    <w:p>
      <w:pPr>
        <w:ind w:left="120" w:right="119"/>
        <w:spacing w:after="0" w:line="266" w:lineRule="auto"/>
        <w:rPr>
          <w:sz w:val="20"/>
          <w:szCs w:val="20"/>
          <w:color w:val="auto"/>
        </w:rPr>
      </w:pPr>
      <w:r>
        <w:rPr>
          <w:rFonts w:ascii="Arial" w:cs="Arial" w:eastAsia="Arial" w:hAnsi="Arial"/>
          <w:sz w:val="17"/>
          <w:szCs w:val="17"/>
          <w:color w:val="auto"/>
        </w:rPr>
        <w:t>directors must consist of not less than but no more than directors, including two external directors as required by the Israeli Companies Law. Pursuant to our amended and restated articles of association, each of our directors, other than the external directors, for whom special election requirements apply under the Israeli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until they are removed by a vote of 65% of the total voting power of our shareholders at a general meeting of our shareholders or upon the occurrence of certain events, in accordance with the Israeli Companies Law and our articles of association. In addition, our articles of association allow our board of directors to fill vacancies on the board of directors or to appoint new directors up to the maximum number of directors permitted under our articles of association.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Israeli Companies Law. See “Management—Board Practices— External Directors.”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p>
      <w:pPr>
        <w:ind w:left="120"/>
        <w:spacing w:after="0"/>
        <w:rPr>
          <w:sz w:val="20"/>
          <w:szCs w:val="20"/>
          <w:color w:val="auto"/>
        </w:rPr>
      </w:pPr>
      <w:r>
        <w:rPr>
          <w:rFonts w:ascii="Arial" w:cs="Arial" w:eastAsia="Arial" w:hAnsi="Arial"/>
          <w:sz w:val="18"/>
          <w:szCs w:val="18"/>
          <w:b w:val="1"/>
          <w:bCs w:val="1"/>
          <w:color w:val="auto"/>
        </w:rPr>
        <w:t>Dividend and Liquidation Rights</w:t>
      </w:r>
    </w:p>
    <w:p>
      <w:pPr>
        <w:spacing w:after="0" w:line="216" w:lineRule="exact"/>
        <w:rPr>
          <w:sz w:val="20"/>
          <w:szCs w:val="20"/>
          <w:color w:val="auto"/>
        </w:rPr>
      </w:pPr>
    </w:p>
    <w:p>
      <w:pPr>
        <w:ind w:left="120" w:right="159" w:firstLine="216"/>
        <w:spacing w:after="0" w:line="276" w:lineRule="auto"/>
        <w:rPr>
          <w:sz w:val="20"/>
          <w:szCs w:val="20"/>
          <w:color w:val="auto"/>
        </w:rPr>
      </w:pPr>
      <w:r>
        <w:rPr>
          <w:rFonts w:ascii="Arial" w:cs="Arial" w:eastAsia="Arial" w:hAnsi="Arial"/>
          <w:sz w:val="17"/>
          <w:szCs w:val="17"/>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46"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Pursuant to the Israeli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then we may distribute dividends only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6"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Controls</w:t>
      </w:r>
    </w:p>
    <w:p>
      <w:pPr>
        <w:spacing w:after="0" w:line="202" w:lineRule="exact"/>
        <w:rPr>
          <w:sz w:val="20"/>
          <w:szCs w:val="20"/>
          <w:color w:val="auto"/>
        </w:rPr>
      </w:pPr>
    </w:p>
    <w:p>
      <w:pPr>
        <w:ind w:left="120" w:right="239" w:firstLine="216"/>
        <w:spacing w:after="0" w:line="264" w:lineRule="auto"/>
        <w:rPr>
          <w:sz w:val="20"/>
          <w:szCs w:val="20"/>
          <w:color w:val="auto"/>
        </w:rPr>
      </w:pPr>
      <w:r>
        <w:rPr>
          <w:rFonts w:ascii="Arial" w:cs="Arial" w:eastAsia="Arial" w:hAnsi="Arial"/>
          <w:sz w:val="18"/>
          <w:szCs w:val="18"/>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Meetings</w:t>
      </w:r>
    </w:p>
    <w:p>
      <w:pPr>
        <w:spacing w:after="0" w:line="216" w:lineRule="exact"/>
        <w:rPr>
          <w:sz w:val="20"/>
          <w:szCs w:val="20"/>
          <w:color w:val="auto"/>
        </w:rPr>
      </w:pPr>
    </w:p>
    <w:p>
      <w:pPr>
        <w:ind w:left="120" w:right="159" w:firstLine="216"/>
        <w:spacing w:after="0" w:line="270" w:lineRule="auto"/>
        <w:rPr>
          <w:sz w:val="20"/>
          <w:szCs w:val="20"/>
          <w:color w:val="auto"/>
        </w:rPr>
      </w:pPr>
      <w:r>
        <w:rPr>
          <w:rFonts w:ascii="Arial" w:cs="Arial" w:eastAsia="Arial" w:hAnsi="Arial"/>
          <w:sz w:val="17"/>
          <w:szCs w:val="17"/>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amended and restated articles of association as special general meetings. Our board of directors may call special general meetings whenever it sees fit, at such time and place, within or outside of Israel, as it may determine. In addition, the Israeli Companies Law provides that our board of directors is required to convene an special general meeting upon the written request of (i) any two or more of our directors or one-quarter or more of the members of our board of directors or (ii) one or more shareholders holding, in the aggregate, either (a) 5% or more of our outstanding issued shares and 1% or more of our outstanding voting power or (b) 5% or more of our outstanding voting power.</w:t>
      </w:r>
    </w:p>
    <w:p>
      <w:pPr>
        <w:spacing w:after="0" w:line="155" w:lineRule="exact"/>
        <w:rPr>
          <w:sz w:val="20"/>
          <w:szCs w:val="20"/>
          <w:color w:val="auto"/>
        </w:rPr>
      </w:pPr>
    </w:p>
    <w:p>
      <w:pPr>
        <w:ind w:left="120" w:right="239" w:firstLine="216"/>
        <w:spacing w:after="0" w:line="297" w:lineRule="auto"/>
        <w:rPr>
          <w:sz w:val="20"/>
          <w:szCs w:val="20"/>
          <w:color w:val="auto"/>
        </w:rPr>
      </w:pPr>
      <w:r>
        <w:rPr>
          <w:rFonts w:ascii="Arial" w:cs="Arial" w:eastAsia="Arial" w:hAnsi="Arial"/>
          <w:sz w:val="16"/>
          <w:szCs w:val="16"/>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21 days prior to the date of the meeting, and in certain circumstances, between 4 and 40 days prior to the date of the meeting. Furthermore, the Israeli Companies Law requires that resolutions regarding the following matters must be passed at a general meeting of our shareholders:</w:t>
      </w:r>
    </w:p>
    <w:p>
      <w:pPr>
        <w:spacing w:after="0" w:line="149" w:lineRule="exact"/>
        <w:rPr>
          <w:sz w:val="20"/>
          <w:szCs w:val="20"/>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amendments to our articles of association;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appointment or termination of our auditors;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appointment of external directors;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approval of certain related party transactions;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increases or reductions of our authorized share capital;</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4"/>
        </w:numPr>
        <w:rPr>
          <w:rFonts w:ascii="Arial" w:cs="Arial" w:eastAsia="Arial" w:hAnsi="Arial"/>
          <w:sz w:val="22"/>
          <w:szCs w:val="22"/>
          <w:color w:val="auto"/>
        </w:rPr>
      </w:pPr>
      <w:r>
        <w:rPr>
          <w:rFonts w:ascii="Arial" w:cs="Arial" w:eastAsia="Arial" w:hAnsi="Arial"/>
          <w:sz w:val="18"/>
          <w:szCs w:val="18"/>
          <w:color w:val="auto"/>
        </w:rPr>
        <w:t>a merger; and</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5" w:name="page96"/>
    <w:bookmarkEnd w:id="95"/>
    <w:p>
      <w:pPr>
        <w:ind w:left="560" w:right="119" w:hanging="219"/>
        <w:spacing w:after="0" w:line="232" w:lineRule="auto"/>
        <w:tabs>
          <w:tab w:leader="none" w:pos="586" w:val="left"/>
        </w:tabs>
        <w:numPr>
          <w:ilvl w:val="0"/>
          <w:numId w:val="65"/>
        </w:numPr>
        <w:rPr>
          <w:rFonts w:ascii="Arial" w:cs="Arial" w:eastAsia="Arial" w:hAnsi="Arial"/>
          <w:sz w:val="22"/>
          <w:szCs w:val="22"/>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204" w:lineRule="exact"/>
        <w:rPr>
          <w:sz w:val="20"/>
          <w:szCs w:val="20"/>
          <w:color w:val="auto"/>
        </w:rPr>
      </w:pPr>
    </w:p>
    <w:p>
      <w:pPr>
        <w:ind w:left="120" w:right="239" w:firstLine="216"/>
        <w:spacing w:after="0" w:line="279" w:lineRule="auto"/>
        <w:rPr>
          <w:sz w:val="20"/>
          <w:szCs w:val="20"/>
          <w:color w:val="auto"/>
        </w:rPr>
      </w:pPr>
      <w:r>
        <w:rPr>
          <w:rFonts w:ascii="Arial" w:cs="Arial" w:eastAsia="Arial" w:hAnsi="Arial"/>
          <w:sz w:val="17"/>
          <w:szCs w:val="17"/>
          <w:color w:val="auto"/>
        </w:rPr>
        <w:t>The Israeli Companies Law requires that a notice of any annual general meeting or special general meeting be provided to shareholders at least 21 days prior to the meeting and if the agenda of the meeting includes the appointment or removal of directors, the approval of transactions with office holders or interested or related parties, or an approval of a merger, notice must be provided at least 35 days prior to the meeting.</w:t>
      </w:r>
    </w:p>
    <w:p>
      <w:pPr>
        <w:spacing w:after="0" w:line="171" w:lineRule="exact"/>
        <w:rPr>
          <w:sz w:val="20"/>
          <w:szCs w:val="20"/>
          <w:color w:val="auto"/>
        </w:rPr>
      </w:pPr>
    </w:p>
    <w:p>
      <w:pPr>
        <w:ind w:left="120" w:right="179" w:firstLine="216"/>
        <w:spacing w:after="0" w:line="277" w:lineRule="auto"/>
        <w:rPr>
          <w:sz w:val="20"/>
          <w:szCs w:val="20"/>
          <w:color w:val="auto"/>
        </w:rPr>
      </w:pPr>
      <w:r>
        <w:rPr>
          <w:rFonts w:ascii="Arial" w:cs="Arial" w:eastAsia="Arial" w:hAnsi="Arial"/>
          <w:sz w:val="18"/>
          <w:szCs w:val="18"/>
          <w:color w:val="auto"/>
        </w:rPr>
        <w:t>Under the Israeli Companies Law and our amended and restated articles of association, shareholders are not permitted to take action by way of written consent in lieu of a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12"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Pursuant to our amended and restated articles of association,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two or more shareholders present in person or by proxy shall constitute a lawful quorum.</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198"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each of (i) the approval of an extraordinary transaction with a controlling shareholder, (ii) the terms of employment or other engagement of the controlling shareholder of the company or such controlling shareholder’s relative (even if such terms are not extraordinary) requires the approval described above under “Management—Approval of Related Party Transactions under Israeli Law—Disclosure of Personal Interests of Controlling Shareholders and Approval of Certain Transactions” and (iii) approval of certain compensation-related matters require the approval described above under “—Board Committees—Compensation Committee and Compensation Policy.” Under our amended and restated articles of association,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of association also require that the removal of any director from office (other than our external directors) or the amendment of the provisions of our amended articles relating to our staggered board requires the vote of 65% of the total voting power of our shareholders. Another exception to the simple majority vote requirement is a resolution for the voluntary winding up, or an approval of a scheme of arrangement or reorganization, of the company pursuant to Section 350 of the Israeli Companies Law, which requires the approval of holders of 75% of the voting rights represented at the meeting and voting on the resolution.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Access to Corporate Records</w:t>
      </w:r>
    </w:p>
    <w:p>
      <w:pPr>
        <w:spacing w:after="0" w:line="212"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Under the Israeli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In addition, shareholders may request to be provided with any document related to an action or transaction requiring shareholder approval under the related party transaction provisions of the Israeli Companies Law. We may deny this request if we believe it has not been made in good faith or if such denial is necessary to protect our interest or protect a trade secret or patent.</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of Class Rights</w:t>
      </w:r>
    </w:p>
    <w:p>
      <w:pPr>
        <w:spacing w:after="0" w:line="216" w:lineRule="exact"/>
        <w:rPr>
          <w:sz w:val="20"/>
          <w:szCs w:val="20"/>
          <w:color w:val="auto"/>
        </w:rPr>
      </w:pPr>
    </w:p>
    <w:p>
      <w:pPr>
        <w:ind w:left="120" w:right="159" w:firstLine="216"/>
        <w:spacing w:after="0" w:line="342" w:lineRule="auto"/>
        <w:rPr>
          <w:sz w:val="20"/>
          <w:szCs w:val="20"/>
          <w:color w:val="auto"/>
        </w:rPr>
      </w:pPr>
      <w:r>
        <w:rPr>
          <w:rFonts w:ascii="Arial" w:cs="Arial" w:eastAsia="Arial" w:hAnsi="Arial"/>
          <w:sz w:val="16"/>
          <w:szCs w:val="16"/>
          <w:color w:val="auto"/>
        </w:rPr>
        <w:t>Under the Israeli Companies Law and our amended and restated articles of association, the rights attached to any class of share, such as voting, liquidation and dividend rights, may be amended by adoption of a resolution by the holders of a</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96" w:name="page97"/>
    <w:bookmarkEnd w:id="96"/>
    <w:p>
      <w:pPr>
        <w:ind w:left="120" w:right="159"/>
        <w:spacing w:after="0" w:line="277" w:lineRule="auto"/>
        <w:rPr>
          <w:sz w:val="20"/>
          <w:szCs w:val="20"/>
          <w:color w:val="auto"/>
        </w:rPr>
      </w:pPr>
      <w:r>
        <w:rPr>
          <w:rFonts w:ascii="Arial" w:cs="Arial" w:eastAsia="Arial" w:hAnsi="Arial"/>
          <w:sz w:val="18"/>
          <w:szCs w:val="18"/>
          <w:color w:val="auto"/>
        </w:rPr>
        <w:t>majority of the shares of that class present at a separate class meeting, or otherwise in accordance with the rights attached to such class of shares, as set forth in our amended and restated articles of association.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ind w:left="120" w:right="299" w:firstLine="216"/>
        <w:spacing w:after="0" w:line="257" w:lineRule="auto"/>
        <w:rPr>
          <w:sz w:val="20"/>
          <w:szCs w:val="20"/>
          <w:color w:val="auto"/>
        </w:rPr>
      </w:pPr>
      <w:r>
        <w:rPr>
          <w:rFonts w:ascii="Arial" w:cs="Arial" w:eastAsia="Arial" w:hAnsi="Arial"/>
          <w:sz w:val="18"/>
          <w:szCs w:val="18"/>
          <w:color w:val="auto"/>
        </w:rPr>
        <w:t>We have entered into the Investors’ Rights Agreement with certain of our shareholders. Upon the closing of this offering, holders of a total of 3,176,744 shares of our ordinary shares as of September 30, 2014, will have the right to require us to register these shares under the Securities Act under specified circumstances and will have incidental registration rights as described below. After registration pursuant to these rights, these shares will become freely tradable without restriction under the Securities Act.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left="120" w:right="179" w:firstLine="216"/>
        <w:spacing w:after="0" w:line="269" w:lineRule="auto"/>
        <w:rPr>
          <w:sz w:val="20"/>
          <w:szCs w:val="20"/>
          <w:color w:val="auto"/>
        </w:rPr>
      </w:pPr>
      <w:r>
        <w:rPr>
          <w:rFonts w:ascii="Arial" w:cs="Arial" w:eastAsia="Arial" w:hAnsi="Arial"/>
          <w:sz w:val="17"/>
          <w:szCs w:val="17"/>
          <w:color w:val="auto"/>
        </w:rPr>
        <w:t>At any time after six months after the closing of this offering or such earlier date as is agreed by the underwriters of this offering, Fortissimo Capital may request that we file a registration statement. Upon receipt of such registration request, we are obligated to use best commercial efforts to file the registration statement, unless in the good faith judgment of our board of directors, such registration would be seriously detrimental to the company and its shareholders, in which event we shall have the right to defer such filing for a period of not more than 60 days after receipt of the request of Fortissimo Capital; provided that such right to delay a request shall be exercised by us no more than once in any 12-month period. In addition, we have the right not to effect or take any action to effect a registration statement during the period that is 90 days before the actual date of filing of a registration statement or during 180-day period following the effective date of a registration statement (other than the registration statement for this offering). We are not obligated to file a registration statement after we have filed two effective registration statements pursuant to these demand provisions. Any other holder of registrable securities has the right to include its registrable securities in an underwritten registration pursuant to a demand registration.</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left="120" w:right="259" w:firstLine="262"/>
        <w:spacing w:after="0" w:line="259" w:lineRule="auto"/>
        <w:rPr>
          <w:sz w:val="20"/>
          <w:szCs w:val="20"/>
          <w:color w:val="auto"/>
        </w:rPr>
      </w:pPr>
      <w:r>
        <w:rPr>
          <w:rFonts w:ascii="Arial" w:cs="Arial" w:eastAsia="Arial" w:hAnsi="Arial"/>
          <w:sz w:val="18"/>
          <w:szCs w:val="18"/>
          <w:color w:val="auto"/>
        </w:rPr>
        <w:t>If we register any of our ordinary shares in connection with the public offering of such securities, the holders of all registrable securities are entitled to at least 20 days’ notice of the registration and to include all or a portion of their shares in the registration if Fortissimo Capital has included in such registration statement all or part of the registrable securities it holds.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Shelf Registration Rights</w:t>
      </w:r>
    </w:p>
    <w:p>
      <w:pPr>
        <w:spacing w:after="0" w:line="225" w:lineRule="exact"/>
        <w:rPr>
          <w:sz w:val="20"/>
          <w:szCs w:val="20"/>
          <w:color w:val="auto"/>
        </w:rPr>
      </w:pPr>
    </w:p>
    <w:p>
      <w:pPr>
        <w:ind w:left="120" w:right="119" w:firstLine="216"/>
        <w:spacing w:after="0" w:line="285" w:lineRule="auto"/>
        <w:rPr>
          <w:sz w:val="20"/>
          <w:szCs w:val="20"/>
          <w:color w:val="auto"/>
        </w:rPr>
      </w:pPr>
      <w:r>
        <w:rPr>
          <w:rFonts w:ascii="Arial" w:cs="Arial" w:eastAsia="Arial" w:hAnsi="Arial"/>
          <w:sz w:val="16"/>
          <w:szCs w:val="16"/>
          <w:color w:val="auto"/>
        </w:rPr>
        <w:t>In addition, if we become eligible to register any of our shares on Form F-3, Fortissimo Capital may request that we file a registration statement for an offering to be made on a delayed or continuous basis pursuant to Rule 415 under the Securities Act registering the resale from time to time by Fortissimo Capital of registrable shares with a sale price, based on a recent average closing price of the ordinary shares, of at least $500,000, or the Shelf Registration Statement, then we are required, within 30 days of the delivery thereof, to give written notice of such request to all holders of registrable securities, who may elect to join in such request. We are required to use our reasonable efforts to cause the Shelf Registration Statement to be declared effective under the Securities Act within three months after Fortissimo Capital’s initial request and to keep such Shelf Registration Statement continuously effective under the Securities Act until the earliest of (i) two years following the date such registration was declared effective; (ii) the disposition of all registrable securities included in such Shelf Registration Statement; and (iii) the time all registrable securities included in the Shelf Registration Statement may be sold without restriction pursuant to Rule 144. We shall not be required to effect a registration pursuant to a shelf registration if (i) within 10 days of receipt of a written request from Fortissimo Capital, we give notice of our good faith intention to file a registration statement for a public offering within 30 days, provided that we actually file such registration statement within such 30 days and makes reasonable good faith efforts to cause such registration statement to become effective; or (ii) in the good faith judgment of the board of directors, it would be seriously detrimental to us and our shareholders for such registration statement to be effected at such time, in which event we shall have the right to defer such filing for a period of not more than 60 days after receipt of the request of Fortissimo Capital, provided that such right to delay a request shall be exercised by us not more than once in any 12-month period.</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7" w:name="page98"/>
    <w:bookmarkEnd w:id="97"/>
    <w:p>
      <w:pPr>
        <w:ind w:left="120"/>
        <w:spacing w:after="0"/>
        <w:rPr>
          <w:sz w:val="20"/>
          <w:szCs w:val="20"/>
          <w:color w:val="auto"/>
        </w:rPr>
      </w:pPr>
      <w:r>
        <w:rPr>
          <w:rFonts w:ascii="Arial" w:cs="Arial" w:eastAsia="Arial" w:hAnsi="Arial"/>
          <w:sz w:val="18"/>
          <w:szCs w:val="18"/>
          <w:b w:val="1"/>
          <w:bCs w:val="1"/>
          <w:i w:val="1"/>
          <w:iCs w:val="1"/>
          <w:color w:val="auto"/>
        </w:rPr>
        <w:t>Other Provisions</w:t>
      </w:r>
    </w:p>
    <w:p>
      <w:pPr>
        <w:spacing w:after="0" w:line="212" w:lineRule="exact"/>
        <w:rPr>
          <w:sz w:val="20"/>
          <w:szCs w:val="20"/>
          <w:color w:val="auto"/>
        </w:rPr>
      </w:pPr>
    </w:p>
    <w:p>
      <w:pPr>
        <w:ind w:left="120" w:right="199" w:firstLine="216"/>
        <w:spacing w:after="0" w:line="276" w:lineRule="auto"/>
        <w:rPr>
          <w:sz w:val="20"/>
          <w:szCs w:val="20"/>
          <w:color w:val="auto"/>
        </w:rPr>
      </w:pPr>
      <w:r>
        <w:rPr>
          <w:rFonts w:ascii="Arial" w:cs="Arial" w:eastAsia="Arial" w:hAnsi="Arial"/>
          <w:sz w:val="17"/>
          <w:szCs w:val="17"/>
          <w:color w:val="auto"/>
        </w:rPr>
        <w:t>We will pay all registration expenses (other than underwriting discounts and selling commissions) and the reasonable fees and expenses of a single counsel for the selling shareholders, related to any demand, piggyback or shelf registration. The rights of any shareholder who is a party to the Investors’ Rights Agreement to request registration or inclusion of registrable securities in any registration pursuant hereunder shall terminate when all such shareholder’s registrable securities could be sold without restriction pursuant to Rule 144 under the Securities Act.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Acquisitions under Israeli Law</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 Tender Offer</w:t>
      </w:r>
    </w:p>
    <w:p>
      <w:pPr>
        <w:spacing w:after="0" w:line="212"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 person wishing to acquire shares of an Israeli public company and who would as a result hold over 90% of the target company’s issued and outstanding share capital is required by the Israeli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173" w:lineRule="exact"/>
        <w:rPr>
          <w:sz w:val="20"/>
          <w:szCs w:val="20"/>
          <w:color w:val="auto"/>
        </w:rPr>
      </w:pPr>
    </w:p>
    <w:p>
      <w:pPr>
        <w:ind w:left="120" w:right="199" w:firstLine="216"/>
        <w:spacing w:after="0" w:line="255" w:lineRule="auto"/>
        <w:rPr>
          <w:sz w:val="20"/>
          <w:szCs w:val="20"/>
          <w:color w:val="auto"/>
        </w:rPr>
      </w:pPr>
      <w:r>
        <w:rPr>
          <w:rFonts w:ascii="Arial" w:cs="Arial" w:eastAsia="Arial" w:hAnsi="Arial"/>
          <w:sz w:val="18"/>
          <w:szCs w:val="18"/>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93"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Tender Offer</w:t>
      </w:r>
    </w:p>
    <w:p>
      <w:pPr>
        <w:spacing w:after="0" w:line="225" w:lineRule="exact"/>
        <w:rPr>
          <w:sz w:val="20"/>
          <w:szCs w:val="20"/>
          <w:color w:val="auto"/>
        </w:rPr>
      </w:pPr>
    </w:p>
    <w:p>
      <w:pPr>
        <w:ind w:left="120" w:right="179" w:firstLine="216"/>
        <w:spacing w:after="0" w:line="291" w:lineRule="auto"/>
        <w:rPr>
          <w:sz w:val="20"/>
          <w:szCs w:val="20"/>
          <w:color w:val="auto"/>
        </w:rPr>
      </w:pPr>
      <w:r>
        <w:rPr>
          <w:rFonts w:ascii="Arial" w:cs="Arial" w:eastAsia="Arial" w:hAnsi="Arial"/>
          <w:sz w:val="16"/>
          <w:szCs w:val="16"/>
          <w:color w:val="auto"/>
        </w:rPr>
        <w:t>The Israeli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Israeli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67" w:lineRule="exact"/>
        <w:rPr>
          <w:sz w:val="20"/>
          <w:szCs w:val="20"/>
          <w:color w:val="auto"/>
        </w:rPr>
      </w:pPr>
    </w:p>
    <w:p>
      <w:pPr>
        <w:ind w:left="120" w:right="159" w:firstLine="216"/>
        <w:spacing w:after="0" w:line="269"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8" w:name="page99"/>
    <w:bookmarkEnd w:id="98"/>
    <w:p>
      <w:pPr>
        <w:ind w:left="120"/>
        <w:spacing w:after="0"/>
        <w:rPr>
          <w:sz w:val="20"/>
          <w:szCs w:val="20"/>
          <w:color w:val="auto"/>
        </w:rPr>
      </w:pPr>
      <w:r>
        <w:rPr>
          <w:rFonts w:ascii="Arial" w:cs="Arial" w:eastAsia="Arial" w:hAnsi="Arial"/>
          <w:sz w:val="18"/>
          <w:szCs w:val="18"/>
          <w:b w:val="1"/>
          <w:bCs w:val="1"/>
          <w:i w:val="1"/>
          <w:iCs w:val="1"/>
          <w:color w:val="auto"/>
        </w:rPr>
        <w:t>Merger</w:t>
      </w:r>
    </w:p>
    <w:p>
      <w:pPr>
        <w:spacing w:after="0" w:line="225" w:lineRule="exact"/>
        <w:rPr>
          <w:sz w:val="20"/>
          <w:szCs w:val="20"/>
          <w:color w:val="auto"/>
        </w:rPr>
      </w:pPr>
    </w:p>
    <w:p>
      <w:pPr>
        <w:ind w:left="120" w:right="159" w:firstLine="216"/>
        <w:spacing w:after="0" w:line="312"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shareholders. In the case of the target company, approval of the merger further requires a majority vote of each class of its shares.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purposes of the shareholder vote, unless a court rules otherwise, the merger will not be deemed approved if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majority of the votes of shares represented at the meeting of shareholders that are held by parties other than the other</w:t>
      </w:r>
    </w:p>
    <w:p>
      <w:pPr>
        <w:spacing w:after="0" w:line="32" w:lineRule="exact"/>
        <w:rPr>
          <w:sz w:val="20"/>
          <w:szCs w:val="20"/>
          <w:color w:val="auto"/>
        </w:rPr>
      </w:pPr>
    </w:p>
    <w:p>
      <w:pPr>
        <w:ind w:left="120" w:right="199"/>
        <w:spacing w:after="0" w:line="252" w:lineRule="auto"/>
        <w:rPr>
          <w:sz w:val="20"/>
          <w:szCs w:val="20"/>
          <w:color w:val="auto"/>
        </w:rPr>
      </w:pPr>
      <w:r>
        <w:rPr>
          <w:rFonts w:ascii="Arial" w:cs="Arial" w:eastAsia="Arial" w:hAnsi="Arial"/>
          <w:sz w:val="18"/>
          <w:szCs w:val="18"/>
          <w:color w:val="auto"/>
        </w:rPr>
        <w:t>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“Management— Approval of Related Party Transactions under Israeli Law—Disclosure of Personal Interests of Controlling Shareholders and Approval of Certain Transactions.”)</w:t>
      </w:r>
    </w:p>
    <w:p>
      <w:pPr>
        <w:spacing w:after="0" w:line="193" w:lineRule="exact"/>
        <w:rPr>
          <w:sz w:val="20"/>
          <w:szCs w:val="20"/>
          <w:color w:val="auto"/>
        </w:rPr>
      </w:pPr>
    </w:p>
    <w:p>
      <w:pPr>
        <w:ind w:left="120" w:right="159" w:firstLine="216"/>
        <w:spacing w:after="0" w:line="297"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158" w:lineRule="exact"/>
        <w:rPr>
          <w:sz w:val="20"/>
          <w:szCs w:val="20"/>
          <w:color w:val="auto"/>
        </w:rPr>
      </w:pPr>
    </w:p>
    <w:p>
      <w:pPr>
        <w:jc w:val="both"/>
        <w:ind w:left="120" w:right="319" w:firstLine="216"/>
        <w:spacing w:after="0" w:line="312"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47" w:lineRule="exact"/>
        <w:rPr>
          <w:sz w:val="20"/>
          <w:szCs w:val="20"/>
          <w:color w:val="auto"/>
        </w:rPr>
      </w:pPr>
    </w:p>
    <w:p>
      <w:pPr>
        <w:jc w:val="both"/>
        <w:ind w:left="120" w:right="219" w:firstLine="216"/>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Measures under Israeli Law</w:t>
      </w:r>
    </w:p>
    <w:p>
      <w:pPr>
        <w:spacing w:after="0" w:line="225"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with respect to voting,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ind w:left="120" w:right="179" w:firstLine="216"/>
        <w:spacing w:after="0" w:line="312"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ind w:left="120" w:right="299" w:firstLine="216"/>
        <w:spacing w:after="0" w:line="259" w:lineRule="auto"/>
        <w:rPr>
          <w:sz w:val="20"/>
          <w:szCs w:val="20"/>
          <w:color w:val="auto"/>
        </w:rPr>
      </w:pPr>
      <w:r>
        <w:rPr>
          <w:rFonts w:ascii="Arial" w:cs="Arial" w:eastAsia="Arial" w:hAnsi="Arial"/>
          <w:sz w:val="18"/>
          <w:szCs w:val="18"/>
          <w:color w:val="auto"/>
        </w:rPr>
        <w:t>Our amended and restated articles of association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9" w:name="page100"/>
    <w:bookmarkEnd w:id="99"/>
    <w:p>
      <w:pPr>
        <w:ind w:left="120" w:right="339"/>
        <w:spacing w:after="0" w:line="277" w:lineRule="auto"/>
        <w:rPr>
          <w:sz w:val="20"/>
          <w:szCs w:val="20"/>
          <w:color w:val="auto"/>
        </w:rPr>
      </w:pPr>
      <w:r>
        <w:rPr>
          <w:rFonts w:ascii="Arial" w:cs="Arial" w:eastAsia="Arial" w:hAnsi="Arial"/>
          <w:sz w:val="18"/>
          <w:szCs w:val="18"/>
          <w:color w:val="auto"/>
        </w:rPr>
        <w:t>payment of dividends in the absence of sufficient retained earnings or profits, require the approval of both our board of directors and an Israeli court.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ordinary shares is</w:t>
      </w:r>
    </w:p>
    <w:p>
      <w:pPr>
        <w:spacing w:after="0" w:line="4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Its address is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and its telephone number</w:t>
      </w:r>
    </w:p>
    <w:p>
      <w:pPr>
        <w:spacing w:after="0" w:line="453" w:lineRule="exact"/>
        <w:rPr>
          <w:sz w:val="20"/>
          <w:szCs w:val="20"/>
          <w:color w:val="auto"/>
        </w:rPr>
      </w:pPr>
    </w:p>
    <w:p>
      <w:pPr>
        <w:sectPr>
          <w:pgSz w:w="11900" w:h="16838" w:orient="portrait"/>
          <w:cols w:equalWidth="0" w:num="4">
            <w:col w:w="240" w:space="100"/>
            <w:col w:w="4120" w:space="440"/>
            <w:col w:w="1020" w:space="460"/>
            <w:col w:w="2639"/>
          </w:cols>
          <w:pgMar w:left="1440" w:top="125" w:right="1440"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intend to apply to have our ordinary shares listed on the NASDAQ Global Market under the symbol “KRNT”.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100" w:name="page101"/>
    <w:bookmarkEnd w:id="100"/>
    <w:p>
      <w:pPr>
        <w:jc w:val="center"/>
        <w:ind w:right="-20"/>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159" w:firstLine="216"/>
        <w:spacing w:after="0" w:line="286" w:lineRule="auto"/>
        <w:rPr>
          <w:sz w:val="20"/>
          <w:szCs w:val="20"/>
          <w:color w:val="auto"/>
        </w:rPr>
      </w:pPr>
      <w:r>
        <w:rPr>
          <w:rFonts w:ascii="Arial" w:cs="Arial" w:eastAsia="Arial" w:hAnsi="Arial"/>
          <w:sz w:val="16"/>
          <w:szCs w:val="16"/>
          <w:color w:val="auto"/>
        </w:rPr>
        <w:t>Prior to this offering, no public market existed for our ordinary shares. Sales of substantial amounts of our ordinary shares, including shares issued upon the exercise of outstanding options in the public market following this offering, or the possibility of these sales occurring, could adversely affect the prevailing market price of our ordinary shares and could impair our future ability to obtain capital, especially through an offering of equity securities. Assuming no exercise</w:t>
      </w:r>
    </w:p>
    <w:p>
      <w:pPr>
        <w:spacing w:after="0" w:line="2" w:lineRule="exact"/>
        <w:rPr>
          <w:sz w:val="20"/>
          <w:szCs w:val="20"/>
          <w:color w:val="auto"/>
        </w:rPr>
      </w:pPr>
    </w:p>
    <w:p>
      <w:pPr>
        <w:ind w:left="120" w:right="319"/>
        <w:spacing w:after="0" w:line="265" w:lineRule="auto"/>
        <w:rPr>
          <w:sz w:val="20"/>
          <w:szCs w:val="20"/>
          <w:color w:val="auto"/>
        </w:rPr>
      </w:pPr>
      <w:r>
        <w:rPr>
          <w:rFonts w:ascii="Arial" w:cs="Arial" w:eastAsia="Arial" w:hAnsi="Arial"/>
          <w:sz w:val="17"/>
          <w:szCs w:val="17"/>
          <w:color w:val="auto"/>
        </w:rPr>
        <w:t>of options or warrants outstanding following this offering, we will have an aggregate of ordinary shares outstanding upon the completion of this offering. Of these shares, the ordinary shares sold in this offering will be</w:t>
      </w:r>
    </w:p>
    <w:p>
      <w:pPr>
        <w:ind w:left="120" w:right="179"/>
        <w:spacing w:after="0" w:line="255" w:lineRule="auto"/>
        <w:rPr>
          <w:sz w:val="20"/>
          <w:szCs w:val="20"/>
          <w:color w:val="auto"/>
        </w:rPr>
      </w:pPr>
      <w:r>
        <w:rPr>
          <w:rFonts w:ascii="Arial" w:cs="Arial" w:eastAsia="Arial" w:hAnsi="Arial"/>
          <w:sz w:val="18"/>
          <w:szCs w:val="18"/>
          <w:color w:val="auto"/>
        </w:rPr>
        <w:t>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90" w:lineRule="exact"/>
        <w:rPr>
          <w:sz w:val="20"/>
          <w:szCs w:val="20"/>
          <w:color w:val="auto"/>
        </w:rPr>
      </w:pPr>
    </w:p>
    <w:p>
      <w:pPr>
        <w:ind w:left="120" w:right="259" w:firstLine="216"/>
        <w:spacing w:after="0" w:line="297" w:lineRule="auto"/>
        <w:rPr>
          <w:sz w:val="20"/>
          <w:szCs w:val="20"/>
          <w:color w:val="auto"/>
        </w:rPr>
      </w:pPr>
      <w:r>
        <w:rPr>
          <w:rFonts w:ascii="Arial" w:cs="Arial" w:eastAsia="Arial" w:hAnsi="Arial"/>
          <w:sz w:val="16"/>
          <w:szCs w:val="16"/>
          <w:color w:val="auto"/>
        </w:rPr>
        <w:t>The remaining ordinary shares will be held by our existing shareholders and will be deemed to be “restricted securities” (as that phrase is defined under Rule 144 of the Securities Act). Subject to certain contractual restrictions, including the lock-up agreements described below, holders of restricted shares will be entitled to sell those shares in the public market pursuant to an effective registration statement under the Securities Act or if they qualify for an exemption from registration under Rule 144 and Rule 701 under the Securities Act. These rules are summarized below.</w:t>
      </w:r>
    </w:p>
    <w:p>
      <w:pPr>
        <w:spacing w:after="0" w:line="158" w:lineRule="exact"/>
        <w:rPr>
          <w:sz w:val="20"/>
          <w:szCs w:val="20"/>
          <w:color w:val="auto"/>
        </w:rPr>
      </w:pPr>
    </w:p>
    <w:p>
      <w:pPr>
        <w:ind w:left="120" w:right="339" w:firstLine="216"/>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restricted securities will be available for sale in the public market as follows:</w:t>
      </w:r>
    </w:p>
    <w:p>
      <w:pPr>
        <w:sectPr>
          <w:pgSz w:w="11900" w:h="16838" w:orient="portrait"/>
          <w:cols w:equalWidth="0" w:num="1">
            <w:col w:w="9019"/>
          </w:cols>
          <w:pgMar w:left="1440" w:top="33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319"/>
        <w:spacing w:after="0"/>
        <w:rPr>
          <w:sz w:val="20"/>
          <w:szCs w:val="20"/>
          <w:color w:val="auto"/>
        </w:rPr>
      </w:pPr>
      <w:r>
        <w:rPr>
          <w:rFonts w:ascii="Arial" w:cs="Arial" w:eastAsia="Arial" w:hAnsi="Arial"/>
          <w:sz w:val="14"/>
          <w:szCs w:val="14"/>
          <w:b w:val="1"/>
          <w:bCs w:val="1"/>
          <w:color w:val="auto"/>
        </w:rPr>
        <w:t>Number of Shares</w:t>
      </w:r>
    </w:p>
    <w:p>
      <w:pPr>
        <w:spacing w:after="0" w:line="49" w:lineRule="exact"/>
        <w:rPr>
          <w:sz w:val="20"/>
          <w:szCs w:val="20"/>
          <w:color w:val="auto"/>
        </w:rPr>
      </w:pPr>
    </w:p>
    <w:p>
      <w:pPr>
        <w:jc w:val="center"/>
        <w:ind w:right="319"/>
        <w:spacing w:after="0"/>
        <w:rPr>
          <w:sz w:val="20"/>
          <w:szCs w:val="20"/>
          <w:color w:val="auto"/>
        </w:rPr>
      </w:pPr>
      <w:r>
        <w:rPr>
          <w:rFonts w:ascii="Arial" w:cs="Arial" w:eastAsia="Arial" w:hAnsi="Arial"/>
          <w:sz w:val="16"/>
          <w:szCs w:val="16"/>
          <w:b w:val="1"/>
          <w:bCs w:val="1"/>
          <w:color w:val="auto"/>
        </w:rPr>
        <w:t>Eligible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-4639945</wp:posOffset>
            </wp:positionH>
            <wp:positionV relativeFrom="paragraph">
              <wp:posOffset>50165</wp:posOffset>
            </wp:positionV>
            <wp:extent cx="5574030" cy="2317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74030" cy="231775"/>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6720" w:space="720"/>
            <w:col w:w="1579"/>
          </w:cols>
          <w:pgMar w:left="1440" w:top="337" w:right="1440"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At the date of this prospectus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Up to 180 days after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48895</wp:posOffset>
            </wp:positionV>
            <wp:extent cx="557403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4030" cy="222885"/>
                    </a:xfrm>
                    <a:prstGeom prst="rect">
                      <a:avLst/>
                    </a:prstGeom>
                    <a:noFill/>
                  </pic:spPr>
                </pic:pic>
              </a:graphicData>
            </a:graphic>
          </wp:anchor>
        </w:drawing>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180 days after the date of this prospectus</w:t>
      </w:r>
    </w:p>
    <w:p>
      <w:pPr>
        <w:spacing w:after="0" w:line="239"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Sales of these shares in the public market after the restrictions under the lock-up agreements lapse, or the perception that those sales may occur, could cause the prevailing market price to decrease or to be lower than it might be in the absence of those sales or perceptions.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all of our directors and executive officers and holders of substantially all of our outstanding shares and shares issuable upon the exercise of warrants and vested options, have agreed not to offer, sell, agree to sell, directly or indirectly, or otherwise dispose of any ordinary shares or any securities convertible into or exchangeable for ordinary shares except for the ordinary shares offered in this offering without the prior written consent of Barclays Capital Inc. and Citigroup Global Markets Inc. for a period of 180 days after the date of this prospectus.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Eligibility of Restricted Shares for Sale in the Public Market</w:t>
      </w:r>
    </w:p>
    <w:p>
      <w:pPr>
        <w:spacing w:after="0" w:line="229" w:lineRule="exact"/>
        <w:rPr>
          <w:sz w:val="20"/>
          <w:szCs w:val="20"/>
          <w:color w:val="auto"/>
        </w:rPr>
      </w:pPr>
    </w:p>
    <w:p>
      <w:pPr>
        <w:jc w:val="both"/>
        <w:ind w:left="120" w:right="359" w:firstLine="216"/>
        <w:spacing w:after="0" w:line="286" w:lineRule="auto"/>
        <w:rPr>
          <w:sz w:val="20"/>
          <w:szCs w:val="20"/>
          <w:color w:val="auto"/>
        </w:rPr>
      </w:pPr>
      <w:r>
        <w:rPr>
          <w:rFonts w:ascii="Arial" w:cs="Arial" w:eastAsia="Arial" w:hAnsi="Arial"/>
          <w:sz w:val="17"/>
          <w:szCs w:val="17"/>
          <w:color w:val="auto"/>
        </w:rPr>
        <w:t>The ordinary shares that are not being sold in this offering, but which will be outstanding at the time this offering is complete, will be eligible for sale into the public market under the provisions of Rule 144 and Rule 701 (but subject to the further contractual restrictions arising under the lock-up agreements described above).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right="299" w:firstLine="216"/>
        <w:spacing w:after="0" w:line="255" w:lineRule="auto"/>
        <w:rPr>
          <w:sz w:val="20"/>
          <w:szCs w:val="20"/>
          <w:color w:val="auto"/>
        </w:rPr>
      </w:pPr>
      <w:r>
        <w:rPr>
          <w:rFonts w:ascii="Arial" w:cs="Arial" w:eastAsia="Arial" w:hAnsi="Arial"/>
          <w:sz w:val="18"/>
          <w:szCs w:val="18"/>
          <w:color w:val="auto"/>
        </w:rPr>
        <w:t>In general, under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1" w:name="page102"/>
    <w:bookmarkEnd w:id="101"/>
    <w:p>
      <w:pPr>
        <w:ind w:left="120" w:right="279" w:firstLine="216"/>
        <w:spacing w:after="0" w:line="273"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ordinary shares or the average weekly trading volume of our ordinary shares on the during the four calendar weeks preceding such sale. Such sales are also subject to certain manner of sale provisions, notice requirements and the availability of current public information about us.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In general, under Rule 701, any of our employees, directors, officers, consultants or advisors who received or purchased ordinary shares from us under our 2004 Plan or 2012 Plan or other written agreement before the closing of this offering is entitled to resell these shares.</w:t>
      </w:r>
    </w:p>
    <w:p>
      <w:pPr>
        <w:spacing w:after="0" w:line="181"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 Commission has indicated that Rule 701 will apply to typical share options granted by an issuer before it becomes subject to the reporting requirements of the Exchange Act, along with the shares acquired upon exercise of these options, including exercises after the closing of this offering. Securities issued in reliance on Rule 701 are restricted securities and, subject to the contractual restrictions described above (under “—Lock-Up Agreements”), may be sold beginning 90 days after the closing of this offering in reliance on Rule 144 by:</w:t>
      </w:r>
    </w:p>
    <w:p>
      <w:pPr>
        <w:spacing w:after="0" w:line="179" w:lineRule="exact"/>
        <w:rPr>
          <w:sz w:val="20"/>
          <w:szCs w:val="20"/>
          <w:color w:val="auto"/>
        </w:rPr>
      </w:pPr>
    </w:p>
    <w:p>
      <w:pPr>
        <w:ind w:left="560" w:hanging="219"/>
        <w:spacing w:after="0"/>
        <w:tabs>
          <w:tab w:leader="none" w:pos="560" w:val="left"/>
        </w:tabs>
        <w:numPr>
          <w:ilvl w:val="0"/>
          <w:numId w:val="66"/>
        </w:numPr>
        <w:rPr>
          <w:rFonts w:ascii="Arial" w:cs="Arial" w:eastAsia="Arial" w:hAnsi="Arial"/>
          <w:sz w:val="22"/>
          <w:szCs w:val="22"/>
          <w:color w:val="auto"/>
        </w:rPr>
      </w:pPr>
      <w:r>
        <w:rPr>
          <w:rFonts w:ascii="Arial" w:cs="Arial" w:eastAsia="Arial" w:hAnsi="Arial"/>
          <w:sz w:val="18"/>
          <w:szCs w:val="18"/>
          <w:color w:val="auto"/>
        </w:rPr>
        <w:t>persons other than affiliates, without restriction; and</w:t>
      </w:r>
    </w:p>
    <w:p>
      <w:pPr>
        <w:spacing w:after="0" w:line="215" w:lineRule="exact"/>
        <w:rPr>
          <w:rFonts w:ascii="Arial" w:cs="Arial" w:eastAsia="Arial" w:hAnsi="Arial"/>
          <w:sz w:val="22"/>
          <w:szCs w:val="22"/>
          <w:color w:val="auto"/>
        </w:rPr>
      </w:pPr>
    </w:p>
    <w:p>
      <w:pPr>
        <w:ind w:left="340" w:right="979" w:firstLine="1"/>
        <w:spacing w:after="0" w:line="472" w:lineRule="auto"/>
        <w:tabs>
          <w:tab w:leader="none" w:pos="569" w:val="left"/>
        </w:tabs>
        <w:numPr>
          <w:ilvl w:val="0"/>
          <w:numId w:val="66"/>
        </w:numPr>
        <w:rPr>
          <w:rFonts w:ascii="Arial" w:cs="Arial" w:eastAsia="Arial" w:hAnsi="Arial"/>
          <w:sz w:val="21"/>
          <w:szCs w:val="21"/>
          <w:color w:val="auto"/>
        </w:rPr>
      </w:pPr>
      <w:r>
        <w:rPr>
          <w:rFonts w:ascii="Arial" w:cs="Arial" w:eastAsia="Arial" w:hAnsi="Arial"/>
          <w:sz w:val="17"/>
          <w:szCs w:val="17"/>
          <w:color w:val="auto"/>
        </w:rPr>
        <w:t>affiliates, subject to the manner-of-sale, current public information and filing requirements of Rule 144, in each case, without compliance with the six-month holding period requirement of Rule 144.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completion of this offering, we intend to file a registration statement on Form S-8 under the Securities</w:t>
      </w:r>
    </w:p>
    <w:p>
      <w:pPr>
        <w:spacing w:after="0" w:line="46" w:lineRule="exact"/>
        <w:rPr>
          <w:sz w:val="20"/>
          <w:szCs w:val="20"/>
          <w:color w:val="auto"/>
        </w:rPr>
      </w:pPr>
    </w:p>
    <w:p>
      <w:pPr>
        <w:ind w:left="120" w:right="659"/>
        <w:spacing w:after="0" w:line="261" w:lineRule="auto"/>
        <w:rPr>
          <w:sz w:val="20"/>
          <w:szCs w:val="20"/>
          <w:color w:val="auto"/>
        </w:rPr>
      </w:pPr>
      <w:r>
        <w:rPr>
          <w:rFonts w:ascii="Arial" w:cs="Arial" w:eastAsia="Arial" w:hAnsi="Arial"/>
          <w:sz w:val="18"/>
          <w:szCs w:val="18"/>
          <w:color w:val="auto"/>
        </w:rPr>
        <w:t>Act to register up to ordinary shares issued or reserved for issuance under the 2004 Plan and 2012 Plan. The registration statement on Form S-8 will become effective automatically upon filing.</w:t>
      </w:r>
    </w:p>
    <w:p>
      <w:pPr>
        <w:spacing w:after="0" w:line="184" w:lineRule="exact"/>
        <w:rPr>
          <w:sz w:val="20"/>
          <w:szCs w:val="20"/>
          <w:color w:val="auto"/>
        </w:rPr>
      </w:pPr>
    </w:p>
    <w:p>
      <w:pPr>
        <w:ind w:left="120" w:right="279" w:firstLine="216"/>
        <w:spacing w:after="0" w:line="259" w:lineRule="auto"/>
        <w:rPr>
          <w:sz w:val="20"/>
          <w:szCs w:val="20"/>
          <w:color w:val="auto"/>
        </w:rPr>
      </w:pPr>
      <w:r>
        <w:rPr>
          <w:rFonts w:ascii="Arial" w:cs="Arial" w:eastAsia="Arial" w:hAnsi="Arial"/>
          <w:sz w:val="18"/>
          <w:szCs w:val="18"/>
          <w:color w:val="auto"/>
        </w:rPr>
        <w:t>Ordinary shares issued upon exercise of a share option and registered under the Form S-8 registration statement will, subject to vesting provisions, lock-up agreements with the underwriters and Rule 144 volume limitations applicable to our affiliates, be available for sale in the open market immediately after the 180-day lock-up period expires. See “Management—Share Incentive Plans.”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right="119" w:firstLine="216"/>
        <w:spacing w:after="0" w:line="291" w:lineRule="auto"/>
        <w:rPr>
          <w:sz w:val="20"/>
          <w:szCs w:val="20"/>
          <w:color w:val="auto"/>
        </w:rPr>
      </w:pPr>
      <w:r>
        <w:rPr>
          <w:rFonts w:ascii="Arial" w:cs="Arial" w:eastAsia="Arial" w:hAnsi="Arial"/>
          <w:sz w:val="16"/>
          <w:szCs w:val="16"/>
          <w:color w:val="auto"/>
        </w:rPr>
        <w:t>Following the completion of this offering, the holders of up to 3,176,744 ordinary shares are entitled to request that we register their ordinary shares under the Securities Act, subject to cutback for marketing reasons and certain other conditions. These shareholders are also entitled to “piggyback” registration rights, which are also subject to cutback for marketing reasons and certain other conditions. Registration of such shares under the Securities Act would result in such shares becoming freely tradable without restriction under the Securities Act, except for shares purchased by affiliates, immediately upon the effectiveness of such registration. See “Description of Share Capital—Registration Rights.” Any sales of securities by these shareholders could have a material adverse effect on the trading price of our ordinary shares.</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2" w:name="page103"/>
    <w:bookmarkEnd w:id="102"/>
    <w:p>
      <w:pPr>
        <w:ind w:left="740"/>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Israeli Tax Considerations and Government Programs</w:t>
      </w:r>
    </w:p>
    <w:p>
      <w:pPr>
        <w:spacing w:after="0" w:line="229"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 This section also contains a discussion of material Israeli tax consequences concerning the ownership and disposition of our ordinary shares purchased by investors in this offering.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Corporate Tax Structure in Israel</w:t>
      </w:r>
    </w:p>
    <w:p>
      <w:pPr>
        <w:spacing w:after="0" w:line="225" w:lineRule="exact"/>
        <w:rPr>
          <w:sz w:val="20"/>
          <w:szCs w:val="20"/>
          <w:color w:val="auto"/>
        </w:rPr>
      </w:pPr>
    </w:p>
    <w:p>
      <w:pPr>
        <w:ind w:left="120" w:right="179" w:firstLine="216"/>
        <w:spacing w:after="0" w:line="257" w:lineRule="auto"/>
        <w:rPr>
          <w:sz w:val="20"/>
          <w:szCs w:val="20"/>
          <w:color w:val="auto"/>
        </w:rPr>
      </w:pPr>
      <w:r>
        <w:rPr>
          <w:rFonts w:ascii="Arial" w:cs="Arial" w:eastAsia="Arial" w:hAnsi="Arial"/>
          <w:sz w:val="18"/>
          <w:szCs w:val="18"/>
          <w:color w:val="auto"/>
        </w:rPr>
        <w:t>Israeli companies are generally subject to corporate tax. In 2013, the corporate tax rate was 25% of their taxable income. In August 2014 the Israeli Knesset amended the corporate tax rate from 2014 and thereafter to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Industry (Taxes), 5729-1969</w:t>
      </w:r>
    </w:p>
    <w:p>
      <w:pPr>
        <w:spacing w:after="0" w:line="225" w:lineRule="exact"/>
        <w:rPr>
          <w:sz w:val="20"/>
          <w:szCs w:val="20"/>
          <w:color w:val="auto"/>
        </w:rPr>
      </w:pPr>
    </w:p>
    <w:p>
      <w:pPr>
        <w:jc w:val="both"/>
        <w:ind w:left="120" w:right="199" w:firstLine="216"/>
        <w:spacing w:after="0" w:line="264" w:lineRule="auto"/>
        <w:rPr>
          <w:sz w:val="20"/>
          <w:szCs w:val="20"/>
          <w:color w:val="auto"/>
        </w:rPr>
      </w:pPr>
      <w:r>
        <w:rPr>
          <w:rFonts w:ascii="Arial" w:cs="Arial" w:eastAsia="Arial" w:hAnsi="Arial"/>
          <w:sz w:val="18"/>
          <w:szCs w:val="18"/>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81"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Industry Encouragement Law defines an “Industrial Company” as a company resident in Israel, of which 90% or more of its income in any tax year, other than income from defense loans, is derived from an “Industrial Enterprise” owned by it. An “Industrial Enterprise” is defined as an enterprise whose principal activity in a given tax year is industrial production.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39" w:lineRule="exact"/>
        <w:rPr>
          <w:sz w:val="20"/>
          <w:szCs w:val="20"/>
          <w:color w:val="auto"/>
        </w:rPr>
      </w:pPr>
    </w:p>
    <w:p>
      <w:pPr>
        <w:ind w:left="560" w:right="399" w:hanging="219"/>
        <w:spacing w:after="0" w:line="232" w:lineRule="auto"/>
        <w:tabs>
          <w:tab w:leader="none" w:pos="572" w:val="left"/>
        </w:tabs>
        <w:numPr>
          <w:ilvl w:val="0"/>
          <w:numId w:val="67"/>
        </w:numPr>
        <w:rPr>
          <w:rFonts w:ascii="Arial" w:cs="Arial" w:eastAsia="Arial" w:hAnsi="Arial"/>
          <w:sz w:val="22"/>
          <w:szCs w:val="22"/>
          <w:color w:val="auto"/>
        </w:rPr>
      </w:pPr>
      <w:r>
        <w:rPr>
          <w:rFonts w:ascii="Arial" w:cs="Arial" w:eastAsia="Arial" w:hAnsi="Arial"/>
          <w:sz w:val="18"/>
          <w:szCs w:val="18"/>
          <w:color w:val="auto"/>
        </w:rPr>
        <w:t>amortization over an eight-year period of the cost of purchased know-how and patents and rights to use a patent and know-how which are used for the development or advancement of the company;</w:t>
      </w:r>
    </w:p>
    <w:p>
      <w:pPr>
        <w:spacing w:after="0" w:line="217" w:lineRule="exact"/>
        <w:rPr>
          <w:rFonts w:ascii="Arial" w:cs="Arial" w:eastAsia="Arial" w:hAnsi="Arial"/>
          <w:sz w:val="22"/>
          <w:szCs w:val="22"/>
          <w:color w:val="auto"/>
        </w:rPr>
      </w:pPr>
    </w:p>
    <w:p>
      <w:pPr>
        <w:ind w:left="560" w:hanging="219"/>
        <w:spacing w:after="0"/>
        <w:tabs>
          <w:tab w:leader="none" w:pos="560" w:val="left"/>
        </w:tabs>
        <w:numPr>
          <w:ilvl w:val="0"/>
          <w:numId w:val="67"/>
        </w:numPr>
        <w:rPr>
          <w:rFonts w:ascii="Arial" w:cs="Arial" w:eastAsia="Arial" w:hAnsi="Arial"/>
          <w:sz w:val="19"/>
          <w:szCs w:val="19"/>
          <w:color w:val="auto"/>
        </w:rPr>
      </w:pPr>
      <w:r>
        <w:rPr>
          <w:rFonts w:ascii="Arial" w:cs="Arial" w:eastAsia="Arial" w:hAnsi="Arial"/>
          <w:sz w:val="16"/>
          <w:szCs w:val="16"/>
          <w:color w:val="auto"/>
        </w:rPr>
        <w:t>under limited conditions, an election to file consolidated tax returns with related Israeli Industrial Companies; and</w:t>
      </w:r>
    </w:p>
    <w:p>
      <w:pPr>
        <w:spacing w:after="0" w:line="204" w:lineRule="exact"/>
        <w:rPr>
          <w:rFonts w:ascii="Arial" w:cs="Arial" w:eastAsia="Arial" w:hAnsi="Arial"/>
          <w:sz w:val="19"/>
          <w:szCs w:val="19"/>
          <w:color w:val="auto"/>
        </w:rPr>
      </w:pPr>
    </w:p>
    <w:p>
      <w:pPr>
        <w:ind w:left="560" w:hanging="219"/>
        <w:spacing w:after="0"/>
        <w:tabs>
          <w:tab w:leader="none" w:pos="560" w:val="left"/>
        </w:tabs>
        <w:numPr>
          <w:ilvl w:val="0"/>
          <w:numId w:val="67"/>
        </w:numPr>
        <w:rPr>
          <w:rFonts w:ascii="Arial" w:cs="Arial" w:eastAsia="Arial" w:hAnsi="Arial"/>
          <w:sz w:val="22"/>
          <w:szCs w:val="22"/>
          <w:color w:val="auto"/>
        </w:rPr>
      </w:pPr>
      <w:r>
        <w:rPr>
          <w:rFonts w:ascii="Arial" w:cs="Arial" w:eastAsia="Arial" w:hAnsi="Arial"/>
          <w:sz w:val="18"/>
          <w:szCs w:val="18"/>
          <w:color w:val="auto"/>
        </w:rPr>
        <w:t>expenses related to a public offering are deductible in equal amounts over three years.</w:t>
      </w:r>
    </w:p>
    <w:p>
      <w:pPr>
        <w:spacing w:after="0" w:line="202"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There can be no assurance that we will continue to qualify as an Industrial Company or that the benefits described above will be available in the future.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 for the Encouragement of Capital Investments, 5719-1959</w:t>
      </w:r>
    </w:p>
    <w:p>
      <w:pPr>
        <w:spacing w:after="0" w:line="225" w:lineRule="exact"/>
        <w:rPr>
          <w:sz w:val="20"/>
          <w:szCs w:val="20"/>
          <w:color w:val="auto"/>
        </w:rPr>
      </w:pPr>
    </w:p>
    <w:p>
      <w:pPr>
        <w:ind w:left="120" w:right="539" w:firstLine="216"/>
        <w:spacing w:after="0" w:line="264" w:lineRule="auto"/>
        <w:rPr>
          <w:sz w:val="20"/>
          <w:szCs w:val="20"/>
          <w:color w:val="auto"/>
        </w:rPr>
      </w:pPr>
      <w:r>
        <w:rPr>
          <w:rFonts w:ascii="Arial" w:cs="Arial" w:eastAsia="Arial" w:hAnsi="Arial"/>
          <w:sz w:val="18"/>
          <w:szCs w:val="18"/>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81" w:lineRule="exact"/>
        <w:rPr>
          <w:sz w:val="20"/>
          <w:szCs w:val="20"/>
          <w:color w:val="auto"/>
        </w:rPr>
      </w:pPr>
    </w:p>
    <w:p>
      <w:pPr>
        <w:ind w:left="120" w:right="119" w:firstLine="216"/>
        <w:spacing w:after="0" w:line="255" w:lineRule="auto"/>
        <w:rPr>
          <w:sz w:val="20"/>
          <w:szCs w:val="20"/>
          <w:color w:val="auto"/>
        </w:rPr>
      </w:pPr>
      <w:r>
        <w:rPr>
          <w:rFonts w:ascii="Arial" w:cs="Arial" w:eastAsia="Arial" w:hAnsi="Arial"/>
          <w:sz w:val="18"/>
          <w:szCs w:val="18"/>
          <w:color w:val="auto"/>
        </w:rPr>
        <w:t>The Investment Law was significantly amended effective April 1, 2005, or the 2005 Amendment, and further amended as of January 1, 2011, or the 2011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3" w:name="page104"/>
    <w:bookmarkEnd w:id="103"/>
    <w:p>
      <w:pPr>
        <w:ind w:left="120" w:right="119"/>
        <w:spacing w:after="0" w:line="257" w:lineRule="auto"/>
        <w:rPr>
          <w:sz w:val="20"/>
          <w:szCs w:val="20"/>
          <w:color w:val="auto"/>
        </w:rPr>
      </w:pPr>
      <w:r>
        <w:rPr>
          <w:rFonts w:ascii="Arial" w:cs="Arial" w:eastAsia="Arial" w:hAnsi="Arial"/>
          <w:sz w:val="18"/>
          <w:szCs w:val="18"/>
          <w:color w:val="auto"/>
        </w:rPr>
        <w:t>choose to continue to enjoy such benefits, provided that certain conditions are met, or elect instead, irrevocably, to forego such benefits and have the benefits of the 2011 Amendment apply.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Benefits Subsequent to the 2005 Amendment</w:t>
      </w:r>
    </w:p>
    <w:p>
      <w:pPr>
        <w:spacing w:after="0" w:line="225"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 such as provisions generally requiring that at least 25% of the Approved Enterprise’s income be derived from exports.</w:t>
      </w:r>
    </w:p>
    <w:p>
      <w:pPr>
        <w:spacing w:after="0" w:line="179" w:lineRule="exact"/>
        <w:rPr>
          <w:sz w:val="20"/>
          <w:szCs w:val="20"/>
          <w:color w:val="auto"/>
        </w:rPr>
      </w:pPr>
    </w:p>
    <w:p>
      <w:pPr>
        <w:ind w:left="120" w:right="199" w:firstLine="216"/>
        <w:spacing w:after="0" w:line="270" w:lineRule="auto"/>
        <w:rPr>
          <w:sz w:val="20"/>
          <w:szCs w:val="20"/>
          <w:color w:val="auto"/>
        </w:rPr>
      </w:pPr>
      <w:r>
        <w:rPr>
          <w:rFonts w:ascii="Arial" w:cs="Arial" w:eastAsia="Arial" w:hAnsi="Arial"/>
          <w:sz w:val="17"/>
          <w:szCs w:val="17"/>
          <w:color w:val="auto"/>
        </w:rPr>
        <w:t>The 2005 Amendment provides that Approved Enterprise status will only be necessary for receiving cash grants. As a result, it was no longer necessary for a company to obtain Approved Enterprise status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In order to receive the tax benefits, the 2005 Amendment states that a company must make an investment which meets all of the conditions, including exceeding a minimum investment amount specified in the Investment Law. Such investment allows a company to receive “Benefited Enterprise” status, and may be made over a period of no more than three years from the end of the year in which the company requested to have the tax benefits apply to its Benefited Enterprise.</w:t>
      </w:r>
    </w:p>
    <w:p>
      <w:pPr>
        <w:spacing w:after="0" w:line="182" w:lineRule="exact"/>
        <w:rPr>
          <w:sz w:val="20"/>
          <w:szCs w:val="20"/>
          <w:color w:val="auto"/>
        </w:rPr>
      </w:pPr>
    </w:p>
    <w:p>
      <w:pPr>
        <w:ind w:left="120" w:right="179" w:firstLine="216"/>
        <w:spacing w:after="0" w:line="286" w:lineRule="auto"/>
        <w:rPr>
          <w:sz w:val="20"/>
          <w:szCs w:val="20"/>
          <w:color w:val="auto"/>
        </w:rPr>
      </w:pPr>
      <w:r>
        <w:rPr>
          <w:rFonts w:ascii="Arial" w:cs="Arial" w:eastAsia="Arial" w:hAnsi="Arial"/>
          <w:sz w:val="16"/>
          <w:szCs w:val="16"/>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10 years, depending on the geographic location of the Benefited Enterprise in Israel, and a reduced corporate tax rate of between 10% to 25% for the remainder of the benefits period, depending on the level of foreign investment in the company in each year. A company qualifying for tax benefits under the 2005 Amendment which pays a dividend out of income derived by its Benefited Enterprise during the tax exemption period will be subject to corporate tax in respect of the gross amount of the dividend at the otherwise applicable rate of 25%, or a lower rate in the case of a qualified FIC which is at least 49% owned by non-Israeli residents. Dividends paid out of income attributed to a Benefited Enterprise are generally subject to withholding tax at source at the rate of 15% or such lower rate as may be provided in an applicable tax treaty. The 15% tax rate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an FIC, the 12-year limitation on reduced withholding tax on dividends does not apply.</w:t>
      </w:r>
    </w:p>
    <w:p>
      <w:pPr>
        <w:spacing w:after="0" w:line="172"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7"/>
          <w:szCs w:val="17"/>
          <w:color w:val="auto"/>
        </w:rPr>
        <w:t>The benefits available to a Benefited Enterprise are subject to the fulfillment of conditions stipulated in the Investment Law and its regulations. If a company does not meet these conditions, it may be required to refund the amount of tax benefits, as adjusted by the Israeli consumer price index, and interest, or other monetary penalties.</w:t>
      </w:r>
    </w:p>
    <w:p>
      <w:pPr>
        <w:spacing w:after="0" w:line="166"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We currently have Benefited Enterprise programs under the Investments Law, which, we believe, entitle us to certain tax benefits. The benefits period for our company began in 2010. Our company is expected to enjoy these tax benefits until 2019. Our subsidiary Kornit Digital Technologies Ltd. is subject to the 2011 Amendment (as described below) and thus the tax benefits will not be subject to time limitations.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Benefits Under the 2011 Amendment</w:t>
      </w:r>
    </w:p>
    <w:p>
      <w:pPr>
        <w:spacing w:after="0" w:line="225" w:lineRule="exact"/>
        <w:rPr>
          <w:sz w:val="20"/>
          <w:szCs w:val="20"/>
          <w:color w:val="auto"/>
        </w:rPr>
      </w:pPr>
    </w:p>
    <w:p>
      <w:pPr>
        <w:ind w:left="120" w:right="279" w:firstLine="216"/>
        <w:spacing w:after="0" w:line="255" w:lineRule="auto"/>
        <w:rPr>
          <w:sz w:val="20"/>
          <w:szCs w:val="20"/>
          <w:color w:val="auto"/>
        </w:rPr>
      </w:pPr>
      <w:r>
        <w:rPr>
          <w:rFonts w:ascii="Arial" w:cs="Arial" w:eastAsia="Arial" w:hAnsi="Arial"/>
          <w:sz w:val="18"/>
          <w:szCs w:val="18"/>
          <w:color w:val="auto"/>
        </w:rPr>
        <w:t>The 2011 Amendment canceled the availability of the benefits granted to companies under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4" w:name="page105"/>
    <w:bookmarkEnd w:id="104"/>
    <w:p>
      <w:pPr>
        <w:ind w:left="120" w:right="139"/>
        <w:spacing w:after="0" w:line="273" w:lineRule="auto"/>
        <w:rPr>
          <w:sz w:val="20"/>
          <w:szCs w:val="20"/>
          <w:color w:val="auto"/>
        </w:rPr>
      </w:pPr>
      <w:r>
        <w:rPr>
          <w:rFonts w:ascii="Arial" w:cs="Arial" w:eastAsia="Arial" w:hAnsi="Arial"/>
          <w:sz w:val="17"/>
          <w:szCs w:val="17"/>
          <w:color w:val="auto"/>
        </w:rPr>
        <w:t>entitled to a reduced corporate flat tax rate of 15% with respect to its preferred income derived by its Preferred Enterprise in 2011 – 2012, unless the Preferred Enterprise is located in a certain development zone, in which case the rate will be 10%. Such corporate tax rate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5% if the Special Preferred Enterprise is located in a certain development zone.</w:t>
      </w:r>
    </w:p>
    <w:p>
      <w:pPr>
        <w:spacing w:after="0" w:line="178" w:lineRule="exact"/>
        <w:rPr>
          <w:sz w:val="20"/>
          <w:szCs w:val="20"/>
          <w:color w:val="auto"/>
        </w:rPr>
      </w:pPr>
    </w:p>
    <w:p>
      <w:pPr>
        <w:jc w:val="both"/>
        <w:ind w:left="120" w:right="179" w:firstLine="216"/>
        <w:spacing w:after="0" w:line="302" w:lineRule="auto"/>
        <w:rPr>
          <w:sz w:val="20"/>
          <w:szCs w:val="20"/>
          <w:color w:val="auto"/>
        </w:rPr>
      </w:pPr>
      <w:r>
        <w:rPr>
          <w:rFonts w:ascii="Arial" w:cs="Arial" w:eastAsia="Arial" w:hAnsi="Arial"/>
          <w:sz w:val="16"/>
          <w:szCs w:val="16"/>
          <w:color w:val="auto"/>
        </w:rPr>
        <w:t>As of 2014, dividends paid out of income attributed to a Preferred Enterprise are generally subject to withholding tax at source at the rate of 20% or such lower rate as may be provided in an applicable tax treaty. However, if such dividends are paid to an Israeli company, no tax is required to be withheld (although, if subsequently distributed to individuals or a non-Israeli company, withholding of 20% or such lower rate as may be provided in an applicable tax treaty will apply).</w:t>
      </w:r>
    </w:p>
    <w:p>
      <w:pPr>
        <w:spacing w:after="0" w:line="154" w:lineRule="exact"/>
        <w:rPr>
          <w:sz w:val="20"/>
          <w:szCs w:val="20"/>
          <w:color w:val="auto"/>
        </w:rPr>
      </w:pPr>
    </w:p>
    <w:p>
      <w:pPr>
        <w:ind w:left="120" w:right="239" w:firstLine="216"/>
        <w:spacing w:after="0" w:line="287"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w:t>
      </w:r>
    </w:p>
    <w:p>
      <w:pPr>
        <w:spacing w:after="0" w:line="173" w:lineRule="exact"/>
        <w:rPr>
          <w:sz w:val="20"/>
          <w:szCs w:val="20"/>
          <w:color w:val="auto"/>
        </w:rPr>
      </w:pPr>
    </w:p>
    <w:p>
      <w:pPr>
        <w:ind w:left="120" w:right="119" w:firstLine="216"/>
        <w:spacing w:after="0" w:line="264"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5" w:name="page106"/>
    <w:bookmarkEnd w:id="105"/>
    <w:p>
      <w:pPr>
        <w:jc w:val="center"/>
        <w:ind w:right="-20"/>
        <w:spacing w:after="0"/>
        <w:rPr>
          <w:sz w:val="20"/>
          <w:szCs w:val="20"/>
          <w:color w:val="auto"/>
        </w:rPr>
      </w:pPr>
      <w:r>
        <w:rPr>
          <w:rFonts w:ascii="Arial" w:cs="Arial" w:eastAsia="Arial" w:hAnsi="Arial"/>
          <w:sz w:val="18"/>
          <w:szCs w:val="18"/>
          <w:b w:val="1"/>
          <w:bCs w:val="1"/>
          <w:color w:val="auto"/>
        </w:rPr>
        <w:t>U.S. AND ISRAELI TAX CONSEQUENCES FOR OUR SHAREHOLDERS</w:t>
      </w:r>
    </w:p>
    <w:p>
      <w:pPr>
        <w:spacing w:after="0" w:line="229"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The following description is not intended to constitute a complete analysis of all tax consequences relating to the acquisition, ownership and disposition of our ordinary shares. You should consult your own tax advisor concerning the tax consequences of your particular situation, as well as any tax consequences that may arise under the laws of any state, local, foreign or other taxing jurisdiction.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Israeli Tax Consequences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our Shareholders</w:t>
      </w:r>
    </w:p>
    <w:p>
      <w:pPr>
        <w:spacing w:after="0" w:line="225" w:lineRule="exact"/>
        <w:rPr>
          <w:sz w:val="20"/>
          <w:szCs w:val="20"/>
          <w:color w:val="auto"/>
        </w:rPr>
      </w:pPr>
    </w:p>
    <w:p>
      <w:pPr>
        <w:ind w:left="120" w:right="159" w:firstLine="216"/>
        <w:spacing w:after="0" w:line="304" w:lineRule="auto"/>
        <w:rPr>
          <w:sz w:val="20"/>
          <w:szCs w:val="20"/>
          <w:color w:val="auto"/>
        </w:rPr>
      </w:pPr>
      <w:r>
        <w:rPr>
          <w:rFonts w:ascii="Arial" w:cs="Arial" w:eastAsia="Arial" w:hAnsi="Arial"/>
          <w:sz w:val="15"/>
          <w:szCs w:val="15"/>
          <w:i w:val="1"/>
          <w:iCs w:val="1"/>
          <w:color w:val="auto"/>
        </w:rPr>
        <w:t xml:space="preserve">Capital Gains Taxes Applicable to Non-Israeli Resident Shareholders. </w:t>
      </w:r>
      <w:r>
        <w:rPr>
          <w:rFonts w:ascii="Arial" w:cs="Arial" w:eastAsia="Arial" w:hAnsi="Arial"/>
          <w:sz w:val="15"/>
          <w:szCs w:val="15"/>
          <w:color w:val="auto"/>
        </w:rPr>
        <w:t>Generally, a non-Israeli resident who derives</w:t>
      </w:r>
      <w:r>
        <w:rPr>
          <w:rFonts w:ascii="Arial" w:cs="Arial" w:eastAsia="Arial" w:hAnsi="Arial"/>
          <w:sz w:val="15"/>
          <w:szCs w:val="15"/>
          <w:i w:val="1"/>
          <w:iCs w:val="1"/>
          <w:color w:val="auto"/>
        </w:rPr>
        <w:t xml:space="preserve"> </w:t>
      </w:r>
      <w:r>
        <w:rPr>
          <w:rFonts w:ascii="Arial" w:cs="Arial" w:eastAsia="Arial" w:hAnsi="Arial"/>
          <w:sz w:val="15"/>
          <w:szCs w:val="15"/>
          <w:color w:val="auto"/>
        </w:rPr>
        <w:t>capital gains from the sale of shares in an Israeli resident company that were purchased after the company was listed for trading on a stock exchange outside of Israel should be exempt from Israeli tax so long as the shares were not held through a permanent establishment that the non-resident maintains in Israel. However, non-Israeli corporations will not be entitled to the foregoing exemption if Israeli residents: (i) have a controlling interest of 25% or more in such non-Israeli corporation or</w:t>
      </w:r>
    </w:p>
    <w:p>
      <w:pPr>
        <w:spacing w:after="0" w:line="2" w:lineRule="exact"/>
        <w:rPr>
          <w:sz w:val="20"/>
          <w:szCs w:val="20"/>
          <w:color w:val="auto"/>
        </w:rPr>
      </w:pPr>
    </w:p>
    <w:p>
      <w:pPr>
        <w:ind w:left="120" w:right="179" w:firstLine="5"/>
        <w:spacing w:after="0" w:line="255" w:lineRule="auto"/>
        <w:tabs>
          <w:tab w:leader="none" w:pos="37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90" w:lineRule="exact"/>
        <w:rPr>
          <w:sz w:val="20"/>
          <w:szCs w:val="20"/>
          <w:color w:val="auto"/>
        </w:rPr>
      </w:pPr>
    </w:p>
    <w:p>
      <w:pPr>
        <w:ind w:left="120" w:right="139" w:firstLine="216"/>
        <w:spacing w:after="0" w:line="287" w:lineRule="auto"/>
        <w:rPr>
          <w:sz w:val="20"/>
          <w:szCs w:val="20"/>
          <w:color w:val="auto"/>
        </w:rPr>
      </w:pPr>
      <w:r>
        <w:rPr>
          <w:rFonts w:ascii="Arial" w:cs="Arial" w:eastAsia="Arial" w:hAnsi="Arial"/>
          <w:sz w:val="16"/>
          <w:szCs w:val="16"/>
          <w:color w:val="auto"/>
        </w:rPr>
        <w:t>Additionally, a sale of securities by a non-Israeli resident may be exempt from Israeli capital gains tax under the provisions of an applicable tax treaty. For example, under the United States-Israel Tax Treaty, the disposition of shares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disposition can be allocated to a permanent establishment in Israel; (ii) the shareholder holds, directly or indirectly, shares representing 10% or more of the voting capital during any part of the 12-month period preceding the disposition subject to certain conditions; or (iii) such U.S. resident is an individual and was present in Israel for 183 days or more during the relevant taxable year. In each case, the sale, exchange or disposition of our ordinary shares would be subject to Israeli tax, to the extent applicable; however, under the United States-Israel Tax Treaty, the taxpayer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169" w:lineRule="exact"/>
        <w:rPr>
          <w:sz w:val="20"/>
          <w:szCs w:val="20"/>
          <w:color w:val="auto"/>
        </w:rPr>
      </w:pPr>
    </w:p>
    <w:p>
      <w:pPr>
        <w:ind w:left="120" w:right="139" w:firstLine="216"/>
        <w:spacing w:after="0" w:line="254" w:lineRule="auto"/>
        <w:rPr>
          <w:sz w:val="20"/>
          <w:szCs w:val="20"/>
          <w:color w:val="auto"/>
        </w:rPr>
      </w:pPr>
      <w:r>
        <w:rPr>
          <w:rFonts w:ascii="Arial" w:cs="Arial" w:eastAsia="Arial" w:hAnsi="Arial"/>
          <w:sz w:val="18"/>
          <w:szCs w:val="18"/>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in the form of a merger or otherwise, the Israel Tax Authority may require from shareholders who are not liable for Israeli tax to sign declarations in forms specified by this authority or obtain a specific exemption from the Israel Tax Authority to confirm their status as non Israeli resident, and, in the absence of such declarations or exemptions, may require the purchaser of the shares to withhold taxes at source.</w:t>
      </w:r>
    </w:p>
    <w:p>
      <w:pPr>
        <w:spacing w:after="0" w:line="192" w:lineRule="exact"/>
        <w:rPr>
          <w:sz w:val="20"/>
          <w:szCs w:val="20"/>
          <w:color w:val="auto"/>
        </w:rPr>
      </w:pPr>
    </w:p>
    <w:p>
      <w:pPr>
        <w:ind w:left="120" w:right="119" w:firstLine="216"/>
        <w:spacing w:after="0" w:line="268" w:lineRule="auto"/>
        <w:rPr>
          <w:sz w:val="20"/>
          <w:szCs w:val="20"/>
          <w:color w:val="auto"/>
        </w:rPr>
      </w:pPr>
      <w:r>
        <w:rPr>
          <w:rFonts w:ascii="Arial" w:cs="Arial" w:eastAsia="Arial" w:hAnsi="Arial"/>
          <w:sz w:val="17"/>
          <w:szCs w:val="17"/>
          <w:i w:val="1"/>
          <w:iCs w:val="1"/>
          <w:color w:val="auto"/>
        </w:rPr>
        <w:t xml:space="preserve">Taxation of Non-Israeli Shareholders on Receipt of Dividends. </w:t>
      </w:r>
      <w:r>
        <w:rPr>
          <w:rFonts w:ascii="Arial" w:cs="Arial" w:eastAsia="Arial" w:hAnsi="Arial"/>
          <w:sz w:val="17"/>
          <w:szCs w:val="17"/>
          <w:color w:val="auto"/>
        </w:rPr>
        <w:t>Non-Israeli residents are generally subject to Israeli</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on the receipt of dividends paid on our ordinary shares at the rate of 25%, unless relief is provided in a treaty between Israel and the shareholder’s country of residence. With respect to a person who is a “substantial shareholder” at the time of receiving the dividend or on any time during the preceding twelve months, the applicable tax rate is 30%. A “substantial shareholder” is generally a person who alone or together with such person’s relative or another person who collaborates with such person on a permanent basis, holds, directly or indirectly, at least 10% of any of the “means of control” of the corporation. “Means of control” generally include the right to vote, receive profits, nominate a director or an executive officer, receive assets upon liquidation, or order someone who holds any of the aforesaid rights how to act, regardless of the source of such right. Dividends paid on publicly traded shares, like our ordinary shares, to non-Israeli residents, although subject to the same tax rates applicable to dividends paid for non-publicly traded shares, are generally subject to Israeli withholding tax at a rate of 25%, so long as the shares are registered with a nominee company (whether the recipient is a substantial shareholder or not), unless a lower rate is provided under an applicable tax treaty. However, a distribution of dividends to non-Israeli residents is subject to withholding tax at source at a rate of 15% if the dividend is distributed from income attributed to an Approved Enterprise or a Benefited Enterprise (and 20% if the dividend is distributed from income</w:t>
      </w:r>
    </w:p>
    <w:p>
      <w:pPr>
        <w:spacing w:after="0" w:line="17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ind w:left="120" w:right="119"/>
        <w:spacing w:after="0" w:line="342" w:lineRule="auto"/>
        <w:rPr>
          <w:sz w:val="20"/>
          <w:szCs w:val="20"/>
          <w:color w:val="auto"/>
        </w:rPr>
      </w:pPr>
      <w:r>
        <w:rPr>
          <w:rFonts w:ascii="Arial" w:cs="Arial" w:eastAsia="Arial" w:hAnsi="Arial"/>
          <w:sz w:val="16"/>
          <w:szCs w:val="16"/>
          <w:color w:val="auto"/>
        </w:rPr>
        <w:t>attributed to a Preferred Enterprise), unless a reduced tax rate is provided under an applicable tax treaty. We cannot assure you that we will designate the profits that we may distribute in a way that will reduce shareholders’ tax liability.</w:t>
      </w:r>
    </w:p>
    <w:p>
      <w:pPr>
        <w:spacing w:after="0" w:line="124" w:lineRule="exact"/>
        <w:rPr>
          <w:sz w:val="20"/>
          <w:szCs w:val="20"/>
          <w:color w:val="auto"/>
        </w:rPr>
      </w:pPr>
    </w:p>
    <w:p>
      <w:pPr>
        <w:ind w:left="120" w:right="239" w:firstLine="216"/>
        <w:spacing w:after="0" w:line="270" w:lineRule="auto"/>
        <w:rPr>
          <w:sz w:val="20"/>
          <w:szCs w:val="20"/>
          <w:color w:val="auto"/>
        </w:rPr>
      </w:pPr>
      <w:r>
        <w:rPr>
          <w:rFonts w:ascii="Arial" w:cs="Arial" w:eastAsia="Arial" w:hAnsi="Arial"/>
          <w:sz w:val="17"/>
          <w:szCs w:val="17"/>
          <w:color w:val="auto"/>
        </w:rPr>
        <w:t>For example, under the United States-Israel Tax Treaty, the maximum rate of tax withheld at source in Israel on dividends paid to a holder of our ordinary shares who is a U.S. resident (for purposes of the United States-Israel Tax Treaty) is 25%. However, for dividends not generated by an Approved Enterprise, a Benefited Enterprise or a Preferred Enterprise and paid to a U.S. corporation holding 10% or more of the outstanding voting capital throughout the tax year in which the dividend is distributed as well as during the previous tax year, the maximum rate of withholding tax is generally 12.5%, provided that not more than 25% of the gross income for such preceding year consists of certain types of dividends and interest. Notwithstanding the foregoing, dividends distributed from income attributed to an Approved Enterprise, a Benefited Enterprise or a Preferred Enterprise are subject to withholding tax at ’the rate of 15% for such a United States corporate shareholder, provided that the condition related to our gross income for the previous year (as set forth in the previous sentence) is met.</w:t>
      </w:r>
    </w:p>
    <w:p>
      <w:pPr>
        <w:spacing w:after="0" w:line="178"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If the dividend is attributable partly to income derived from an Approved Enterprise, Benefited Enterprise or Preferred Enterprise, and partly to other sources of income, the withholding rate will be a blended rate reflecting the relative portions of the two types of income. U.S. residents who are subject to Israeli withholding tax on a dividend may be entitled to a credit or deduction for Untied States federal income tax purposes in the amount of the taxes withheld, subject to detailed rules contained in U.S. tax legislation.</w:t>
      </w:r>
    </w:p>
    <w:p>
      <w:pPr>
        <w:spacing w:after="0" w:line="188"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A non-Israeli resident who receives dividends from which tax was withheld is generally exempt from the obligation to file tax returns in Israel in respect of such income, provided that (i) such income was not derived from a business conducted in Israel by the taxpayer, and (ii) the taxpayer has no other taxable sources of income in Israel with respect to which a tax return is required to be filed.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Excess Tax</w:t>
      </w:r>
    </w:p>
    <w:p>
      <w:pPr>
        <w:spacing w:after="0" w:line="225" w:lineRule="exact"/>
        <w:rPr>
          <w:sz w:val="20"/>
          <w:szCs w:val="20"/>
          <w:color w:val="auto"/>
        </w:rPr>
      </w:pPr>
    </w:p>
    <w:p>
      <w:pPr>
        <w:ind w:left="120" w:right="499" w:firstLine="216"/>
        <w:spacing w:after="0" w:line="312" w:lineRule="auto"/>
        <w:rPr>
          <w:sz w:val="20"/>
          <w:szCs w:val="20"/>
          <w:color w:val="auto"/>
        </w:rPr>
      </w:pPr>
      <w:r>
        <w:rPr>
          <w:rFonts w:ascii="Arial" w:cs="Arial" w:eastAsia="Arial" w:hAnsi="Arial"/>
          <w:sz w:val="16"/>
          <w:szCs w:val="16"/>
          <w:color w:val="auto"/>
        </w:rPr>
        <w:t>Individuals who are subject to tax in Israel are also subject to an additional tax at a rate of 2% on annual income exceeding NIS 811,560 for 2014, which amount is linked to the annual change in the Israeli consumer price index, including, but not limited to, dividends, interest and capital gain, subject to the provisions of an applicable tax treaty.</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Estate and Gift Tax</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Federal Income Tax Consequences</w:t>
      </w:r>
    </w:p>
    <w:p>
      <w:pPr>
        <w:spacing w:after="0" w:line="229"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following is a description of the United States federal income tax consequences relating to the ownership and disposition of our ordinary shares by a U.S. Holder (as defined below). This description addresses only the United States federal income tax consequences to U.S. Holders that are initial purchasers of our ordinary shares pursuant to the offering and that will hold such ordinary shares as capital assets. This description does not address tax considerations applicable to U.S. Holders that may be subject to special tax rules, including, without limitation:</w:t>
      </w:r>
    </w:p>
    <w:p>
      <w:pPr>
        <w:spacing w:after="0" w:line="163" w:lineRule="exact"/>
        <w:rPr>
          <w:sz w:val="20"/>
          <w:szCs w:val="20"/>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banks, financial institutions or insurance companies;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real estate investment trusts, regulated investment companies or grantor trusts;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brokers, dealers or traders in securities, commodities or currencies;</w:t>
      </w:r>
    </w:p>
    <w:p>
      <w:pPr>
        <w:spacing w:after="0" w:line="215" w:lineRule="exact"/>
        <w:rPr>
          <w:rFonts w:ascii="Arial" w:cs="Arial" w:eastAsia="Arial" w:hAnsi="Arial"/>
          <w:sz w:val="22"/>
          <w:szCs w:val="22"/>
          <w:color w:val="auto"/>
        </w:rPr>
      </w:pPr>
    </w:p>
    <w:p>
      <w:pPr>
        <w:ind w:left="560" w:right="499" w:hanging="219"/>
        <w:spacing w:after="0" w:line="232" w:lineRule="auto"/>
        <w:tabs>
          <w:tab w:leader="none" w:pos="572" w:val="left"/>
        </w:tabs>
        <w:numPr>
          <w:ilvl w:val="0"/>
          <w:numId w:val="69"/>
        </w:numPr>
        <w:rPr>
          <w:rFonts w:ascii="Arial" w:cs="Arial" w:eastAsia="Arial" w:hAnsi="Arial"/>
          <w:sz w:val="22"/>
          <w:szCs w:val="22"/>
          <w:color w:val="auto"/>
        </w:rPr>
      </w:pPr>
      <w:r>
        <w:rPr>
          <w:rFonts w:ascii="Arial" w:cs="Arial" w:eastAsia="Arial" w:hAnsi="Arial"/>
          <w:sz w:val="18"/>
          <w:szCs w:val="18"/>
          <w:color w:val="auto"/>
        </w:rPr>
        <w:t>tax-exempt entities or organizations, including an “individual retirement account” or “Roth IRA” as defined in Section 408 or 408A of the Code, respectively;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certain former citizens or long-term residents of the United States;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69"/>
        </w:numPr>
        <w:rPr>
          <w:rFonts w:ascii="Arial" w:cs="Arial" w:eastAsia="Arial" w:hAnsi="Arial"/>
          <w:sz w:val="22"/>
          <w:szCs w:val="22"/>
          <w:color w:val="auto"/>
        </w:rPr>
      </w:pPr>
      <w:r>
        <w:rPr>
          <w:rFonts w:ascii="Arial" w:cs="Arial" w:eastAsia="Arial" w:hAnsi="Arial"/>
          <w:sz w:val="18"/>
          <w:szCs w:val="18"/>
          <w:color w:val="auto"/>
        </w:rPr>
        <w:t>persons that received our shares as compensation for the performance of services;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560" w:right="179" w:hanging="219"/>
        <w:spacing w:after="0" w:line="232" w:lineRule="auto"/>
        <w:tabs>
          <w:tab w:leader="none" w:pos="572" w:val="left"/>
        </w:tabs>
        <w:numPr>
          <w:ilvl w:val="0"/>
          <w:numId w:val="70"/>
        </w:numPr>
        <w:rPr>
          <w:rFonts w:ascii="Arial" w:cs="Arial" w:eastAsia="Arial" w:hAnsi="Arial"/>
          <w:sz w:val="22"/>
          <w:szCs w:val="22"/>
          <w:color w:val="auto"/>
        </w:rPr>
      </w:pPr>
      <w:r>
        <w:rPr>
          <w:rFonts w:ascii="Arial" w:cs="Arial" w:eastAsia="Arial" w:hAnsi="Arial"/>
          <w:sz w:val="18"/>
          <w:szCs w:val="18"/>
          <w:color w:val="auto"/>
        </w:rPr>
        <w:t>persons that will hold our shares as part of a “hedging,” “integrated” or “conversion” transaction or as a position in a “straddle” for U.S. federal income tax purposes;</w:t>
      </w:r>
    </w:p>
    <w:p>
      <w:pPr>
        <w:spacing w:after="0" w:line="217" w:lineRule="exact"/>
        <w:rPr>
          <w:rFonts w:ascii="Arial" w:cs="Arial" w:eastAsia="Arial" w:hAnsi="Arial"/>
          <w:sz w:val="22"/>
          <w:szCs w:val="22"/>
          <w:color w:val="auto"/>
        </w:rPr>
      </w:pPr>
    </w:p>
    <w:p>
      <w:pPr>
        <w:ind w:left="560" w:right="439" w:hanging="219"/>
        <w:spacing w:after="0" w:line="232" w:lineRule="auto"/>
        <w:tabs>
          <w:tab w:leader="none" w:pos="572" w:val="left"/>
        </w:tabs>
        <w:numPr>
          <w:ilvl w:val="0"/>
          <w:numId w:val="70"/>
        </w:numPr>
        <w:rPr>
          <w:rFonts w:ascii="Arial" w:cs="Arial" w:eastAsia="Arial" w:hAnsi="Arial"/>
          <w:sz w:val="22"/>
          <w:szCs w:val="22"/>
          <w:color w:val="auto"/>
        </w:rPr>
      </w:pPr>
      <w:r>
        <w:rPr>
          <w:rFonts w:ascii="Arial" w:cs="Arial" w:eastAsia="Arial" w:hAnsi="Arial"/>
          <w:sz w:val="18"/>
          <w:szCs w:val="18"/>
          <w:color w:val="auto"/>
        </w:rPr>
        <w:t>partnerships (including entities classified as partnerships for United State federal income tax purposes) or other pass-through entities, or holders that will hold our shares through such an entity;</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S corporations;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holders that acquire ordinary shares as a result of holding or owning our preferred shares;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0"/>
        </w:numPr>
        <w:rPr>
          <w:rFonts w:ascii="Arial" w:cs="Arial" w:eastAsia="Arial" w:hAnsi="Arial"/>
          <w:sz w:val="22"/>
          <w:szCs w:val="22"/>
          <w:color w:val="auto"/>
        </w:rPr>
      </w:pPr>
      <w:r>
        <w:rPr>
          <w:rFonts w:ascii="Arial" w:cs="Arial" w:eastAsia="Arial" w:hAnsi="Arial"/>
          <w:sz w:val="18"/>
          <w:szCs w:val="18"/>
          <w:color w:val="auto"/>
        </w:rPr>
        <w:t>U.S. holders whose “functional currency” is not the U.S. Dollar; or</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626" w:val="left"/>
        </w:tabs>
        <w:numPr>
          <w:ilvl w:val="0"/>
          <w:numId w:val="70"/>
        </w:numPr>
        <w:rPr>
          <w:rFonts w:ascii="Arial" w:cs="Arial" w:eastAsia="Arial" w:hAnsi="Arial"/>
          <w:sz w:val="22"/>
          <w:szCs w:val="22"/>
          <w:color w:val="auto"/>
        </w:rPr>
      </w:pPr>
      <w:r>
        <w:rPr>
          <w:rFonts w:ascii="Arial" w:cs="Arial" w:eastAsia="Arial" w:hAnsi="Arial"/>
          <w:sz w:val="18"/>
          <w:szCs w:val="18"/>
          <w:color w:val="auto"/>
        </w:rPr>
        <w:t>holders that own directly, indirectly or through attribution 10.0% or more of the voting power or value of our shares.</w:t>
      </w:r>
    </w:p>
    <w:p>
      <w:pPr>
        <w:spacing w:after="0" w:line="204"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Moreover, this description does not address the United States federal estate, gift or alternative minimum tax consequences, or any state, local or foreign tax consequences, of the ownership and disposition of our ordinary shares.</w:t>
      </w:r>
    </w:p>
    <w:p>
      <w:pPr>
        <w:spacing w:after="0" w:line="124" w:lineRule="exact"/>
        <w:rPr>
          <w:sz w:val="20"/>
          <w:szCs w:val="20"/>
          <w:color w:val="auto"/>
        </w:rPr>
      </w:pPr>
    </w:p>
    <w:p>
      <w:pPr>
        <w:ind w:left="120" w:right="299" w:firstLine="216"/>
        <w:spacing w:after="0" w:line="291" w:lineRule="auto"/>
        <w:rPr>
          <w:sz w:val="20"/>
          <w:szCs w:val="20"/>
          <w:color w:val="auto"/>
        </w:rPr>
      </w:pPr>
      <w:r>
        <w:rPr>
          <w:rFonts w:ascii="Arial" w:cs="Arial" w:eastAsia="Arial" w:hAnsi="Arial"/>
          <w:sz w:val="16"/>
          <w:szCs w:val="16"/>
          <w:color w:val="auto"/>
        </w:rPr>
        <w:t>This description is based on the Code, existing, proposed and temporary United States Treasury Regulations and judicial and administrative interpretations thereof, in each case as in effect and available on the date hereof. All of the foregoing is subject to change, which change could apply retroactively and could affect the tax consequences described below. There can be no assurances that the U.S. Internal Revenue Service, or IRS, will not take a different position concerning the tax consequences of the ownership and disposition of our ordinary shares or that such a position would not be sustained. Holders should consult their own tax advisors concerning the U.S. federal, state, local and foreign tax consequences of owning and disposing of our ordinary shares in their particular circumstances.</w:t>
      </w:r>
    </w:p>
    <w:p>
      <w:pPr>
        <w:spacing w:after="0" w:line="167" w:lineRule="exact"/>
        <w:rPr>
          <w:sz w:val="20"/>
          <w:szCs w:val="20"/>
          <w:color w:val="auto"/>
        </w:rPr>
      </w:pPr>
    </w:p>
    <w:p>
      <w:pPr>
        <w:ind w:left="120" w:right="359" w:firstLine="216"/>
        <w:spacing w:after="0" w:line="277" w:lineRule="auto"/>
        <w:rPr>
          <w:sz w:val="20"/>
          <w:szCs w:val="20"/>
          <w:color w:val="auto"/>
        </w:rPr>
      </w:pPr>
      <w:r>
        <w:rPr>
          <w:rFonts w:ascii="Arial" w:cs="Arial" w:eastAsia="Arial" w:hAnsi="Arial"/>
          <w:sz w:val="18"/>
          <w:szCs w:val="18"/>
          <w:color w:val="auto"/>
        </w:rPr>
        <w:t>For purposes of this description, a “U.S. Holder” is a beneficial owner of our ordinary shares that, for United States federal income tax purposes, is:</w:t>
      </w:r>
    </w:p>
    <w:p>
      <w:pPr>
        <w:spacing w:after="0" w:line="161" w:lineRule="exact"/>
        <w:rPr>
          <w:sz w:val="20"/>
          <w:szCs w:val="20"/>
          <w:color w:val="auto"/>
        </w:rPr>
      </w:pPr>
    </w:p>
    <w:p>
      <w:pPr>
        <w:ind w:left="560" w:hanging="219"/>
        <w:spacing w:after="0"/>
        <w:tabs>
          <w:tab w:leader="none" w:pos="560" w:val="left"/>
        </w:tabs>
        <w:numPr>
          <w:ilvl w:val="0"/>
          <w:numId w:val="71"/>
        </w:numPr>
        <w:rPr>
          <w:rFonts w:ascii="Arial" w:cs="Arial" w:eastAsia="Arial" w:hAnsi="Arial"/>
          <w:sz w:val="22"/>
          <w:szCs w:val="22"/>
          <w:color w:val="auto"/>
        </w:rPr>
      </w:pPr>
      <w:r>
        <w:rPr>
          <w:rFonts w:ascii="Arial" w:cs="Arial" w:eastAsia="Arial" w:hAnsi="Arial"/>
          <w:sz w:val="18"/>
          <w:szCs w:val="18"/>
          <w:color w:val="auto"/>
        </w:rPr>
        <w:t>a citizen or individual resident of the United States;</w:t>
      </w:r>
    </w:p>
    <w:p>
      <w:pPr>
        <w:spacing w:after="0" w:line="215" w:lineRule="exact"/>
        <w:rPr>
          <w:rFonts w:ascii="Arial" w:cs="Arial" w:eastAsia="Arial" w:hAnsi="Arial"/>
          <w:sz w:val="22"/>
          <w:szCs w:val="22"/>
          <w:color w:val="auto"/>
        </w:rPr>
      </w:pPr>
    </w:p>
    <w:p>
      <w:pPr>
        <w:ind w:left="560" w:right="579" w:hanging="219"/>
        <w:spacing w:after="0" w:line="232" w:lineRule="auto"/>
        <w:tabs>
          <w:tab w:leader="none" w:pos="572" w:val="left"/>
        </w:tabs>
        <w:numPr>
          <w:ilvl w:val="0"/>
          <w:numId w:val="71"/>
        </w:numPr>
        <w:rPr>
          <w:rFonts w:ascii="Arial" w:cs="Arial" w:eastAsia="Arial" w:hAnsi="Arial"/>
          <w:sz w:val="22"/>
          <w:szCs w:val="22"/>
          <w:color w:val="auto"/>
        </w:rPr>
      </w:pPr>
      <w:r>
        <w:rPr>
          <w:rFonts w:ascii="Arial" w:cs="Arial" w:eastAsia="Arial" w:hAnsi="Arial"/>
          <w:sz w:val="18"/>
          <w:szCs w:val="18"/>
          <w:color w:val="auto"/>
        </w:rPr>
        <w:t>a corporation created or organized in or under the laws of the United States or any state thereof, including the District of Columbia;</w:t>
      </w:r>
    </w:p>
    <w:p>
      <w:pPr>
        <w:spacing w:after="0" w:line="206" w:lineRule="exact"/>
        <w:rPr>
          <w:rFonts w:ascii="Arial" w:cs="Arial" w:eastAsia="Arial" w:hAnsi="Arial"/>
          <w:sz w:val="22"/>
          <w:szCs w:val="22"/>
          <w:color w:val="auto"/>
        </w:rPr>
      </w:pPr>
    </w:p>
    <w:p>
      <w:pPr>
        <w:ind w:left="560" w:hanging="219"/>
        <w:spacing w:after="0"/>
        <w:tabs>
          <w:tab w:leader="none" w:pos="560" w:val="left"/>
        </w:tabs>
        <w:numPr>
          <w:ilvl w:val="0"/>
          <w:numId w:val="71"/>
        </w:numPr>
        <w:rPr>
          <w:rFonts w:ascii="Arial" w:cs="Arial" w:eastAsia="Arial" w:hAnsi="Arial"/>
          <w:sz w:val="21"/>
          <w:szCs w:val="21"/>
          <w:color w:val="auto"/>
        </w:rPr>
      </w:pPr>
      <w:r>
        <w:rPr>
          <w:rFonts w:ascii="Arial" w:cs="Arial" w:eastAsia="Arial" w:hAnsi="Arial"/>
          <w:sz w:val="17"/>
          <w:szCs w:val="17"/>
          <w:color w:val="auto"/>
        </w:rPr>
        <w:t>an estate the income of which is subject to United States federal income taxation regardless of its source; or</w:t>
      </w:r>
    </w:p>
    <w:p>
      <w:pPr>
        <w:spacing w:after="0" w:line="215" w:lineRule="exact"/>
        <w:rPr>
          <w:rFonts w:ascii="Arial" w:cs="Arial" w:eastAsia="Arial" w:hAnsi="Arial"/>
          <w:sz w:val="21"/>
          <w:szCs w:val="21"/>
          <w:color w:val="auto"/>
        </w:rPr>
      </w:pPr>
    </w:p>
    <w:p>
      <w:pPr>
        <w:jc w:val="both"/>
        <w:ind w:left="560" w:right="119" w:hanging="219"/>
        <w:spacing w:after="0" w:line="285" w:lineRule="auto"/>
        <w:tabs>
          <w:tab w:leader="none" w:pos="572" w:val="left"/>
        </w:tabs>
        <w:numPr>
          <w:ilvl w:val="0"/>
          <w:numId w:val="71"/>
        </w:numPr>
        <w:rPr>
          <w:rFonts w:ascii="Arial" w:cs="Arial" w:eastAsia="Arial" w:hAnsi="Arial"/>
          <w:sz w:val="19"/>
          <w:szCs w:val="19"/>
          <w:color w:val="auto"/>
        </w:rPr>
      </w:pPr>
      <w:r>
        <w:rPr>
          <w:rFonts w:ascii="Arial" w:cs="Arial" w:eastAsia="Arial" w:hAnsi="Arial"/>
          <w:sz w:val="16"/>
          <w:szCs w:val="16"/>
          <w:color w:val="auto"/>
        </w:rPr>
        <w:t>a trust if such trust has validly elected to be treated as a United States person for U.S. federal income tax purposes or if (1) a court within the United States is able to exercise primary supervision over its administration and (2) one or more United States persons have the authority to control all of the substantial decisions of such trust.</w:t>
      </w:r>
    </w:p>
    <w:p>
      <w:pPr>
        <w:spacing w:after="0" w:line="168" w:lineRule="exact"/>
        <w:rPr>
          <w:sz w:val="20"/>
          <w:szCs w:val="20"/>
          <w:color w:val="auto"/>
        </w:rPr>
      </w:pPr>
    </w:p>
    <w:p>
      <w:pPr>
        <w:ind w:left="120" w:right="319" w:firstLine="216"/>
        <w:spacing w:after="0" w:line="302" w:lineRule="auto"/>
        <w:rPr>
          <w:sz w:val="20"/>
          <w:szCs w:val="20"/>
          <w:color w:val="auto"/>
        </w:rPr>
      </w:pPr>
      <w:r>
        <w:rPr>
          <w:rFonts w:ascii="Arial" w:cs="Arial" w:eastAsia="Arial" w:hAnsi="Arial"/>
          <w:sz w:val="16"/>
          <w:szCs w:val="16"/>
          <w:color w:val="auto"/>
        </w:rPr>
        <w:t>If a partnership (or any other entity treated as a partnership for United States federal income tax purposes) holds our ordinary shares, the tax treatment of a partner in such partnership will generally depend on the status of the partner and the activities of the partnership. Such a partner or partnership should consult its tax advisor as to the particular United States federal income tax consequences of owning and disposing of our ordinary shares in its particular circumstance.</w:t>
      </w:r>
    </w:p>
    <w:p>
      <w:pPr>
        <w:spacing w:after="0" w:line="150" w:lineRule="exact"/>
        <w:rPr>
          <w:sz w:val="20"/>
          <w:szCs w:val="20"/>
          <w:color w:val="auto"/>
        </w:rPr>
      </w:pPr>
    </w:p>
    <w:p>
      <w:pPr>
        <w:ind w:left="120" w:right="359"/>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owning and disposing of our ordinary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ind w:left="120" w:right="159" w:firstLine="216"/>
        <w:spacing w:after="0" w:line="255" w:lineRule="auto"/>
        <w:rPr>
          <w:sz w:val="20"/>
          <w:szCs w:val="20"/>
          <w:color w:val="auto"/>
        </w:rPr>
      </w:pPr>
      <w:r>
        <w:rPr>
          <w:rFonts w:ascii="Arial" w:cs="Arial" w:eastAsia="Arial" w:hAnsi="Arial"/>
          <w:sz w:val="18"/>
          <w:szCs w:val="18"/>
          <w:color w:val="auto"/>
        </w:rPr>
        <w:t>Subject to the discussion under “—Passive Foreign Investment Company Considerations” below, any distribution of cash or property with respect to our ordinary shares (including any amount of any Israeli tax withheld) will generally be treated as a dividend to the extent paid out of our current and accumulated earnings and profits, as determined under U.S. federal income tax principles, and will be includible in the gross income of a U.S. Holder on the date the distribution is actually or constructively received. The company does not intend to maintain calculations of its earnings and profits under U.S. federal income tax principles; therefore, any distribution (including for the avoidance of doubt any amount of any Israeli withholding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08" w:name="page109"/>
    <w:bookmarkEnd w:id="108"/>
    <w:p>
      <w:pPr>
        <w:ind w:left="120" w:right="139"/>
        <w:spacing w:after="0" w:line="277" w:lineRule="auto"/>
        <w:rPr>
          <w:sz w:val="20"/>
          <w:szCs w:val="20"/>
          <w:color w:val="auto"/>
        </w:rPr>
      </w:pPr>
      <w:r>
        <w:rPr>
          <w:rFonts w:ascii="Arial" w:cs="Arial" w:eastAsia="Arial" w:hAnsi="Arial"/>
          <w:sz w:val="18"/>
          <w:szCs w:val="18"/>
          <w:color w:val="auto"/>
        </w:rPr>
        <w:t>tax) will generally be treated as a “dividend” for U.S. federal income tax purposes. Any such dividend income will not be eligible for the dividends-received deduction allowed to corporate U.S. holders.</w:t>
      </w:r>
    </w:p>
    <w:p>
      <w:pPr>
        <w:spacing w:after="0" w:line="170" w:lineRule="exact"/>
        <w:rPr>
          <w:sz w:val="20"/>
          <w:szCs w:val="20"/>
          <w:color w:val="auto"/>
        </w:rPr>
      </w:pPr>
    </w:p>
    <w:p>
      <w:pPr>
        <w:ind w:left="120" w:right="119" w:firstLine="216"/>
        <w:spacing w:after="0" w:line="267" w:lineRule="auto"/>
        <w:rPr>
          <w:sz w:val="20"/>
          <w:szCs w:val="20"/>
          <w:color w:val="auto"/>
        </w:rPr>
      </w:pPr>
      <w:r>
        <w:rPr>
          <w:rFonts w:ascii="Arial" w:cs="Arial" w:eastAsia="Arial" w:hAnsi="Arial"/>
          <w:sz w:val="17"/>
          <w:szCs w:val="17"/>
          <w:color w:val="auto"/>
        </w:rPr>
        <w:t>Subject to the discussion under “—Passive Foreign Investment Company Considerations” below, and subject to certain holding period requirements and other conditions, dividends paid to non-corporate U.S. Holders, including individual U.S. Holders, may be eligible for preferential rates of taxation if the dividends are “qualified dividends” for U.S. federal income tax purposes. Dividends received with respect to our ordinary shares will be qualified dividends if the company (i) is eligible for the benefits of a comprehensive income tax treaty with the United States that the IRS has approved for the purposes of the qualified dividend rules, and (ii) was not, in the year prior to the year in which the dividend was paid, and is not, in the year in which the dividend is paid, a PFIC, for U.S. federal income tax purposes. The Convention between the Government of the United States of America and the Government of the State of Israel for the “Avoidance of Double Taxation and the Prevention of Fiscal Evasion with respect to Taxes on Income” together with the related Protocol (the “Treaty”) has been approved for the purposes of the qualified dividend rules. However, if the company is classified as a PFIC, for U.S. federal income tax purposes, for the current taxable year or any subsequent taxable year, the company will not be treated as a qualified foreign corporation for these purposes in those taxable years in which we are classified as a PFIC, and, thus, a non-corporate recipient of dividend income will not be eligible for the preferential rates of taxation. Although no assurances can be given, we believe that we will be treated as a qualified foreign corporation for these purposes for any taxable year in which such dividend was paid provided that we are not classified as a PFIC in the last year prior to the year in which such dividend is paid and the year in which such dividend is paid.</w:t>
      </w:r>
    </w:p>
    <w:p>
      <w:pPr>
        <w:spacing w:after="0" w:line="193" w:lineRule="exact"/>
        <w:rPr>
          <w:sz w:val="20"/>
          <w:szCs w:val="20"/>
          <w:color w:val="auto"/>
        </w:rPr>
      </w:pPr>
    </w:p>
    <w:p>
      <w:pPr>
        <w:ind w:left="120" w:right="159" w:firstLine="216"/>
        <w:spacing w:after="0" w:line="288" w:lineRule="auto"/>
        <w:rPr>
          <w:sz w:val="20"/>
          <w:szCs w:val="20"/>
          <w:color w:val="auto"/>
        </w:rPr>
      </w:pPr>
      <w:r>
        <w:rPr>
          <w:rFonts w:ascii="Arial" w:cs="Arial" w:eastAsia="Arial" w:hAnsi="Arial"/>
          <w:sz w:val="16"/>
          <w:szCs w:val="16"/>
          <w:color w:val="auto"/>
        </w:rPr>
        <w:t>The amount of any dividend paid in a foreign currency will be the U.S. dollar amount calculated by reference to the exchange rate in effect on the date of receipt, regardless of whether the payment is, in fact, converted into U.S. dollars. If the dividend is converted into U.S. dollars on the date of receipt, U.S. Holders generally will not be required to recognize foreign currency gain or loss in respect of the dividend income. However, a U.S. Holder may have foreign currency gain or loss if the dividend is converted into U.S. dollars after the date of receipt. The gain or loss will be equal to the difference, if any, between (i) the U.S. dollar value of the amount included in income when the dividend was received and (ii) the amount received on the conversion of the foreign currency into U.S. dollars. Generally, any such gain or loss will be treated as ordinary income or loss and generally will be treated as U.S. source income. U.S. Holders are encouraged to consult their tax advisers regarding the treatment of foreign currency gain or loss on any foreign currency received that is converted into U.S. dollars on a date subsequent to the date of receipt.</w:t>
      </w:r>
    </w:p>
    <w:p>
      <w:pPr>
        <w:spacing w:after="0" w:line="169"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A dividend distribution will generally be treated as foreign-source “passive” income for U.S. foreign tax credit purposes. A U.S. holder will be treated as having actually received the amount of Israeli taxes withheld from a dividend distribution and as having paid such amount to the Israeli taxing authorities. The amount that the U.S. Holder will include in gross income as a dividend will be greater than the amount of cash the U.S. Holder actually receives. A U.S. Holder may be entitled to deduct or credit any non-refundable Israeli withholding taxes on dividends, taking into account Treaty benefits, in determining its U.S. income tax liability, subject to certain limitations (including that the election to deduct or credit foreign taxes applies to all of such U.S. Holder’s foreign taxes for a particular tax year). The rules governing the calculation and timing of foreign tax credits and the deduction of foreign taxes are complex and depend upon a U.S. Holder’s particular circumstances.</w:t>
      </w:r>
    </w:p>
    <w:p>
      <w:pPr>
        <w:spacing w:after="0" w:line="182" w:lineRule="exact"/>
        <w:rPr>
          <w:sz w:val="20"/>
          <w:szCs w:val="20"/>
          <w:color w:val="auto"/>
        </w:rPr>
      </w:pPr>
    </w:p>
    <w:p>
      <w:pPr>
        <w:ind w:left="120" w:right="479" w:firstLine="216"/>
        <w:spacing w:after="0" w:line="277" w:lineRule="auto"/>
        <w:rPr>
          <w:sz w:val="20"/>
          <w:szCs w:val="20"/>
          <w:color w:val="auto"/>
        </w:rPr>
      </w:pPr>
      <w:r>
        <w:rPr>
          <w:rFonts w:ascii="Arial" w:cs="Arial" w:eastAsia="Arial" w:hAnsi="Arial"/>
          <w:sz w:val="18"/>
          <w:szCs w:val="18"/>
          <w:color w:val="auto"/>
        </w:rPr>
        <w:t>U.S. Holders should consult their tax advisers regarding the availability of the foreign tax credit in their particular circumstances.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Exchange, Redemption or other Taxable Disposition of Ordinary Shares</w:t>
      </w:r>
    </w:p>
    <w:p>
      <w:pPr>
        <w:spacing w:after="0" w:line="225" w:lineRule="exact"/>
        <w:rPr>
          <w:sz w:val="20"/>
          <w:szCs w:val="20"/>
          <w:color w:val="auto"/>
        </w:rPr>
      </w:pPr>
    </w:p>
    <w:p>
      <w:pPr>
        <w:ind w:left="120" w:right="139"/>
        <w:spacing w:after="0" w:line="269" w:lineRule="auto"/>
        <w:rPr>
          <w:sz w:val="20"/>
          <w:szCs w:val="20"/>
          <w:color w:val="auto"/>
        </w:rPr>
      </w:pPr>
      <w:r>
        <w:rPr>
          <w:rFonts w:ascii="Arial" w:cs="Arial" w:eastAsia="Arial" w:hAnsi="Arial"/>
          <w:sz w:val="17"/>
          <w:szCs w:val="17"/>
          <w:color w:val="auto"/>
        </w:rPr>
        <w:t>Subject to the discussion below under “Passive Foreign Investment Company Considerations,” a U.S. Holder generally will recognize gain or loss, for U.S. federal income tax purposes, on the sale, exchange or other taxable disposition of our ordinary shares, in an amount equal to the difference, if any, between the amount realized on such sale, exchange or other taxable disposition and the adjusted tax basis in such ordinary shares, and such gain or loss will be capital gain or loss, and will be long-term capital gain or loss if the ordinary shares have been held for more than one year. The adjusted tax basis in an ordinary share generally will be equal to the cost of such ordinary share. Except as discussed below with respect to foreign currency gain or loss, if you are a non-corporate U.S. Holder, long-term capital gain from the sale, exchange or other taxable disposition of ordinary shares is generally eligible for a preferential rate of taxation applicable to capital gains. The deductibility of capital losses for United States federal income tax purposes is subject to limitations under the Code. Any such gain or loss that a U.S. Holder recognizes generally will be treated as U.S. source income or loss for foreign tax credit limitation purposes.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9" w:name="page110"/>
    <w:bookmarkEnd w:id="109"/>
    <w:p>
      <w:pPr>
        <w:ind w:left="120" w:right="119" w:firstLine="216"/>
        <w:spacing w:after="0" w:line="270" w:lineRule="auto"/>
        <w:rPr>
          <w:sz w:val="20"/>
          <w:szCs w:val="20"/>
          <w:color w:val="auto"/>
        </w:rPr>
      </w:pPr>
      <w:r>
        <w:rPr>
          <w:rFonts w:ascii="Arial" w:cs="Arial" w:eastAsia="Arial" w:hAnsi="Arial"/>
          <w:sz w:val="17"/>
          <w:szCs w:val="17"/>
          <w:color w:val="auto"/>
        </w:rPr>
        <w:t>A U.S. Holder’s initial tax basis in the ordinary shares will generally be the U.S. dollar value of the purchase price of our ordinary shares on the date of purchase. If our ordinary shares are treated as traded on an ‘‘established securities market,’’ a cash basis U.S. Holder or, if it elects, an accrual basis U.S. Holder, will determine the U.S. dollar value of the cost of such ordinary shares by translating the amount paid at the spot rate of exchange on the settlement date of the purchase. Such an election by an accrual basis U.S. Holder must be applied consistently from year to year and cannot be revoked without the consent of the IRS. The amount realized generally will be the U.S. dollar value of the payment received determined on the date of disposition. If our ordinary shares are treated as traded on an established securities market, a cash basis taxpayer, or, if it elects, an accrual basis taxpayer, will determine the U.S. dollar value of the amount realized by translating the amount realized (as determined on the trade date) at the spot rate of exchange on the settlement date of the sale.</w:t>
      </w:r>
    </w:p>
    <w:p>
      <w:pPr>
        <w:spacing w:after="0" w:line="178" w:lineRule="exact"/>
        <w:rPr>
          <w:sz w:val="20"/>
          <w:szCs w:val="20"/>
          <w:color w:val="auto"/>
        </w:rPr>
      </w:pPr>
    </w:p>
    <w:p>
      <w:pPr>
        <w:ind w:left="120" w:right="159" w:firstLine="216"/>
        <w:spacing w:after="0" w:line="291" w:lineRule="auto"/>
        <w:rPr>
          <w:sz w:val="20"/>
          <w:szCs w:val="20"/>
          <w:color w:val="auto"/>
        </w:rPr>
      </w:pPr>
      <w:r>
        <w:rPr>
          <w:rFonts w:ascii="Arial" w:cs="Arial" w:eastAsia="Arial" w:hAnsi="Arial"/>
          <w:sz w:val="16"/>
          <w:szCs w:val="16"/>
          <w:color w:val="auto"/>
        </w:rPr>
        <w:t>The amount realized on a sale or other disposition of ordinary shares, for an amount in foreign currency, will be the U.S. dollar value of this amount on the date of sale or disposition. On the settlement date, the U.S. Holder will recognize U.S. source foreign currency gain or loss (taxable as ordinary income or loss) equal to the difference (if any) between the U.S. dollar value of the amount received based on the exchange rates in effect on the date of sale or other disposition and the settlement date. However, in the case of ordinary shares traded on an established securities market that are sold by a cash basis U.S. Holder (or an accrual basis U.S. Holder that so elects), the amount realized will be based on the exchange rate in effect on the settlement date for the sale, and no exchange gain or loss will be recognized at that time.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ind w:left="120" w:right="259" w:firstLine="216"/>
        <w:spacing w:after="0" w:line="259"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7" w:lineRule="exact"/>
        <w:rPr>
          <w:sz w:val="20"/>
          <w:szCs w:val="20"/>
          <w:color w:val="auto"/>
        </w:rPr>
      </w:pPr>
    </w:p>
    <w:p>
      <w:pPr>
        <w:jc w:val="both"/>
        <w:ind w:left="120" w:right="499" w:firstLine="216"/>
        <w:spacing w:after="0" w:line="264" w:lineRule="auto"/>
        <w:rPr>
          <w:sz w:val="20"/>
          <w:szCs w:val="20"/>
          <w:color w:val="auto"/>
        </w:rPr>
      </w:pPr>
      <w:r>
        <w:rPr>
          <w:rFonts w:ascii="Arial" w:cs="Arial" w:eastAsia="Arial" w:hAnsi="Arial"/>
          <w:sz w:val="18"/>
          <w:szCs w:val="18"/>
          <w:color w:val="auto"/>
        </w:rPr>
        <w:t>A non-U.S. corporation, such as our company, will be classified as a PFIC for federal income tax purposes in any taxable year in which, after applying certain look-through rules with respect to the income and assets of subsidiaries, either:</w:t>
      </w:r>
    </w:p>
    <w:p>
      <w:pPr>
        <w:spacing w:after="0" w:line="172" w:lineRule="exact"/>
        <w:rPr>
          <w:sz w:val="20"/>
          <w:szCs w:val="20"/>
          <w:color w:val="auto"/>
        </w:rPr>
      </w:pPr>
    </w:p>
    <w:p>
      <w:pPr>
        <w:ind w:left="560" w:hanging="219"/>
        <w:spacing w:after="0"/>
        <w:tabs>
          <w:tab w:leader="none" w:pos="560" w:val="left"/>
        </w:tabs>
        <w:numPr>
          <w:ilvl w:val="0"/>
          <w:numId w:val="72"/>
        </w:numPr>
        <w:rPr>
          <w:rFonts w:ascii="Arial" w:cs="Arial" w:eastAsia="Arial" w:hAnsi="Arial"/>
          <w:sz w:val="22"/>
          <w:szCs w:val="22"/>
          <w:color w:val="auto"/>
        </w:rPr>
      </w:pPr>
      <w:r>
        <w:rPr>
          <w:rFonts w:ascii="Arial" w:cs="Arial" w:eastAsia="Arial" w:hAnsi="Arial"/>
          <w:sz w:val="18"/>
          <w:szCs w:val="18"/>
          <w:color w:val="auto"/>
        </w:rPr>
        <w:t>at least 75% of its gross income is “passive income”; or</w:t>
      </w:r>
    </w:p>
    <w:p>
      <w:pPr>
        <w:spacing w:after="0" w:line="215" w:lineRule="exact"/>
        <w:rPr>
          <w:rFonts w:ascii="Arial" w:cs="Arial" w:eastAsia="Arial" w:hAnsi="Arial"/>
          <w:sz w:val="22"/>
          <w:szCs w:val="22"/>
          <w:color w:val="auto"/>
        </w:rPr>
      </w:pPr>
    </w:p>
    <w:p>
      <w:pPr>
        <w:jc w:val="both"/>
        <w:ind w:left="560" w:right="119" w:hanging="219"/>
        <w:spacing w:after="0" w:line="243" w:lineRule="auto"/>
        <w:tabs>
          <w:tab w:leader="none" w:pos="572" w:val="left"/>
        </w:tabs>
        <w:numPr>
          <w:ilvl w:val="0"/>
          <w:numId w:val="72"/>
        </w:numPr>
        <w:rPr>
          <w:rFonts w:ascii="Arial" w:cs="Arial" w:eastAsia="Arial" w:hAnsi="Arial"/>
          <w:sz w:val="22"/>
          <w:szCs w:val="22"/>
          <w:color w:val="auto"/>
        </w:rPr>
      </w:pPr>
      <w:r>
        <w:rPr>
          <w:rFonts w:ascii="Arial" w:cs="Arial" w:eastAsia="Arial" w:hAnsi="Arial"/>
          <w:sz w:val="18"/>
          <w:szCs w:val="18"/>
          <w:color w:val="auto"/>
        </w:rPr>
        <w:t>at least 50% of the average quarterly value of its total gross assets (which, assuming we were a non-publicly traded controlled foreign corporation, or CFC, for the year being tested may be measured by the adjusted tax basis of our assets or, if we were a publicly traded CFC or not a CFC, the total value of our assets may be measured in part by the market value of our ordinary shares, which is subject to change) is attributable to assets that produce “passive income” or are held for the production of passive income.</w:t>
      </w:r>
    </w:p>
    <w:p>
      <w:pPr>
        <w:spacing w:after="0" w:line="202" w:lineRule="exact"/>
        <w:rPr>
          <w:sz w:val="20"/>
          <w:szCs w:val="20"/>
          <w:color w:val="auto"/>
        </w:rPr>
      </w:pPr>
    </w:p>
    <w:p>
      <w:pPr>
        <w:ind w:left="120" w:right="139" w:firstLine="216"/>
        <w:spacing w:after="0" w:line="270" w:lineRule="auto"/>
        <w:rPr>
          <w:sz w:val="20"/>
          <w:szCs w:val="20"/>
          <w:color w:val="auto"/>
        </w:rPr>
      </w:pPr>
      <w:r>
        <w:rPr>
          <w:rFonts w:ascii="Arial" w:cs="Arial" w:eastAsia="Arial" w:hAnsi="Arial"/>
          <w:sz w:val="17"/>
          <w:szCs w:val="17"/>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directly or indirectly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we will continue to be treated as a PFIC with respect to such U.S. Holder in all succeeding years during which the U.S. Holder owns our ordinary shares, regardless of whether we continue to meet the tests described above.</w:t>
      </w:r>
    </w:p>
    <w:p>
      <w:pPr>
        <w:spacing w:after="0" w:line="182" w:lineRule="exact"/>
        <w:rPr>
          <w:sz w:val="20"/>
          <w:szCs w:val="20"/>
          <w:color w:val="auto"/>
        </w:rPr>
      </w:pPr>
    </w:p>
    <w:p>
      <w:pPr>
        <w:ind w:left="120" w:right="119" w:firstLine="216"/>
        <w:spacing w:after="0" w:line="271" w:lineRule="auto"/>
        <w:rPr>
          <w:sz w:val="20"/>
          <w:szCs w:val="20"/>
          <w:color w:val="auto"/>
        </w:rPr>
      </w:pPr>
      <w:r>
        <w:rPr>
          <w:rFonts w:ascii="Arial" w:cs="Arial" w:eastAsia="Arial" w:hAnsi="Arial"/>
          <w:sz w:val="17"/>
          <w:szCs w:val="17"/>
          <w:color w:val="auto"/>
        </w:rPr>
        <w:t>Based on certain estimates of our gross income and gross assets, our intended use of the proceeds of this offering, and the nature of our business, we do not expect that we will be classified as a PFIC for the taxable year ending December 31, 2014. However, because PFIC status is based on our income, assets and activities for the entire taxable year, it is not possible to determine whether we will be characterized as a PFIC for the 2014 taxable year until after the close of the year. Moreover, we must determine our PFIC status annually based on tests which are factual in nature, and our status in future years will depend on our income, assets and activities in those years. In addition, our status as a PFIC may depend on how quickly we utilize the cash proceeds from this offering in our business. There can be no assurance that we will not be considered a PFIC for any taxable year.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0" w:name="page111"/>
    <w:bookmarkEnd w:id="110"/>
    <w:p>
      <w:pPr>
        <w:ind w:left="120" w:right="219" w:firstLine="216"/>
        <w:spacing w:after="0" w:line="302" w:lineRule="auto"/>
        <w:rPr>
          <w:sz w:val="20"/>
          <w:szCs w:val="20"/>
          <w:color w:val="auto"/>
        </w:rPr>
      </w:pPr>
      <w:r>
        <w:rPr>
          <w:rFonts w:ascii="Arial" w:cs="Arial" w:eastAsia="Arial" w:hAnsi="Arial"/>
          <w:sz w:val="16"/>
          <w:szCs w:val="16"/>
          <w:color w:val="auto"/>
        </w:rPr>
        <w:t>Under certain attribution rules, if we are a PFIC, U.S. Holders will be deemed to own their proportionate share of our PFIC subsidiaries, such subsidiaries referred to as “lower-tier PFICs,” and will be subject to U.S. federal income tax in the manner discussed below on (1) a distribution to us on the shares of a “lower-tier PFIC” and (2) a disposition by us of shares of a “lower-tier PFIC,” both as if the holder directly held the shares of such “lower-tier PFIC.”</w:t>
      </w:r>
    </w:p>
    <w:p>
      <w:pPr>
        <w:spacing w:after="0" w:line="154" w:lineRule="exact"/>
        <w:rPr>
          <w:sz w:val="20"/>
          <w:szCs w:val="20"/>
          <w:color w:val="auto"/>
        </w:rPr>
      </w:pPr>
    </w:p>
    <w:p>
      <w:pPr>
        <w:ind w:left="120" w:right="199" w:firstLine="216"/>
        <w:spacing w:after="0" w:line="286" w:lineRule="auto"/>
        <w:rPr>
          <w:sz w:val="20"/>
          <w:szCs w:val="20"/>
          <w:color w:val="auto"/>
        </w:rPr>
      </w:pPr>
      <w:r>
        <w:rPr>
          <w:rFonts w:ascii="Arial" w:cs="Arial" w:eastAsia="Arial" w:hAnsi="Arial"/>
          <w:sz w:val="16"/>
          <w:szCs w:val="16"/>
          <w:color w:val="auto"/>
        </w:rPr>
        <w:t>If we are treated as a PFIC for any taxable year during which a U.S. Holder holds (or, as discussed in the previous paragraph, is deemed to hold) its ordinary shares, such holder will be subject to adverse U.S. federal income tax rules. In general, if a U.S. Holder disposes of shares of a PFIC (including an indirect disposition or a constructive disposition of shares of a “lower-tier PFIC”), gain recognized or deemed recognized by such holder would be allocated ratably over such holder’s holding period for the shares. The amounts allocated to the taxable year of disposition and to years before the entity became a PFIC, if any, would be treated as ordinary income. The amount allocated to each other taxable year would be subject to tax at the highest rate in effect for such taxable year for individuals or corporations, as appropriate, and an interest charge would be imposed on the tax attributable to such allocated amounts. Further, any distribution in respect of shares of a PFIC (or a distribution by a lower-tier PFIC to its shareholders that is deemed to be received by a U.S. Holder) in excess of 125% of the average of the annual distributions on such shares received or deemed to be received during the preceding three years or the U.S. Holder’s holding period, whichever is shorter, would be subject to taxation in the manner described above. In addition, dividend distributions made to you will not qualify for the preferential rates of taxation applicable to long-term capital gains discussed above under “Distributions.”</w:t>
      </w:r>
    </w:p>
    <w:p>
      <w:pPr>
        <w:spacing w:after="0" w:line="175" w:lineRule="exact"/>
        <w:rPr>
          <w:sz w:val="20"/>
          <w:szCs w:val="20"/>
          <w:color w:val="auto"/>
        </w:rPr>
      </w:pPr>
    </w:p>
    <w:p>
      <w:pPr>
        <w:ind w:left="120" w:right="279" w:firstLine="216"/>
        <w:spacing w:after="0" w:line="279"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(“QEF”) election to be taxed currently on its proportionate share of the PFIC’s ordinary income and net capital gains. However, we do not intend to provide the information necessary for a U.S. Holder to make a QEF election, if we are classified as a PFIC.</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If we are a PFIC and our ordinary shares are “regularly traded” on a “qualified exchange,” a U.S. Holder may make a mark-to-market election with respect to our ordinary shares (but not the shares of any lower-tier PFICs), which may help to mitigate the adverse tax consequences resulting from our PFIC status (but not that of any lower-tier PFICs). Our ordinary shares will be treated as “regularly traded” in any calendar year in which more than a de minimis quantity of the ordinary shares are traded on a qualified exchange on at least 15 days during each calendar quarter (subject to the rule that trades that have as one of their principal purposes the meeting of the trading requirement are disregarded). The Nasdaq Global Market is a qualified exchange for this purpose and, consequently, if the ordinary shares are regularly traded, the mark-to-market election will be available to a U.S. Holder; however, there can be no assurance that trading volumes will be sufficient to permit a mark-to-market election. In addition, because a mark-to-market election with respect to us does not apply to any equity interests in “lower-tier PFICs” that we own, a U.S. Holder generally will continue to be subject to the PFIC rules with respect to its indirect interest in any investments held by us that are treated as equity interests in a PFIC for U.S. federal income tax purposes.</w:t>
      </w:r>
    </w:p>
    <w:p>
      <w:pPr>
        <w:spacing w:after="0" w:line="169" w:lineRule="exact"/>
        <w:rPr>
          <w:sz w:val="20"/>
          <w:szCs w:val="20"/>
          <w:color w:val="auto"/>
        </w:rPr>
      </w:pPr>
    </w:p>
    <w:p>
      <w:pPr>
        <w:ind w:left="120" w:right="139" w:firstLine="216"/>
        <w:spacing w:after="0" w:line="286" w:lineRule="auto"/>
        <w:rPr>
          <w:sz w:val="20"/>
          <w:szCs w:val="20"/>
          <w:color w:val="auto"/>
        </w:rPr>
      </w:pPr>
      <w:r>
        <w:rPr>
          <w:rFonts w:ascii="Arial" w:cs="Arial" w:eastAsia="Arial" w:hAnsi="Arial"/>
          <w:sz w:val="16"/>
          <w:szCs w:val="16"/>
          <w:color w:val="auto"/>
        </w:rPr>
        <w:t>If a U.S. Holder makes the mark-to-market election, for each year in which we are a PFIC, the holder will generally include as ordinary income the excess, if any, of the fair market value of ordinary shares at the end of the taxable year over their adjusted tax basis, and will be permitted an ordinary loss in respect of the excess, if any, of the adjusted tax basis of our ordinary shares over their fair market value at the end of the taxable year (but only to the extent of the net amount of previously included income as a result of the mark-to-market election). If a U.S. Holder makes the election, the holder’s tax basis in our ordinary shares will be adjusted to reflect any such income or loss amounts. Any gain recognized on a sale or other disposition of our ordinary shares will be treated as ordinary income. Any losses recognized on a sale or other disposition of our ordinary shares will be treated as ordinary loss to the extent of any net mark-to-market gains for prior years. U.S. Holders should consult their own tax advisors regarding the availability and consequences of making a mark-to-market election in their particular circumstances. In particular, U.S. Holders should consider carefully the impact of a mark-to-market election with respect to our ordinary shares if we have “lower-tier PFICs” for which such election is not available. Once made, the mark-to-market election cannot be revoked without the consent of the IRS unless our ordinary shares cease to be “regularly traded.”</w:t>
      </w:r>
    </w:p>
    <w:p>
      <w:pPr>
        <w:spacing w:after="0" w:line="175" w:lineRule="exact"/>
        <w:rPr>
          <w:sz w:val="20"/>
          <w:szCs w:val="20"/>
          <w:color w:val="auto"/>
        </w:rPr>
      </w:pPr>
    </w:p>
    <w:p>
      <w:pPr>
        <w:ind w:left="120" w:right="379" w:firstLine="216"/>
        <w:spacing w:after="0" w:line="264" w:lineRule="auto"/>
        <w:rPr>
          <w:sz w:val="20"/>
          <w:szCs w:val="20"/>
          <w:color w:val="auto"/>
        </w:rPr>
      </w:pPr>
      <w:r>
        <w:rPr>
          <w:rFonts w:ascii="Arial" w:cs="Arial" w:eastAsia="Arial" w:hAnsi="Arial"/>
          <w:sz w:val="18"/>
          <w:szCs w:val="18"/>
          <w:color w:val="auto"/>
        </w:rPr>
        <w:t>If a U.S. Holder owns ordinary shares during any year in which we are a PFIC, the U.S. Holder generally will be required to file an IRS Form 8621 (Information Return by a Shareholder of a Passive Foreign Investment Company or Qualified</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1" w:name="page112"/>
    <w:bookmarkEnd w:id="111"/>
    <w:p>
      <w:pPr>
        <w:ind w:left="120" w:right="339"/>
        <w:spacing w:after="0" w:line="264" w:lineRule="auto"/>
        <w:rPr>
          <w:sz w:val="20"/>
          <w:szCs w:val="20"/>
          <w:color w:val="auto"/>
        </w:rPr>
      </w:pPr>
      <w:r>
        <w:rPr>
          <w:rFonts w:ascii="Arial" w:cs="Arial" w:eastAsia="Arial" w:hAnsi="Arial"/>
          <w:sz w:val="18"/>
          <w:szCs w:val="18"/>
          <w:color w:val="auto"/>
        </w:rPr>
        <w:t>Electing Fund) with respect to the company, generally with the U.S. Holder’s federal income tax return for that year. If our company were a PFIC for a given taxable year, then you should consult your tax advisor concerning your annual filing requirements.</w:t>
      </w:r>
    </w:p>
    <w:p>
      <w:pPr>
        <w:spacing w:after="0" w:line="181" w:lineRule="exact"/>
        <w:rPr>
          <w:sz w:val="20"/>
          <w:szCs w:val="20"/>
          <w:color w:val="auto"/>
        </w:rPr>
      </w:pPr>
    </w:p>
    <w:p>
      <w:pPr>
        <w:ind w:left="120" w:right="399" w:firstLine="216"/>
        <w:spacing w:after="0" w:line="277" w:lineRule="auto"/>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Medicare Tax</w:t>
      </w:r>
    </w:p>
    <w:p>
      <w:pPr>
        <w:spacing w:after="0" w:line="225" w:lineRule="exact"/>
        <w:rPr>
          <w:sz w:val="20"/>
          <w:szCs w:val="20"/>
          <w:color w:val="auto"/>
        </w:rPr>
      </w:pPr>
    </w:p>
    <w:p>
      <w:pPr>
        <w:ind w:left="120" w:right="379" w:firstLine="216"/>
        <w:spacing w:after="0" w:line="302" w:lineRule="auto"/>
        <w:rPr>
          <w:sz w:val="20"/>
          <w:szCs w:val="20"/>
          <w:color w:val="auto"/>
        </w:rPr>
      </w:pPr>
      <w:r>
        <w:rPr>
          <w:rFonts w:ascii="Arial" w:cs="Arial" w:eastAsia="Arial" w:hAnsi="Arial"/>
          <w:sz w:val="16"/>
          <w:szCs w:val="16"/>
          <w:color w:val="auto"/>
        </w:rPr>
        <w:t>Certain U.S. Holders that are individuals, estates or trusts are subject to a 3.8% tax on all or a portion of their “net investment income,” which may include all or a portion of their dividend income and net gains from the disposition of ordinary shares. Each U.S. Holder that is an individual, estate or trust is urged to consult its tax advisors regarding the applicability of the Medicare tax to its income and gains in respect of its investment in our ordinary shares.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ind w:left="120" w:right="139" w:firstLine="216"/>
        <w:spacing w:after="0" w:line="269" w:lineRule="auto"/>
        <w:rPr>
          <w:sz w:val="20"/>
          <w:szCs w:val="20"/>
          <w:color w:val="auto"/>
        </w:rPr>
      </w:pPr>
      <w:r>
        <w:rPr>
          <w:rFonts w:ascii="Arial" w:cs="Arial" w:eastAsia="Arial" w:hAnsi="Arial"/>
          <w:sz w:val="17"/>
          <w:szCs w:val="17"/>
          <w:color w:val="auto"/>
        </w:rPr>
        <w:t>United States backup withholding tax and information reporting requirements may apply to certain payments to certain holders of stock. Information reporting generally will apply to payments of dividends on, and to proceeds from the sale or redemption of, our ordinary shares made within the United States, or by a United States payor or United States middleman, to a holder of our ordinary shares, other than an exempt recipient (including a payee that is not a United States person that provides an appropriate certification and certain other persons). A payor will be required to withhold backup withholding tax from any payments of dividends on, or the proceeds from the sale or redemption of, ordinary shares within the United States, or by a United States payor or United States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United States federal income tax liability, if any, and any excess amounts withheld under the backup withholding rules may be refunded, provided that the required information is timely furnished to the IRS.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ind w:left="120" w:right="239" w:firstLine="216"/>
        <w:spacing w:after="0" w:line="276" w:lineRule="auto"/>
        <w:rPr>
          <w:sz w:val="20"/>
          <w:szCs w:val="20"/>
          <w:color w:val="auto"/>
        </w:rPr>
      </w:pPr>
      <w:r>
        <w:rPr>
          <w:rFonts w:ascii="Arial" w:cs="Arial" w:eastAsia="Arial" w:hAnsi="Arial"/>
          <w:sz w:val="17"/>
          <w:szCs w:val="17"/>
          <w:color w:val="auto"/>
        </w:rPr>
        <w:t>Certain U.S. Holders who are individuals may be required to report information relating to an interest in our ordinary shares,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our ordinary shares.</w:t>
      </w:r>
    </w:p>
    <w:p>
      <w:pPr>
        <w:spacing w:after="0" w:line="169" w:lineRule="exact"/>
        <w:rPr>
          <w:sz w:val="20"/>
          <w:szCs w:val="20"/>
          <w:color w:val="auto"/>
        </w:rPr>
      </w:pPr>
    </w:p>
    <w:p>
      <w:pPr>
        <w:jc w:val="both"/>
        <w:ind w:left="120" w:right="799"/>
        <w:spacing w:after="0" w:line="266" w:lineRule="auto"/>
        <w:rPr>
          <w:sz w:val="20"/>
          <w:szCs w:val="20"/>
          <w:color w:val="auto"/>
        </w:rPr>
      </w:pPr>
      <w:r>
        <w:rPr>
          <w:rFonts w:ascii="Arial" w:cs="Arial" w:eastAsia="Arial" w:hAnsi="Arial"/>
          <w:sz w:val="18"/>
          <w:szCs w:val="18"/>
          <w:b w:val="1"/>
          <w:bCs w:val="1"/>
          <w:color w:val="auto"/>
        </w:rPr>
        <w:t>The above description is not intended to constitute a complete analysis of all tax consequences relating to ownership and disposition of our ordinary shares. You should consult your tax advisor concerning the tax consequences of your particular situation.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Barclays Capital Inc. and Citigroup Global Markets Inc. are acting as representatives of the underwriters and joint book-running managers of this offering. Under the terms of an underwriting agreement, which will be filed as an exhibit to the registration statement, each of the underwriters named below has severally agreed to purchase from us the respective number of ordinary shares shown opposite its name below:</w:t>
      </w: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r>
      <w:tr>
        <w:trPr>
          <w:trHeight w:val="234"/>
        </w:trPr>
        <w:tc>
          <w:tcPr>
            <w:tcW w:w="7380" w:type="dxa"/>
            <w:vAlign w:val="bottom"/>
            <w:gridSpan w:val="3"/>
          </w:tcPr>
          <w:p>
            <w:pPr>
              <w:spacing w:after="0"/>
              <w:rPr>
                <w:sz w:val="20"/>
                <w:szCs w:val="20"/>
                <w:color w:val="auto"/>
              </w:rPr>
            </w:pPr>
            <w:r>
              <w:rPr>
                <w:rFonts w:ascii="Arial" w:cs="Arial" w:eastAsia="Arial" w:hAnsi="Arial"/>
                <w:sz w:val="18"/>
                <w:szCs w:val="18"/>
                <w:b w:val="1"/>
                <w:bCs w:val="1"/>
                <w:color w:val="auto"/>
              </w:rPr>
              <w:t>Underwriters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-121920</wp:posOffset>
            </wp:positionV>
            <wp:extent cx="557403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57403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462905" cy="3175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62905" cy="31750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120" w:right="459" w:firstLine="216"/>
        <w:spacing w:after="0" w:line="277" w:lineRule="auto"/>
        <w:rPr>
          <w:sz w:val="20"/>
          <w:szCs w:val="20"/>
          <w:color w:val="auto"/>
        </w:rPr>
      </w:pPr>
      <w:r>
        <w:rPr>
          <w:rFonts w:ascii="Arial" w:cs="Arial" w:eastAsia="Arial" w:hAnsi="Arial"/>
          <w:sz w:val="18"/>
          <w:szCs w:val="18"/>
          <w:color w:val="auto"/>
        </w:rPr>
        <w:t>The underwriting agreement provides that the underwriters’ obligation to purchase ordinary shares depends on the satisfaction of the conditions contained in the underwriting agreement including:</w:t>
      </w:r>
    </w:p>
    <w:p>
      <w:pPr>
        <w:spacing w:after="0" w:line="184" w:lineRule="exact"/>
        <w:rPr>
          <w:sz w:val="20"/>
          <w:szCs w:val="20"/>
          <w:color w:val="auto"/>
        </w:rPr>
      </w:pPr>
    </w:p>
    <w:p>
      <w:pPr>
        <w:ind w:left="560" w:right="419" w:hanging="219"/>
        <w:spacing w:after="0" w:line="297" w:lineRule="auto"/>
        <w:tabs>
          <w:tab w:leader="none" w:pos="572" w:val="left"/>
        </w:tabs>
        <w:numPr>
          <w:ilvl w:val="0"/>
          <w:numId w:val="73"/>
        </w:numPr>
        <w:rPr>
          <w:rFonts w:ascii="Arial" w:cs="Arial" w:eastAsia="Arial" w:hAnsi="Arial"/>
          <w:sz w:val="19"/>
          <w:szCs w:val="19"/>
          <w:color w:val="auto"/>
        </w:rPr>
      </w:pPr>
      <w:r>
        <w:rPr>
          <w:rFonts w:ascii="Arial" w:cs="Arial" w:eastAsia="Arial" w:hAnsi="Arial"/>
          <w:sz w:val="16"/>
          <w:szCs w:val="16"/>
          <w:color w:val="auto"/>
        </w:rPr>
        <w:t>the obligation to purchase all of the ordinary shares offered hereby (other than those ordinary shares covered by their option to purchase additional shares as described below), if any of the shares are purchased;</w:t>
      </w:r>
    </w:p>
    <w:p>
      <w:pPr>
        <w:spacing w:after="0" w:line="141" w:lineRule="exact"/>
        <w:rPr>
          <w:rFonts w:ascii="Arial" w:cs="Arial" w:eastAsia="Arial" w:hAnsi="Arial"/>
          <w:sz w:val="19"/>
          <w:szCs w:val="19"/>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the representations and warranties made by us to the underwriters are true;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there is no material change in our business or the financial markets; and</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3"/>
        </w:numPr>
        <w:rPr>
          <w:rFonts w:ascii="Arial" w:cs="Arial" w:eastAsia="Arial" w:hAnsi="Arial"/>
          <w:sz w:val="22"/>
          <w:szCs w:val="22"/>
          <w:color w:val="auto"/>
        </w:rPr>
      </w:pPr>
      <w:r>
        <w:rPr>
          <w:rFonts w:ascii="Arial" w:cs="Arial" w:eastAsia="Arial" w:hAnsi="Arial"/>
          <w:sz w:val="18"/>
          <w:szCs w:val="18"/>
          <w:color w:val="auto"/>
        </w:rPr>
        <w:t>we deliver customary closing documents to the underwriters.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Expenses</w:t>
      </w:r>
    </w:p>
    <w:p>
      <w:pPr>
        <w:spacing w:after="0" w:line="229"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The following table summarizes the underwriting discounts and commissions we will pay to the underwriters. These amounts are shown assuming both no exercise and full exercise of the underwriters’ option to purchase additional shares. The underwriting fee is the difference between the initial price to the public and the amount the underwriters pay to us for the ordinary shares.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40" w:type="dxa"/>
            <w:vAlign w:val="bottom"/>
          </w:tcPr>
          <w:p>
            <w:pPr>
              <w:jc w:val="right"/>
              <w:ind w:right="142"/>
              <w:spacing w:after="0"/>
              <w:rPr>
                <w:sz w:val="20"/>
                <w:szCs w:val="20"/>
                <w:color w:val="auto"/>
              </w:rPr>
            </w:pPr>
            <w:r>
              <w:rPr>
                <w:rFonts w:ascii="Arial" w:cs="Arial" w:eastAsia="Arial" w:hAnsi="Arial"/>
                <w:sz w:val="16"/>
                <w:szCs w:val="16"/>
                <w:b w:val="1"/>
                <w:bCs w:val="1"/>
                <w:color w:val="auto"/>
              </w:rPr>
              <w:t>No Exercise</w:t>
            </w:r>
          </w:p>
        </w:tc>
        <w:tc>
          <w:tcPr>
            <w:tcW w:w="34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Full Exercise</w:t>
            </w:r>
          </w:p>
        </w:tc>
      </w:tr>
      <w:tr>
        <w:trPr>
          <w:trHeight w:val="216"/>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5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2"/>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8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r>
    </w:tbl>
    <w:p>
      <w:pPr>
        <w:spacing w:after="0" w:line="160" w:lineRule="exact"/>
        <w:rPr>
          <w:sz w:val="20"/>
          <w:szCs w:val="20"/>
          <w:color w:val="auto"/>
        </w:rPr>
      </w:pPr>
    </w:p>
    <w:p>
      <w:pPr>
        <w:ind w:left="120" w:right="239" w:firstLine="216"/>
        <w:spacing w:after="0" w:line="259" w:lineRule="auto"/>
        <w:rPr>
          <w:sz w:val="20"/>
          <w:szCs w:val="20"/>
          <w:color w:val="auto"/>
        </w:rPr>
      </w:pPr>
      <w:r>
        <w:rPr>
          <w:rFonts w:ascii="Arial" w:cs="Arial" w:eastAsia="Arial" w:hAnsi="Arial"/>
          <w:sz w:val="18"/>
          <w:szCs w:val="18"/>
          <w:color w:val="auto"/>
        </w:rPr>
        <w:t>The representatives have advised us that the underwriters propose to offer the ordinary shares directly to the public at the public offering price set forth on the cover of this prospectus and to selected dealers, which may include the underwriters, at such offering price less a selling concession not in excess of $ per share. After the offering, the representatives may change the offering price and other selling terms.</w:t>
      </w:r>
    </w:p>
    <w:p>
      <w:pPr>
        <w:sectPr>
          <w:pgSz w:w="11900" w:h="16838" w:orient="portrait"/>
          <w:cols w:equalWidth="0" w:num="1">
            <w:col w:w="9019"/>
          </w:cols>
          <w:pgMar w:left="1440" w:top="337" w:right="1440" w:bottom="1440" w:gutter="0" w:footer="0" w:header="0"/>
        </w:sectPr>
      </w:pPr>
    </w:p>
    <w:p>
      <w:pPr>
        <w:spacing w:after="0" w:line="187" w:lineRule="exact"/>
        <w:rPr>
          <w:sz w:val="20"/>
          <w:szCs w:val="20"/>
          <w:color w:val="auto"/>
        </w:rPr>
      </w:pPr>
    </w:p>
    <w:p>
      <w:pPr>
        <w:ind w:left="120" w:firstLine="216"/>
        <w:spacing w:after="0" w:line="277" w:lineRule="auto"/>
        <w:rPr>
          <w:sz w:val="20"/>
          <w:szCs w:val="20"/>
          <w:color w:val="auto"/>
        </w:rPr>
      </w:pPr>
      <w:r>
        <w:rPr>
          <w:rFonts w:ascii="Arial" w:cs="Arial" w:eastAsia="Arial" w:hAnsi="Arial"/>
          <w:sz w:val="18"/>
          <w:szCs w:val="18"/>
          <w:color w:val="auto"/>
        </w:rPr>
        <w:t>The expenses of the offering that are payable by us are estimated to be approximately $ discounts and commissions).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(excluding underwriting</w:t>
      </w:r>
    </w:p>
    <w:p>
      <w:pPr>
        <w:spacing w:after="0" w:line="459" w:lineRule="exact"/>
        <w:rPr>
          <w:sz w:val="20"/>
          <w:szCs w:val="20"/>
          <w:color w:val="auto"/>
        </w:rPr>
      </w:pPr>
    </w:p>
    <w:p>
      <w:pPr>
        <w:sectPr>
          <w:pgSz w:w="11900" w:h="16838" w:orient="portrait"/>
          <w:cols w:equalWidth="0" w:num="2">
            <w:col w:w="6640" w:space="300"/>
            <w:col w:w="2079"/>
          </w:cols>
          <w:pgMar w:left="1440" w:top="337" w:right="1440"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granted the underwriters an option exercisable for 30 days after the date of this prospectus to purchase, from</w:t>
      </w:r>
    </w:p>
    <w:p>
      <w:pPr>
        <w:spacing w:after="0" w:line="46" w:lineRule="exact"/>
        <w:rPr>
          <w:sz w:val="20"/>
          <w:szCs w:val="20"/>
          <w:color w:val="auto"/>
        </w:rPr>
      </w:pPr>
    </w:p>
    <w:p>
      <w:pPr>
        <w:ind w:left="120" w:right="199"/>
        <w:spacing w:after="0" w:line="295" w:lineRule="auto"/>
        <w:rPr>
          <w:sz w:val="20"/>
          <w:szCs w:val="20"/>
          <w:color w:val="auto"/>
        </w:rPr>
      </w:pPr>
      <w:r>
        <w:rPr>
          <w:rFonts w:ascii="Arial" w:cs="Arial" w:eastAsia="Arial" w:hAnsi="Arial"/>
          <w:sz w:val="16"/>
          <w:szCs w:val="16"/>
          <w:color w:val="auto"/>
        </w:rPr>
        <w:t>time to time, in whole or in part, up to an aggregate of shares from us at the public offering price less underwriting discounts and commissions. To the extent that this option is exercised, each underwriter will be obligated, subject to certain conditions, to purchase its pro rata portion of these additional shares based on the underwriter’s percentage underwriting commitment in the offering as indicated in the table at the beginning of this Underwriting Section.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3" w:name="page114"/>
    <w:bookmarkEnd w:id="113"/>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179" w:firstLine="216"/>
        <w:spacing w:after="0" w:line="285" w:lineRule="auto"/>
        <w:rPr>
          <w:sz w:val="20"/>
          <w:szCs w:val="20"/>
          <w:color w:val="auto"/>
        </w:rPr>
      </w:pPr>
      <w:r>
        <w:rPr>
          <w:rFonts w:ascii="Arial" w:cs="Arial" w:eastAsia="Arial" w:hAnsi="Arial"/>
          <w:sz w:val="16"/>
          <w:szCs w:val="16"/>
          <w:color w:val="auto"/>
        </w:rPr>
        <w:t>We, all of our directors and executive officers and holders of substantially all of our outstanding shares and shares issuable upon the exercise of warrants and vested options, have agreed that, for a period of 180 days after the date of this prospectus subject to certain limited exceptions, including those described below, we and they will not directly or indirectly, without the prior written consent of each of Barclays Capital Inc. and Citigroup Global Markets Inc., (1) offer for sale, sell, pledge, or otherwise dispose of (or enter into any transaction or device that is designed to, or could be expected to, result in the disposition by any person at any time in the future of) any ordinary shares (including, without limitation, ordinary shares that may be deemed to be beneficially owned by us or them in accordance with the rules and regulations of the SEC and ordinary shares that may be issued upon exercise of any options or warrants) or securities convertible into or exercisable or exchangeable for ordinary shares (other than, with respect to us, ordinary shares issued pursuant to employee benefit plans, qualified share option plans, or other employee compensation plans existing on the date of this prospectus), or sell or grant options, rights or warrants with respect to any ordinary shares or securities convertible into or exchangeable for ordinary shares (other than, with respect to us, the grant of options pursuant to option plans existing on the date of this prospectus), (2) enter into any swap or other derivatives transaction that transfers to another, in whole or in part, any of the economic benefits or risks of ownership of ordinary shares, whether any such transaction described in clause (1) or (2) above is to be settled by delivery of ordinary shares or other securities, in cash or otherwise, (3) make any demand for or exercise any right or file or cause to be filed a registration statement, including any amendments thereto, with respect to the registration of any ordinary shares or securities convertible into or exercisable or exchangeable for ordinary shares or any of our other securities (other than any registration statement on Form S-8), or (4) publicly disclose the intention to do any of the foregoing.</w:t>
      </w:r>
    </w:p>
    <w:p>
      <w:pPr>
        <w:spacing w:after="0" w:line="171" w:lineRule="exact"/>
        <w:rPr>
          <w:sz w:val="20"/>
          <w:szCs w:val="20"/>
          <w:color w:val="auto"/>
        </w:rPr>
      </w:pPr>
    </w:p>
    <w:p>
      <w:pPr>
        <w:ind w:left="120" w:right="159" w:firstLine="216"/>
        <w:spacing w:after="0" w:line="287" w:lineRule="auto"/>
        <w:rPr>
          <w:sz w:val="20"/>
          <w:szCs w:val="20"/>
          <w:color w:val="auto"/>
        </w:rPr>
      </w:pPr>
      <w:r>
        <w:rPr>
          <w:rFonts w:ascii="Arial" w:cs="Arial" w:eastAsia="Arial" w:hAnsi="Arial"/>
          <w:sz w:val="16"/>
          <w:szCs w:val="16"/>
          <w:color w:val="auto"/>
        </w:rPr>
        <w:t>Barclays Capital Inc. and Citigroup Global Markets Inc., in their sole discretion, may release the ordinary shares and other securities subject to the lock-up agreements described above in whole or in part at any time. When determining whether or not to release ordinary shares and other securities from lock-up agreements, Barclays Capital Inc. and Citigroup Global Markets Inc. will consider, among other factors, the holder’s reasons for requesting the release, the number of ordinary shares and other securities for which the release is being requested and market conditions at the time. At least three business days before the effectiveness of any release or waiver of any of the restrictions described above with respect to any of our officers or directors, Barclays Capital Inc. and Citigroup Global Markets Inc. will notify us of the impending release or waiver and we have agreed to announce the impending release or waiver by press release through a major news service at least two business days before the effective date of the release or waiver, except where the release or waiver is effected solely to permit a transfer of ordinary shares that is not for consideration and where the transferee has agreed in writing to be bound by the same terms as the lock-up agreements described above to the extent and for the duration that such terms remain in effect at the time of transfer.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Offering Price Determination</w:t>
      </w:r>
    </w:p>
    <w:p>
      <w:pPr>
        <w:spacing w:after="0" w:line="229" w:lineRule="exact"/>
        <w:rPr>
          <w:sz w:val="20"/>
          <w:szCs w:val="20"/>
          <w:color w:val="auto"/>
        </w:rPr>
      </w:pPr>
    </w:p>
    <w:p>
      <w:pPr>
        <w:ind w:left="120" w:right="259" w:firstLine="216"/>
        <w:spacing w:after="0" w:line="264" w:lineRule="auto"/>
        <w:rPr>
          <w:sz w:val="20"/>
          <w:szCs w:val="20"/>
          <w:color w:val="auto"/>
        </w:rPr>
      </w:pPr>
      <w:r>
        <w:rPr>
          <w:rFonts w:ascii="Arial" w:cs="Arial" w:eastAsia="Arial" w:hAnsi="Arial"/>
          <w:sz w:val="18"/>
          <w:szCs w:val="18"/>
          <w:color w:val="auto"/>
        </w:rPr>
        <w:t>Prior to this offering, there has been no public market for our ordinary shares. The initial public offering price was negotiated between the representatives and us. In determining the initial public offering price of our ordinary shares, the representatives considered:</w:t>
      </w:r>
    </w:p>
    <w:p>
      <w:pPr>
        <w:spacing w:after="0" w:line="172" w:lineRule="exact"/>
        <w:rPr>
          <w:sz w:val="20"/>
          <w:szCs w:val="20"/>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the history and prospects for the industry in which we compete;</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our financial information;</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the ability of our management and our business potential and earning prospects;</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74"/>
        </w:numPr>
        <w:rPr>
          <w:rFonts w:ascii="Arial" w:cs="Arial" w:eastAsia="Arial" w:hAnsi="Arial"/>
          <w:sz w:val="22"/>
          <w:szCs w:val="22"/>
          <w:color w:val="auto"/>
        </w:rPr>
      </w:pPr>
      <w:r>
        <w:rPr>
          <w:rFonts w:ascii="Arial" w:cs="Arial" w:eastAsia="Arial" w:hAnsi="Arial"/>
          <w:sz w:val="18"/>
          <w:szCs w:val="18"/>
          <w:color w:val="auto"/>
        </w:rPr>
        <w:t>the prevailing securities markets at the time of this offering; and</w:t>
      </w:r>
    </w:p>
    <w:p>
      <w:pPr>
        <w:spacing w:after="0" w:line="204" w:lineRule="exact"/>
        <w:rPr>
          <w:rFonts w:ascii="Arial" w:cs="Arial" w:eastAsia="Arial" w:hAnsi="Arial"/>
          <w:sz w:val="22"/>
          <w:szCs w:val="22"/>
          <w:color w:val="auto"/>
        </w:rPr>
      </w:pPr>
    </w:p>
    <w:p>
      <w:pPr>
        <w:ind w:left="560" w:hanging="219"/>
        <w:spacing w:after="0"/>
        <w:tabs>
          <w:tab w:leader="none" w:pos="560" w:val="left"/>
        </w:tabs>
        <w:numPr>
          <w:ilvl w:val="0"/>
          <w:numId w:val="74"/>
        </w:numPr>
        <w:rPr>
          <w:rFonts w:ascii="Arial" w:cs="Arial" w:eastAsia="Arial" w:hAnsi="Arial"/>
          <w:sz w:val="21"/>
          <w:szCs w:val="21"/>
          <w:color w:val="auto"/>
        </w:rPr>
      </w:pPr>
      <w:r>
        <w:rPr>
          <w:rFonts w:ascii="Arial" w:cs="Arial" w:eastAsia="Arial" w:hAnsi="Arial"/>
          <w:sz w:val="17"/>
          <w:szCs w:val="17"/>
          <w:color w:val="auto"/>
        </w:rPr>
        <w:t>the recent market prices of, and the demand for, publicly traded shares of generally comparable companies.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left="120" w:right="239" w:firstLine="216"/>
        <w:spacing w:after="0" w:line="308" w:lineRule="auto"/>
        <w:rPr>
          <w:sz w:val="20"/>
          <w:szCs w:val="20"/>
          <w:color w:val="auto"/>
        </w:rPr>
      </w:pPr>
      <w:r>
        <w:rPr>
          <w:rFonts w:ascii="Arial" w:cs="Arial" w:eastAsia="Arial" w:hAnsi="Arial"/>
          <w:sz w:val="17"/>
          <w:szCs w:val="17"/>
          <w:color w:val="auto"/>
        </w:rPr>
        <w:t>We have agreed to indemnify the underwriters against certain liabilities, including liabilities under the Securities Act, and to contribute to payments that the underwriters may be required to make for these liabilities.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ind w:left="120"/>
        <w:spacing w:after="0"/>
        <w:rPr>
          <w:sz w:val="20"/>
          <w:szCs w:val="20"/>
          <w:color w:val="auto"/>
        </w:rPr>
      </w:pPr>
      <w:r>
        <w:rPr>
          <w:rFonts w:ascii="Arial" w:cs="Arial" w:eastAsia="Arial" w:hAnsi="Arial"/>
          <w:sz w:val="18"/>
          <w:szCs w:val="18"/>
          <w:b w:val="1"/>
          <w:bCs w:val="1"/>
          <w:color w:val="auto"/>
        </w:rPr>
        <w:t>Stabilization, Short Positions and Penalty Bids</w:t>
      </w:r>
    </w:p>
    <w:p>
      <w:pPr>
        <w:spacing w:after="0" w:line="229" w:lineRule="exact"/>
        <w:rPr>
          <w:sz w:val="20"/>
          <w:szCs w:val="20"/>
          <w:color w:val="auto"/>
        </w:rPr>
      </w:pPr>
    </w:p>
    <w:p>
      <w:pPr>
        <w:ind w:left="120" w:right="459" w:firstLine="216"/>
        <w:spacing w:after="0" w:line="264" w:lineRule="auto"/>
        <w:rPr>
          <w:sz w:val="20"/>
          <w:szCs w:val="20"/>
          <w:color w:val="auto"/>
        </w:rPr>
      </w:pPr>
      <w:r>
        <w:rPr>
          <w:rFonts w:ascii="Arial" w:cs="Arial" w:eastAsia="Arial" w:hAnsi="Arial"/>
          <w:sz w:val="18"/>
          <w:szCs w:val="18"/>
          <w:color w:val="auto"/>
        </w:rPr>
        <w:t>The representatives may engage in stabilizing transactions, short sales and purchases to cover positions created by short sales, and penalty bids or purchases for the purpose of pegging, fixing or maintaining the price of the ordinary shares, in accordance with Regulation M under the Exchange Act:</w:t>
      </w:r>
    </w:p>
    <w:p>
      <w:pPr>
        <w:spacing w:after="0" w:line="195" w:lineRule="exact"/>
        <w:rPr>
          <w:sz w:val="20"/>
          <w:szCs w:val="20"/>
          <w:color w:val="auto"/>
        </w:rPr>
      </w:pPr>
    </w:p>
    <w:p>
      <w:pPr>
        <w:ind w:left="560" w:right="119" w:hanging="219"/>
        <w:spacing w:after="0" w:line="232" w:lineRule="auto"/>
        <w:tabs>
          <w:tab w:leader="none" w:pos="572" w:val="left"/>
        </w:tabs>
        <w:numPr>
          <w:ilvl w:val="0"/>
          <w:numId w:val="75"/>
        </w:numPr>
        <w:rPr>
          <w:rFonts w:ascii="Arial" w:cs="Arial" w:eastAsia="Arial" w:hAnsi="Arial"/>
          <w:sz w:val="22"/>
          <w:szCs w:val="22"/>
          <w:color w:val="auto"/>
        </w:rPr>
      </w:pPr>
      <w:r>
        <w:rPr>
          <w:rFonts w:ascii="Arial" w:cs="Arial" w:eastAsia="Arial" w:hAnsi="Arial"/>
          <w:sz w:val="18"/>
          <w:szCs w:val="18"/>
          <w:color w:val="auto"/>
        </w:rPr>
        <w:t>Stabilizing transactions permit bids to purchase the underlying security so long as the stabilizing bids do not exceed a specified maximum.</w:t>
      </w:r>
    </w:p>
    <w:p>
      <w:pPr>
        <w:spacing w:after="0" w:line="217" w:lineRule="exact"/>
        <w:rPr>
          <w:rFonts w:ascii="Arial" w:cs="Arial" w:eastAsia="Arial" w:hAnsi="Arial"/>
          <w:sz w:val="22"/>
          <w:szCs w:val="22"/>
          <w:color w:val="auto"/>
        </w:rPr>
      </w:pPr>
    </w:p>
    <w:p>
      <w:pPr>
        <w:ind w:left="560" w:right="119" w:hanging="219"/>
        <w:spacing w:after="0" w:line="282" w:lineRule="auto"/>
        <w:tabs>
          <w:tab w:leader="none" w:pos="572" w:val="left"/>
        </w:tabs>
        <w:numPr>
          <w:ilvl w:val="0"/>
          <w:numId w:val="75"/>
        </w:numPr>
        <w:rPr>
          <w:rFonts w:ascii="Arial" w:cs="Arial" w:eastAsia="Arial" w:hAnsi="Arial"/>
          <w:sz w:val="19"/>
          <w:szCs w:val="19"/>
          <w:color w:val="auto"/>
        </w:rPr>
      </w:pPr>
      <w:r>
        <w:rPr>
          <w:rFonts w:ascii="Arial" w:cs="Arial" w:eastAsia="Arial" w:hAnsi="Arial"/>
          <w:sz w:val="16"/>
          <w:szCs w:val="16"/>
          <w:color w:val="auto"/>
        </w:rPr>
        <w:t>A short position involves a sale by the underwriters of shares in excess of the number of shares the underwriters are obligated to purchase in the offering, which creates the syndicate short position. This short position may be either a covered short position or a naked short position. In a covered short position, the number of shares involved in the sales made by the underwriters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underwriters may close out any short position by either exercising their option to purchase additional shares and/or purchasing shares in the open market. In determining the source of shares to close out the short position, the underwriters will consider, among other things, the price of shares available for purchase in the open market as compared to the price at which they may purchase shares through their option to purchase additional shares.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187" w:lineRule="exact"/>
        <w:rPr>
          <w:rFonts w:ascii="Arial" w:cs="Arial" w:eastAsia="Arial" w:hAnsi="Arial"/>
          <w:sz w:val="19"/>
          <w:szCs w:val="19"/>
          <w:color w:val="auto"/>
        </w:rPr>
      </w:pPr>
    </w:p>
    <w:p>
      <w:pPr>
        <w:ind w:left="560" w:right="299" w:hanging="219"/>
        <w:spacing w:after="0" w:line="232" w:lineRule="auto"/>
        <w:tabs>
          <w:tab w:leader="none" w:pos="572" w:val="left"/>
        </w:tabs>
        <w:numPr>
          <w:ilvl w:val="0"/>
          <w:numId w:val="75"/>
        </w:numPr>
        <w:rPr>
          <w:rFonts w:ascii="Arial" w:cs="Arial" w:eastAsia="Arial" w:hAnsi="Arial"/>
          <w:sz w:val="22"/>
          <w:szCs w:val="22"/>
          <w:color w:val="auto"/>
        </w:rPr>
      </w:pPr>
      <w:r>
        <w:rPr>
          <w:rFonts w:ascii="Arial" w:cs="Arial" w:eastAsia="Arial" w:hAnsi="Arial"/>
          <w:sz w:val="18"/>
          <w:szCs w:val="18"/>
          <w:color w:val="auto"/>
        </w:rPr>
        <w:t>Syndicate covering transactions involve purchases of the ordinary shares in the open market after the distribution has been completed in order to cover syndicate short positions.</w:t>
      </w:r>
    </w:p>
    <w:p>
      <w:pPr>
        <w:spacing w:after="0" w:line="217" w:lineRule="exact"/>
        <w:rPr>
          <w:rFonts w:ascii="Arial" w:cs="Arial" w:eastAsia="Arial" w:hAnsi="Arial"/>
          <w:sz w:val="22"/>
          <w:szCs w:val="22"/>
          <w:color w:val="auto"/>
        </w:rPr>
      </w:pPr>
    </w:p>
    <w:p>
      <w:pPr>
        <w:jc w:val="both"/>
        <w:ind w:left="560" w:right="119" w:hanging="219"/>
        <w:spacing w:after="0" w:line="238" w:lineRule="auto"/>
        <w:tabs>
          <w:tab w:leader="none" w:pos="572" w:val="left"/>
        </w:tabs>
        <w:numPr>
          <w:ilvl w:val="0"/>
          <w:numId w:val="75"/>
        </w:numPr>
        <w:rPr>
          <w:rFonts w:ascii="Arial" w:cs="Arial" w:eastAsia="Arial" w:hAnsi="Arial"/>
          <w:sz w:val="22"/>
          <w:szCs w:val="22"/>
          <w:color w:val="auto"/>
        </w:rPr>
      </w:pPr>
      <w:r>
        <w:rPr>
          <w:rFonts w:ascii="Arial" w:cs="Arial" w:eastAsia="Arial" w:hAnsi="Arial"/>
          <w:sz w:val="18"/>
          <w:szCs w:val="18"/>
          <w:color w:val="auto"/>
        </w:rPr>
        <w:t>Penalty bids permit the representatives to reclaim a selling concession from a syndicate member when the ordinary shares originally sold by the syndicate member is purchased in a stabilizing or syndicate covering transaction to cover syndicate short positions.</w:t>
      </w:r>
    </w:p>
    <w:p>
      <w:pPr>
        <w:spacing w:after="0" w:line="203" w:lineRule="exact"/>
        <w:rPr>
          <w:sz w:val="20"/>
          <w:szCs w:val="20"/>
          <w:color w:val="auto"/>
        </w:rPr>
      </w:pPr>
    </w:p>
    <w:p>
      <w:pPr>
        <w:ind w:left="120" w:right="139" w:firstLine="216"/>
        <w:spacing w:after="0" w:line="25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ordinary shares or preventing or retarding a decline in the market price of the ordinary shares. As a result, the price of the ordinary shares may be higher than the price that might otherwise exist in the open market. These transactions may be effected on the NASDAQ Global Market or otherwise and, if commenced, may be discontinued at any time.</w:t>
      </w:r>
    </w:p>
    <w:p>
      <w:pPr>
        <w:spacing w:after="0" w:line="188" w:lineRule="exact"/>
        <w:rPr>
          <w:sz w:val="20"/>
          <w:szCs w:val="20"/>
          <w:color w:val="auto"/>
        </w:rPr>
      </w:pPr>
    </w:p>
    <w:p>
      <w:pPr>
        <w:jc w:val="both"/>
        <w:ind w:left="120" w:right="239" w:firstLine="216"/>
        <w:spacing w:after="0" w:line="279"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the ordinary shares. In addition, neither we nor any of the underwriters make any representation that the representatives will engage in these stabilizing transactions or that any transaction, once commenced, will not be discontinued without notice.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on the NASDAQ Global Market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intend to apply to have the ordinary shares listed on the NASDAQ Global Market under the symbol “KRNT.”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229" w:lineRule="exact"/>
        <w:rPr>
          <w:sz w:val="20"/>
          <w:szCs w:val="20"/>
          <w:color w:val="auto"/>
        </w:rPr>
      </w:pPr>
    </w:p>
    <w:p>
      <w:pPr>
        <w:jc w:val="both"/>
        <w:ind w:left="120" w:right="279" w:firstLine="216"/>
        <w:spacing w:after="0" w:line="264" w:lineRule="auto"/>
        <w:rPr>
          <w:sz w:val="20"/>
          <w:szCs w:val="20"/>
          <w:color w:val="auto"/>
        </w:rPr>
      </w:pPr>
      <w:r>
        <w:rPr>
          <w:rFonts w:ascii="Arial" w:cs="Arial" w:eastAsia="Arial" w:hAnsi="Arial"/>
          <w:sz w:val="18"/>
          <w:szCs w:val="18"/>
          <w:color w:val="auto"/>
        </w:rPr>
        <w:t>If you purchase ordinary shares offered in this prospectus, you may be required to pay stamp taxes and other charges under the laws and practices of the country of purchase, in addition to the offering price listed on the cover page of this prospectus.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ind w:left="120" w:right="279" w:firstLine="216"/>
        <w:spacing w:after="0" w:line="264" w:lineRule="auto"/>
        <w:rPr>
          <w:sz w:val="20"/>
          <w:szCs w:val="20"/>
          <w:color w:val="auto"/>
        </w:rPr>
      </w:pPr>
      <w:r>
        <w:rPr>
          <w:rFonts w:ascii="Arial" w:cs="Arial" w:eastAsia="Arial" w:hAnsi="Arial"/>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5" w:name="page116"/>
    <w:bookmarkEnd w:id="115"/>
    <w:p>
      <w:pPr>
        <w:ind w:left="120" w:right="119"/>
        <w:spacing w:after="0" w:line="259" w:lineRule="auto"/>
        <w:rPr>
          <w:sz w:val="20"/>
          <w:szCs w:val="20"/>
          <w:color w:val="auto"/>
        </w:rPr>
      </w:pPr>
      <w:r>
        <w:rPr>
          <w:rFonts w:ascii="Arial" w:cs="Arial" w:eastAsia="Arial" w:hAnsi="Arial"/>
          <w:sz w:val="18"/>
          <w:szCs w:val="18"/>
          <w:color w:val="auto"/>
        </w:rPr>
        <w:t>research, principal investment, hedging, financing and brokerage activities. The underwriters and certain of their affiliates have, from time to time, performed, and may in the future perform, various commercial and investment banking and financial advisory services for the issuer and its affiliates, for which they received or may in the future receive customary fees and expenses.</w:t>
      </w:r>
    </w:p>
    <w:p>
      <w:pPr>
        <w:spacing w:after="0" w:line="187" w:lineRule="exact"/>
        <w:rPr>
          <w:sz w:val="20"/>
          <w:szCs w:val="20"/>
          <w:color w:val="auto"/>
        </w:rPr>
      </w:pPr>
    </w:p>
    <w:p>
      <w:pPr>
        <w:ind w:left="120" w:right="259" w:firstLine="216"/>
        <w:spacing w:after="0" w:line="286" w:lineRule="auto"/>
        <w:rPr>
          <w:sz w:val="20"/>
          <w:szCs w:val="20"/>
          <w:color w:val="auto"/>
        </w:rPr>
      </w:pPr>
      <w:r>
        <w:rPr>
          <w:rFonts w:ascii="Arial" w:cs="Arial" w:eastAsia="Arial" w:hAnsi="Arial"/>
          <w:sz w:val="16"/>
          <w:szCs w:val="16"/>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If the underwriters or their affiliates have a lending relationship with us, the underwriters or their affiliates may hedge, their credit exposure to us consistent with their customary risk management policies. Typically, the underwriters and their affiliates would hedge such exposure by entering into transactions which consist of either the purchase of credit default swaps or the creation of short positions in our securities or the securities of our affiliates, including potentially the ordinary shares offered hereby. Any such credit default swaps or short positions could adversely affect future trading prices of the ordinary shares offered hereby. The underwriters and certain of their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right="139" w:firstLine="216"/>
        <w:spacing w:after="0" w:line="288" w:lineRule="auto"/>
        <w:rPr>
          <w:sz w:val="20"/>
          <w:szCs w:val="20"/>
          <w:color w:val="auto"/>
        </w:rPr>
      </w:pPr>
      <w:r>
        <w:rPr>
          <w:rFonts w:ascii="Arial" w:cs="Arial" w:eastAsia="Arial" w:hAnsi="Arial"/>
          <w:sz w:val="16"/>
          <w:szCs w:val="16"/>
          <w:color w:val="auto"/>
        </w:rPr>
        <w:t>This prospectus does not constitute an offer to sell to, or a solicitation of an offer to buy from, anyone in any country or jurisdiction (i) in which such an offer or solicitation is not authorized, (ii) in which any person making such offer or solicitation is not qualified to do so or (iii) in which any such offer or solicitation would otherwise be unlawful. No action has been taken that would, or is intended to, permit a public offer of the ordinary shares or possession or distribution of this prospectus or any other offering or publicity material relating to the ordinary shares in any country or jurisdiction (other than the United States) where any such action for that purpose is required. Accordingly, each underwriter has undertaken that it will not, directly or indirectly, offer or sell any ordinary shares or have in its possession, distribute or publish any prospectus, form of application, advertisement or other document or information in any country or jurisdiction except under circumstances that will, to the best of its knowledge and belief, result in compliance with any applicable laws and regulations and all offers and sales of ordinary shares by it will be made on the same terms.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225" w:lineRule="exact"/>
        <w:rPr>
          <w:sz w:val="20"/>
          <w:szCs w:val="20"/>
          <w:color w:val="auto"/>
        </w:rPr>
      </w:pPr>
    </w:p>
    <w:p>
      <w:pPr>
        <w:ind w:left="120" w:right="299" w:firstLine="216"/>
        <w:spacing w:after="0" w:line="27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an offer to the public of any ordinary shares which are the subject of the offering contemplated herein may not be made in that Relevant Member State, except that an offer to the public in that Relevant Member State of any ordinary shares may be made at any time under the following exemptions under the Prospectus Directive, if they have been implemented in that Relevant Member State:</w:t>
      </w:r>
    </w:p>
    <w:p>
      <w:pPr>
        <w:spacing w:after="0" w:line="163" w:lineRule="exact"/>
        <w:rPr>
          <w:sz w:val="20"/>
          <w:szCs w:val="20"/>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to legal entities which are qualified investors as defined under the Prospectus Directive;</w:t>
      </w:r>
    </w:p>
    <w:p>
      <w:pPr>
        <w:spacing w:after="0" w:line="215" w:lineRule="exact"/>
        <w:rPr>
          <w:rFonts w:ascii="Arial" w:cs="Arial" w:eastAsia="Arial" w:hAnsi="Arial"/>
          <w:sz w:val="22"/>
          <w:szCs w:val="22"/>
          <w:color w:val="auto"/>
        </w:rPr>
      </w:pPr>
    </w:p>
    <w:p>
      <w:pPr>
        <w:ind w:left="560" w:right="159" w:hanging="219"/>
        <w:spacing w:after="0" w:line="241" w:lineRule="auto"/>
        <w:tabs>
          <w:tab w:leader="none" w:pos="572" w:val="left"/>
        </w:tabs>
        <w:numPr>
          <w:ilvl w:val="0"/>
          <w:numId w:val="76"/>
        </w:numPr>
        <w:rPr>
          <w:rFonts w:ascii="Arial" w:cs="Arial" w:eastAsia="Arial" w:hAnsi="Arial"/>
          <w:sz w:val="22"/>
          <w:szCs w:val="22"/>
          <w:color w:val="auto"/>
        </w:rPr>
      </w:pPr>
      <w:r>
        <w:rPr>
          <w:rFonts w:ascii="Arial" w:cs="Arial" w:eastAsia="Arial" w:hAnsi="Arial"/>
          <w:sz w:val="18"/>
          <w:szCs w:val="18"/>
          <w:color w:val="auto"/>
        </w:rPr>
        <w:t>by the underwriters to fewer than 100, or, if the Relevant Member State has implemented the relevant provisions of the 2010 PD Amending Directive, 150, natural or legal persons (other than qualified investors as defined in the Prospectus Directive), as permitted under the Prospectus Directive, subject to obtaining the prior consent of the representatives of the underwriters for any such offer; or</w:t>
      </w:r>
    </w:p>
    <w:p>
      <w:pPr>
        <w:spacing w:after="0" w:line="193" w:lineRule="exact"/>
        <w:rPr>
          <w:rFonts w:ascii="Arial" w:cs="Arial" w:eastAsia="Arial" w:hAnsi="Arial"/>
          <w:sz w:val="22"/>
          <w:szCs w:val="22"/>
          <w:color w:val="auto"/>
        </w:rPr>
      </w:pPr>
    </w:p>
    <w:p>
      <w:pPr>
        <w:ind w:left="560" w:hanging="219"/>
        <w:spacing w:after="0"/>
        <w:tabs>
          <w:tab w:leader="none" w:pos="560" w:val="left"/>
        </w:tabs>
        <w:numPr>
          <w:ilvl w:val="0"/>
          <w:numId w:val="76"/>
        </w:numPr>
        <w:rPr>
          <w:rFonts w:ascii="Arial" w:cs="Arial" w:eastAsia="Arial" w:hAnsi="Arial"/>
          <w:sz w:val="22"/>
          <w:szCs w:val="22"/>
          <w:color w:val="auto"/>
        </w:rPr>
      </w:pPr>
      <w:r>
        <w:rPr>
          <w:rFonts w:ascii="Arial" w:cs="Arial" w:eastAsia="Arial" w:hAnsi="Arial"/>
          <w:sz w:val="18"/>
          <w:szCs w:val="18"/>
          <w:color w:val="auto"/>
        </w:rPr>
        <w:t>in any other circumstances falling within Article 3(2) of the Prospectus Directive,</w:t>
      </w:r>
    </w:p>
    <w:p>
      <w:pPr>
        <w:spacing w:after="0" w:line="202"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provided that no such offer of ordinary shares shall result in a requirement for us or any underwriter to publish a prospectus pursuant to Article 3 of the Prospectus Directive or supplement a prospectus pursuant to Article 16 of the Prospectus Directive.</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6" w:name="page117"/>
    <w:bookmarkEnd w:id="116"/>
    <w:p>
      <w:pPr>
        <w:jc w:val="both"/>
        <w:ind w:left="120" w:right="139" w:firstLine="216"/>
        <w:spacing w:after="0" w:line="264" w:lineRule="auto"/>
        <w:rPr>
          <w:sz w:val="20"/>
          <w:szCs w:val="20"/>
          <w:color w:val="auto"/>
        </w:rPr>
      </w:pPr>
      <w:r>
        <w:rPr>
          <w:rFonts w:ascii="Arial" w:cs="Arial" w:eastAsia="Arial" w:hAnsi="Arial"/>
          <w:sz w:val="18"/>
          <w:szCs w:val="18"/>
          <w:color w:val="auto"/>
        </w:rPr>
        <w:t>Each person in a Relevant Member State who receives any communication in respect of, or who acquires any ordinary shares under, the offers contemplated here in this prospectus will be deemed to have represented, warranted and agreed to and with each underwriter and us that:</w:t>
      </w:r>
    </w:p>
    <w:p>
      <w:pPr>
        <w:spacing w:after="0" w:line="172" w:lineRule="exact"/>
        <w:rPr>
          <w:sz w:val="20"/>
          <w:szCs w:val="20"/>
          <w:color w:val="auto"/>
        </w:rPr>
      </w:pPr>
    </w:p>
    <w:p>
      <w:pPr>
        <w:ind w:left="560" w:hanging="219"/>
        <w:spacing w:after="0"/>
        <w:tabs>
          <w:tab w:leader="none" w:pos="560" w:val="left"/>
        </w:tabs>
        <w:numPr>
          <w:ilvl w:val="0"/>
          <w:numId w:val="77"/>
        </w:numPr>
        <w:rPr>
          <w:rFonts w:ascii="Arial" w:cs="Arial" w:eastAsia="Arial" w:hAnsi="Arial"/>
          <w:sz w:val="22"/>
          <w:szCs w:val="22"/>
          <w:color w:val="auto"/>
        </w:rPr>
      </w:pPr>
      <w:r>
        <w:rPr>
          <w:rFonts w:ascii="Arial" w:cs="Arial" w:eastAsia="Arial" w:hAnsi="Arial"/>
          <w:sz w:val="18"/>
          <w:szCs w:val="18"/>
          <w:color w:val="auto"/>
        </w:rPr>
        <w:t>it is a qualified investor as defined under the Prospectus Directive; and</w:t>
      </w:r>
    </w:p>
    <w:p>
      <w:pPr>
        <w:spacing w:after="0" w:line="215" w:lineRule="exact"/>
        <w:rPr>
          <w:rFonts w:ascii="Arial" w:cs="Arial" w:eastAsia="Arial" w:hAnsi="Arial"/>
          <w:sz w:val="22"/>
          <w:szCs w:val="22"/>
          <w:color w:val="auto"/>
        </w:rPr>
      </w:pPr>
    </w:p>
    <w:p>
      <w:pPr>
        <w:jc w:val="both"/>
        <w:ind w:left="560" w:right="119" w:hanging="219"/>
        <w:spacing w:after="0" w:line="246" w:lineRule="auto"/>
        <w:tabs>
          <w:tab w:leader="none" w:pos="586" w:val="left"/>
        </w:tabs>
        <w:numPr>
          <w:ilvl w:val="0"/>
          <w:numId w:val="77"/>
        </w:numPr>
        <w:rPr>
          <w:rFonts w:ascii="Arial" w:cs="Arial" w:eastAsia="Arial" w:hAnsi="Arial"/>
          <w:sz w:val="22"/>
          <w:szCs w:val="22"/>
          <w:color w:val="auto"/>
        </w:rPr>
      </w:pPr>
      <w:r>
        <w:rPr>
          <w:rFonts w:ascii="Arial" w:cs="Arial" w:eastAsia="Arial" w:hAnsi="Arial"/>
          <w:sz w:val="18"/>
          <w:szCs w:val="18"/>
          <w:color w:val="auto"/>
        </w:rPr>
        <w:t>in the case of any ordinary shares acquired by it as a financial intermediary, as that term is used in Article 3(2) of the Prospectus Directive, (i) the ordinary shares acquired by it in the offering have not been acquired on behalf of, nor have they been acquired with a view to their offer or resale to, persons in any Relevant Member State other than qualified investors, as that term is defined in the Prospectus Directive, or in the circumstances in which the prior consent of the representatives of the underwriters has been given to the offer or resale or (ii) where ordinary shares have been acquired by it on behalf of persons in any Relevant Member State other than qualified investors, the offer of such ordinary shares to it is not treated under the Prospectus Directive as having been made to such persons.</w:t>
      </w:r>
    </w:p>
    <w:p>
      <w:pPr>
        <w:spacing w:after="0" w:line="200" w:lineRule="exact"/>
        <w:rPr>
          <w:sz w:val="20"/>
          <w:szCs w:val="20"/>
          <w:color w:val="auto"/>
        </w:rPr>
      </w:pPr>
    </w:p>
    <w:p>
      <w:pPr>
        <w:ind w:left="120" w:right="239" w:firstLine="216"/>
        <w:spacing w:after="0" w:line="290" w:lineRule="auto"/>
        <w:rPr>
          <w:sz w:val="20"/>
          <w:szCs w:val="20"/>
          <w:color w:val="auto"/>
        </w:rPr>
      </w:pPr>
      <w:r>
        <w:rPr>
          <w:rFonts w:ascii="Arial" w:cs="Arial" w:eastAsia="Arial" w:hAnsi="Arial"/>
          <w:sz w:val="16"/>
          <w:szCs w:val="16"/>
          <w:color w:val="auto"/>
        </w:rPr>
        <w:t>For the purposes of this representation and the provision above, the expression an “offer of ordinary shares to the public” in relation to any ordinary shares in any Relevant Member State means the communication in any form and by any means of sufficient information on the terms of the offer and any ordinary shares to be offered so as to enable an investor to decide to purchase or subscribe for the ordinary shares, as the same may be varied in that Relevant Member State by any measure implementing the Prospectus Directive in that Relevant Member State,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225" w:lineRule="exact"/>
        <w:rPr>
          <w:sz w:val="20"/>
          <w:szCs w:val="20"/>
          <w:color w:val="auto"/>
        </w:rPr>
      </w:pPr>
    </w:p>
    <w:p>
      <w:pPr>
        <w:ind w:left="120" w:right="219" w:firstLine="216"/>
        <w:spacing w:after="0" w:line="255" w:lineRule="auto"/>
        <w:rPr>
          <w:sz w:val="20"/>
          <w:szCs w:val="20"/>
          <w:color w:val="auto"/>
        </w:rPr>
      </w:pPr>
      <w:r>
        <w:rPr>
          <w:rFonts w:ascii="Arial" w:cs="Arial" w:eastAsia="Arial" w:hAnsi="Arial"/>
          <w:sz w:val="18"/>
          <w:szCs w:val="18"/>
          <w:color w:val="auto"/>
        </w:rPr>
        <w:t>This prospectus has only been communicated or caused to have been communicated and will only be communicated or caused to be communicated as an invitation or inducement to engage in investment activity (within the meaning of Section 21 of the Financial Services and Markets Act of 2000 (the “FSMA”)) as received in connection with the issue or sale of the ordinary shares in circumstances in which Section 21(1) of the FSMA does not apply to us. All applicable provisions of the FSMA will be complied with in respect to anything done in relation to the ordinary shares in, from or otherwise involving the United Kingdom.</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225" w:lineRule="exact"/>
        <w:rPr>
          <w:sz w:val="20"/>
          <w:szCs w:val="20"/>
          <w:color w:val="auto"/>
        </w:rPr>
      </w:pPr>
    </w:p>
    <w:p>
      <w:pPr>
        <w:ind w:left="120" w:right="139" w:firstLine="216"/>
        <w:spacing w:after="0" w:line="271" w:lineRule="auto"/>
        <w:rPr>
          <w:sz w:val="20"/>
          <w:szCs w:val="20"/>
          <w:color w:val="auto"/>
        </w:rPr>
      </w:pPr>
      <w:r>
        <w:rPr>
          <w:rFonts w:ascii="Arial" w:cs="Arial" w:eastAsia="Arial" w:hAnsi="Arial"/>
          <w:sz w:val="17"/>
          <w:szCs w:val="17"/>
          <w:color w:val="auto"/>
        </w:rPr>
        <w:t>This document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Ltd., underwriters, each purchasing for their own account; venture capital funds; entities with equity in excess of NIS 50 million and “qualified individuals,” each as defined in the Addendum (as it may be amended from time to time), collectively referred to as qualified investors. Qualified investors shall be required to submit written confirmation that they fall within the scope of the Addendum.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39" w:firstLine="216"/>
        <w:spacing w:after="0" w:line="276" w:lineRule="auto"/>
        <w:rPr>
          <w:sz w:val="20"/>
          <w:szCs w:val="20"/>
          <w:color w:val="auto"/>
        </w:rPr>
      </w:pPr>
      <w:r>
        <w:rPr>
          <w:rFonts w:ascii="Arial" w:cs="Arial" w:eastAsia="Arial" w:hAnsi="Arial"/>
          <w:sz w:val="17"/>
          <w:szCs w:val="17"/>
          <w:color w:val="auto"/>
        </w:rPr>
        <w:t>The consolidated financial statements of Kornit Digital Ltd. at December 31, 2012 and 2013, and for each of the two years in the period ended December 31, 2013, appearing in this Prospectus and Registration Statement have been audited by Kost Forer Gabbay &amp; Kasierer, a member of Ernst &amp; Young Global, independent registered public accounting firm, as set forth in their report thereon appearing elsewhere herein, and are included in reliance upon such report given on the authority of such firm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The validity of the ordinary shares being offered by this prospectus and other legal matters concerning this offering relating to Israeli law will be passed upon for us by Meitar Liquornik Geva Leshem Tal, Ramat Gan, Israel. Certain legal matters in connection with this offering relating to U.S. law will be passed upon for us by White &amp; Case LLP, New York, New York. Certain legal matters in connection with this offering will be passed upon for the underwriters by Gross, Kleinhendler, Hodak, Halevy, Greenberg &amp; Co., Tel Aviv, Israel, with respect to Israeli law, and by Skadden, Arps, Slate, Meagher &amp; Flom LLP, New York, New York, with respect to U.S. law.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120" w:right="119" w:firstLine="216"/>
        <w:spacing w:after="0" w:line="276" w:lineRule="auto"/>
        <w:rPr>
          <w:sz w:val="20"/>
          <w:szCs w:val="20"/>
          <w:color w:val="auto"/>
        </w:rPr>
      </w:pPr>
      <w:r>
        <w:rPr>
          <w:rFonts w:ascii="Arial" w:cs="Arial" w:eastAsia="Arial" w:hAnsi="Arial"/>
          <w:sz w:val="17"/>
          <w:szCs w:val="17"/>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be difficult to collect within the United States.</w:t>
      </w:r>
    </w:p>
    <w:p>
      <w:pPr>
        <w:spacing w:after="0" w:line="173" w:lineRule="exact"/>
        <w:rPr>
          <w:sz w:val="20"/>
          <w:szCs w:val="20"/>
          <w:color w:val="auto"/>
        </w:rPr>
      </w:pPr>
    </w:p>
    <w:p>
      <w:pPr>
        <w:ind w:left="120" w:right="199" w:firstLine="216"/>
        <w:spacing w:after="0" w:line="293" w:lineRule="auto"/>
        <w:rPr>
          <w:sz w:val="20"/>
          <w:szCs w:val="20"/>
          <w:color w:val="auto"/>
        </w:rPr>
      </w:pPr>
      <w:r>
        <w:rPr>
          <w:rFonts w:ascii="Arial" w:cs="Arial" w:eastAsia="Arial" w:hAnsi="Arial"/>
          <w:sz w:val="16"/>
          <w:szCs w:val="16"/>
          <w:color w:val="auto"/>
        </w:rPr>
        <w:t>We have been informed by our legal counsel in Israel, Meitar Liquornik Geva Leshem Tal, that it may be difficult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65" w:lineRule="exact"/>
        <w:rPr>
          <w:sz w:val="20"/>
          <w:szCs w:val="20"/>
          <w:color w:val="auto"/>
        </w:rPr>
      </w:pPr>
    </w:p>
    <w:p>
      <w:pPr>
        <w:ind w:left="120" w:right="299" w:firstLine="216"/>
        <w:spacing w:after="0" w:line="273" w:lineRule="auto"/>
        <w:rPr>
          <w:sz w:val="20"/>
          <w:szCs w:val="20"/>
          <w:color w:val="auto"/>
        </w:rPr>
      </w:pPr>
      <w:r>
        <w:rPr>
          <w:rFonts w:ascii="Arial" w:cs="Arial" w:eastAsia="Arial" w:hAnsi="Arial"/>
          <w:sz w:val="17"/>
          <w:szCs w:val="17"/>
          <w:color w:val="auto"/>
        </w:rPr>
        <w:t>We have irrevocably appointed Kornit Digital North America Inc., as our agent to receive service of process in any action against us in any United States federal or state court arising out of this offering or any purchase or sale of securities in connection with this offering. Subject to specified time limitations and legal procedures, Israeli courts may enforce a U.S. judgment in a civil matter which, subject to certain exceptions, is non-appealable, including a judgment based upon the civil liability provisions of the Securities Act or the Exchange Act and including a monetary or compensatory judgment in a non-civil matter, provided that among other things:</w:t>
      </w:r>
    </w:p>
    <w:p>
      <w:pPr>
        <w:spacing w:after="0" w:line="192" w:lineRule="exact"/>
        <w:rPr>
          <w:sz w:val="20"/>
          <w:szCs w:val="20"/>
          <w:color w:val="auto"/>
        </w:rPr>
      </w:pPr>
    </w:p>
    <w:p>
      <w:pPr>
        <w:ind w:left="560" w:right="259" w:hanging="219"/>
        <w:spacing w:after="0" w:line="297" w:lineRule="auto"/>
        <w:tabs>
          <w:tab w:leader="none" w:pos="572" w:val="left"/>
        </w:tabs>
        <w:numPr>
          <w:ilvl w:val="0"/>
          <w:numId w:val="78"/>
        </w:numPr>
        <w:rPr>
          <w:rFonts w:ascii="Arial" w:cs="Arial" w:eastAsia="Arial" w:hAnsi="Arial"/>
          <w:sz w:val="19"/>
          <w:szCs w:val="19"/>
          <w:color w:val="auto"/>
        </w:rPr>
      </w:pPr>
      <w:r>
        <w:rPr>
          <w:rFonts w:ascii="Arial" w:cs="Arial" w:eastAsia="Arial" w:hAnsi="Arial"/>
          <w:sz w:val="16"/>
          <w:szCs w:val="16"/>
          <w:color w:val="auto"/>
        </w:rPr>
        <w:t>the judgment was obtained after due process before a court of competent jurisdiction, according to the laws of the state in which the judgment was given and the rules of private international law currently prevailing in Israel;</w:t>
      </w:r>
    </w:p>
    <w:p>
      <w:pPr>
        <w:spacing w:after="0" w:line="141" w:lineRule="exact"/>
        <w:rPr>
          <w:rFonts w:ascii="Arial" w:cs="Arial" w:eastAsia="Arial" w:hAnsi="Arial"/>
          <w:sz w:val="19"/>
          <w:szCs w:val="19"/>
          <w:color w:val="auto"/>
        </w:rPr>
      </w:pPr>
    </w:p>
    <w:p>
      <w:pPr>
        <w:ind w:left="560" w:hanging="219"/>
        <w:spacing w:after="0"/>
        <w:tabs>
          <w:tab w:leader="none" w:pos="560" w:val="left"/>
        </w:tabs>
        <w:numPr>
          <w:ilvl w:val="0"/>
          <w:numId w:val="78"/>
        </w:numPr>
        <w:rPr>
          <w:rFonts w:ascii="Arial" w:cs="Arial" w:eastAsia="Arial" w:hAnsi="Arial"/>
          <w:sz w:val="22"/>
          <w:szCs w:val="22"/>
          <w:color w:val="auto"/>
        </w:rPr>
      </w:pPr>
      <w:r>
        <w:rPr>
          <w:rFonts w:ascii="Arial" w:cs="Arial" w:eastAsia="Arial" w:hAnsi="Arial"/>
          <w:sz w:val="18"/>
          <w:szCs w:val="18"/>
          <w:color w:val="auto"/>
        </w:rPr>
        <w:t>the judgment may no longer be appealed;</w:t>
      </w:r>
    </w:p>
    <w:p>
      <w:pPr>
        <w:spacing w:after="0" w:line="215" w:lineRule="exact"/>
        <w:rPr>
          <w:rFonts w:ascii="Arial" w:cs="Arial" w:eastAsia="Arial" w:hAnsi="Arial"/>
          <w:sz w:val="22"/>
          <w:szCs w:val="22"/>
          <w:color w:val="auto"/>
        </w:rPr>
      </w:pPr>
    </w:p>
    <w:p>
      <w:pPr>
        <w:ind w:left="560" w:right="119" w:hanging="219"/>
        <w:spacing w:after="0" w:line="232" w:lineRule="auto"/>
        <w:tabs>
          <w:tab w:leader="none" w:pos="572" w:val="left"/>
        </w:tabs>
        <w:numPr>
          <w:ilvl w:val="0"/>
          <w:numId w:val="78"/>
        </w:numPr>
        <w:rPr>
          <w:rFonts w:ascii="Arial" w:cs="Arial" w:eastAsia="Arial" w:hAnsi="Arial"/>
          <w:sz w:val="22"/>
          <w:szCs w:val="22"/>
          <w:color w:val="auto"/>
        </w:rPr>
      </w:pPr>
      <w:r>
        <w:rPr>
          <w:rFonts w:ascii="Arial" w:cs="Arial" w:eastAsia="Arial" w:hAnsi="Arial"/>
          <w:sz w:val="18"/>
          <w:szCs w:val="18"/>
          <w:color w:val="auto"/>
        </w:rPr>
        <w:t>the prevailing law of the foreign state in which the judgment was rendered allows for the enforcement of judgments of Israeli courts;</w:t>
      </w:r>
    </w:p>
    <w:p>
      <w:pPr>
        <w:spacing w:after="0" w:line="217" w:lineRule="exact"/>
        <w:rPr>
          <w:rFonts w:ascii="Arial" w:cs="Arial" w:eastAsia="Arial" w:hAnsi="Arial"/>
          <w:sz w:val="22"/>
          <w:szCs w:val="22"/>
          <w:color w:val="auto"/>
        </w:rPr>
      </w:pPr>
    </w:p>
    <w:p>
      <w:pPr>
        <w:ind w:left="560" w:right="299" w:hanging="219"/>
        <w:spacing w:after="0" w:line="232" w:lineRule="auto"/>
        <w:tabs>
          <w:tab w:leader="none" w:pos="572" w:val="left"/>
        </w:tabs>
        <w:numPr>
          <w:ilvl w:val="0"/>
          <w:numId w:val="78"/>
        </w:numPr>
        <w:rPr>
          <w:rFonts w:ascii="Arial" w:cs="Arial" w:eastAsia="Arial" w:hAnsi="Arial"/>
          <w:sz w:val="22"/>
          <w:szCs w:val="22"/>
          <w:color w:val="auto"/>
        </w:rPr>
      </w:pPr>
      <w:r>
        <w:rPr>
          <w:rFonts w:ascii="Arial" w:cs="Arial" w:eastAsia="Arial" w:hAnsi="Arial"/>
          <w:sz w:val="18"/>
          <w:szCs w:val="18"/>
          <w:color w:val="auto"/>
        </w:rPr>
        <w:t>adequate service of process has been effected and the defendant has had a reasonable opportunity to be heard and to present his or her evidence;</w:t>
      </w:r>
    </w:p>
    <w:p>
      <w:pPr>
        <w:spacing w:after="0" w:line="217" w:lineRule="exact"/>
        <w:rPr>
          <w:rFonts w:ascii="Arial" w:cs="Arial" w:eastAsia="Arial" w:hAnsi="Arial"/>
          <w:sz w:val="22"/>
          <w:szCs w:val="22"/>
          <w:color w:val="auto"/>
        </w:rPr>
      </w:pPr>
    </w:p>
    <w:p>
      <w:pPr>
        <w:ind w:left="560" w:right="419" w:hanging="219"/>
        <w:spacing w:after="0" w:line="232" w:lineRule="auto"/>
        <w:tabs>
          <w:tab w:leader="none" w:pos="572" w:val="left"/>
        </w:tabs>
        <w:numPr>
          <w:ilvl w:val="0"/>
          <w:numId w:val="78"/>
        </w:numPr>
        <w:rPr>
          <w:rFonts w:ascii="Arial" w:cs="Arial" w:eastAsia="Arial" w:hAnsi="Arial"/>
          <w:sz w:val="22"/>
          <w:szCs w:val="22"/>
          <w:color w:val="auto"/>
        </w:rPr>
      </w:pPr>
      <w:r>
        <w:rPr>
          <w:rFonts w:ascii="Arial" w:cs="Arial" w:eastAsia="Arial" w:hAnsi="Arial"/>
          <w:sz w:val="18"/>
          <w:szCs w:val="18"/>
          <w:color w:val="auto"/>
        </w:rPr>
        <w:t>the judgment is not contrary to public policy of Israel, and the enforcement of the civil liabilities set forth in the judgment is not likely to impair the security or sovereignty of Israel;</w:t>
      </w:r>
    </w:p>
    <w:p>
      <w:pPr>
        <w:spacing w:after="0" w:line="217" w:lineRule="exact"/>
        <w:rPr>
          <w:rFonts w:ascii="Arial" w:cs="Arial" w:eastAsia="Arial" w:hAnsi="Arial"/>
          <w:sz w:val="22"/>
          <w:szCs w:val="22"/>
          <w:color w:val="auto"/>
        </w:rPr>
      </w:pPr>
    </w:p>
    <w:p>
      <w:pPr>
        <w:ind w:left="560" w:right="539" w:hanging="219"/>
        <w:spacing w:after="0" w:line="232" w:lineRule="auto"/>
        <w:tabs>
          <w:tab w:leader="none" w:pos="572" w:val="left"/>
        </w:tabs>
        <w:numPr>
          <w:ilvl w:val="0"/>
          <w:numId w:val="78"/>
        </w:numPr>
        <w:rPr>
          <w:rFonts w:ascii="Arial" w:cs="Arial" w:eastAsia="Arial" w:hAnsi="Arial"/>
          <w:sz w:val="22"/>
          <w:szCs w:val="22"/>
          <w:color w:val="auto"/>
        </w:rPr>
      </w:pPr>
      <w:r>
        <w:rPr>
          <w:rFonts w:ascii="Arial" w:cs="Arial" w:eastAsia="Arial" w:hAnsi="Arial"/>
          <w:sz w:val="18"/>
          <w:szCs w:val="18"/>
          <w:color w:val="auto"/>
        </w:rPr>
        <w:t>the judgment was not obtained by fraud and do not conflict with any other valid judgments in the same matter between the same parties;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8" w:name="page119"/>
    <w:bookmarkEnd w:id="118"/>
    <w:p>
      <w:pPr>
        <w:ind w:left="560" w:right="319" w:hanging="219"/>
        <w:spacing w:after="0" w:line="232" w:lineRule="auto"/>
        <w:tabs>
          <w:tab w:leader="none" w:pos="572" w:val="left"/>
        </w:tabs>
        <w:numPr>
          <w:ilvl w:val="0"/>
          <w:numId w:val="79"/>
        </w:numPr>
        <w:rPr>
          <w:rFonts w:ascii="Arial" w:cs="Arial" w:eastAsia="Arial" w:hAnsi="Arial"/>
          <w:sz w:val="22"/>
          <w:szCs w:val="22"/>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 and</w:t>
      </w:r>
    </w:p>
    <w:p>
      <w:pPr>
        <w:spacing w:after="0" w:line="217" w:lineRule="exact"/>
        <w:rPr>
          <w:rFonts w:ascii="Arial" w:cs="Arial" w:eastAsia="Arial" w:hAnsi="Arial"/>
          <w:sz w:val="22"/>
          <w:szCs w:val="22"/>
          <w:color w:val="auto"/>
        </w:rPr>
      </w:pPr>
    </w:p>
    <w:p>
      <w:pPr>
        <w:ind w:left="560" w:right="119" w:hanging="219"/>
        <w:spacing w:after="0" w:line="232" w:lineRule="auto"/>
        <w:tabs>
          <w:tab w:leader="none" w:pos="586" w:val="left"/>
        </w:tabs>
        <w:numPr>
          <w:ilvl w:val="0"/>
          <w:numId w:val="79"/>
        </w:numPr>
        <w:rPr>
          <w:rFonts w:ascii="Arial" w:cs="Arial" w:eastAsia="Arial" w:hAnsi="Arial"/>
          <w:sz w:val="22"/>
          <w:szCs w:val="22"/>
          <w:color w:val="auto"/>
        </w:rPr>
      </w:pPr>
      <w:r>
        <w:rPr>
          <w:rFonts w:ascii="Arial" w:cs="Arial" w:eastAsia="Arial" w:hAnsi="Arial"/>
          <w:sz w:val="18"/>
          <w:szCs w:val="18"/>
          <w:color w:val="auto"/>
        </w:rPr>
        <w:t>the judgment is enforceable according to the laws of Israel and according to the law of the foreign state in which the relief was granted.</w:t>
      </w:r>
    </w:p>
    <w:p>
      <w:pPr>
        <w:spacing w:after="0" w:line="204"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179" w:firstLine="216"/>
        <w:spacing w:after="0" w:line="272" w:lineRule="auto"/>
        <w:rPr>
          <w:sz w:val="20"/>
          <w:szCs w:val="20"/>
          <w:color w:val="auto"/>
        </w:rPr>
      </w:pPr>
      <w:r>
        <w:rPr>
          <w:rFonts w:ascii="Arial" w:cs="Arial" w:eastAsia="Arial" w:hAnsi="Arial"/>
          <w:sz w:val="17"/>
          <w:szCs w:val="17"/>
          <w:color w:val="auto"/>
        </w:rPr>
        <w:t>We have filed with the Commission a registration statement on Form F-1 under the Securities Act relating to this offering of our ordinary shares. This prospectus does not contain all of the information contained in the registration statement. The rules and regulations of the Commission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78" w:lineRule="exact"/>
        <w:rPr>
          <w:sz w:val="20"/>
          <w:szCs w:val="20"/>
          <w:color w:val="auto"/>
        </w:rPr>
      </w:pPr>
    </w:p>
    <w:p>
      <w:pPr>
        <w:ind w:left="120" w:right="219" w:firstLine="216"/>
        <w:spacing w:after="0" w:line="254" w:lineRule="auto"/>
        <w:rPr>
          <w:sz w:val="20"/>
          <w:szCs w:val="20"/>
          <w:color w:val="auto"/>
        </w:rPr>
      </w:pPr>
      <w:r>
        <w:rPr>
          <w:rFonts w:ascii="Arial" w:cs="Arial" w:eastAsia="Arial" w:hAnsi="Arial"/>
          <w:sz w:val="18"/>
          <w:szCs w:val="18"/>
          <w:color w:val="auto"/>
        </w:rPr>
        <w:t>You may read and copy the registration statement, including the related exhibits and schedules, and any document we file with the Commission without charge at the Commission’s public reference room at 100 F Street, N.E., Room 1580, Washington, DC 20549. You may also obtain copies of the documents at prescribed rates by writing to the Public Reference Section of the Commission at 100 F Street, N.E., Room 1580, Washington, DC 20549. Please call the Commission at 1-800-SEC-0330 for further information on the public reference room. The Commission also maintains an Internet website that contains reports and other information regarding issuers that file electronically with the Commission. Our filings with the Commission are also available to the public through the Commission’s website at http://www.sec.gov.</w:t>
      </w:r>
    </w:p>
    <w:p>
      <w:pPr>
        <w:spacing w:after="0" w:line="192" w:lineRule="exact"/>
        <w:rPr>
          <w:sz w:val="20"/>
          <w:szCs w:val="20"/>
          <w:color w:val="auto"/>
        </w:rPr>
      </w:pPr>
    </w:p>
    <w:p>
      <w:pPr>
        <w:ind w:left="120" w:right="119" w:firstLine="216"/>
        <w:spacing w:after="0" w:line="286" w:lineRule="auto"/>
        <w:rPr>
          <w:sz w:val="20"/>
          <w:szCs w:val="20"/>
          <w:color w:val="auto"/>
        </w:rPr>
      </w:pPr>
      <w:r>
        <w:rPr>
          <w:rFonts w:ascii="Arial" w:cs="Arial" w:eastAsia="Arial" w:hAnsi="Arial"/>
          <w:sz w:val="16"/>
          <w:szCs w:val="16"/>
          <w:color w:val="auto"/>
        </w:rPr>
        <w:t>We are not currently subject to the informational requirements of the Exchange Act. Upon completion of this offering, we will be subject to the information reporting requirements of the Exchange Act that are applicable to foreign private issuers, and under those requirements will file reports with the Commission.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Commission as frequently or as promptly as U.S. companies whose securities are registered under the Exchange Act. However, we will file with the Commission, within 120 days after the end of each fiscal year, or such applicable time as required by the Commission, an annual report on Form 20-F containing financial statements audited by an independent registered public accounting firm, and will submit to the Commission, on Form 6-K, unaudited quarterly financial information for the first three quarters of each fiscal year within 60 days after the end of each such quarter, or such applicable time as required by the Commission.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F-2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Consolidated Balance Sheets as of December 31, 2012 and 2013 (audited) and the nine months</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ended September 30, 2014 (unaudited)</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Arial" w:cs="Arial" w:eastAsia="Arial" w:hAnsi="Arial"/>
                <w:sz w:val="18"/>
                <w:szCs w:val="18"/>
                <w:color w:val="auto"/>
                <w:w w:val="91"/>
              </w:rPr>
              <w:t>Consolidated Statements of Income for the years ended December 31, 2012 and 2013 (audited) and</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the nine months ended September 30, 2013 and 2014 (unaudited)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Consolidated Statements of Comprehensive Income for the years ended December 31, 2012 and</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2013 (audited) and for the nine months ended September 30, 2013 and 2014 (unaudited)</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tcPr>
          <w:p>
            <w:pPr>
              <w:spacing w:after="0" w:line="201" w:lineRule="exact"/>
              <w:rPr>
                <w:sz w:val="20"/>
                <w:szCs w:val="20"/>
                <w:color w:val="auto"/>
              </w:rPr>
            </w:pPr>
            <w:r>
              <w:rPr>
                <w:rFonts w:ascii="Arial" w:cs="Arial" w:eastAsia="Arial" w:hAnsi="Arial"/>
                <w:sz w:val="18"/>
                <w:szCs w:val="18"/>
                <w:color w:val="auto"/>
                <w:w w:val="95"/>
              </w:rPr>
              <w:t>Consolidated Statements of Changes in Shareholders’ Equity for the years ended December 31,</w:t>
            </w: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w w:val="93"/>
              </w:rPr>
              <w:t>2012 and 2013 (audited) and the nine months ended September 30, 2013 and 2014 (unaudited)</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Consolidated Statements of Cash Flows for the years ended December 31, 2012 and 2013 (audited)</w:t>
            </w: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the nine months ended September 30, 2013 and 2014 (unaudited)</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360" w:type="dxa"/>
            <w:vAlign w:val="bottom"/>
            <w:tcBorders>
              <w:bottom w:val="single" w:sz="8" w:color="auto"/>
            </w:tcBorders>
          </w:tcPr>
          <w:p>
            <w:pPr>
              <w:ind w:left="4300"/>
              <w:spacing w:after="0"/>
              <w:rPr>
                <w:sz w:val="20"/>
                <w:szCs w:val="20"/>
                <w:color w:val="auto"/>
              </w:rPr>
            </w:pPr>
            <w:r>
              <w:rPr>
                <w:rFonts w:ascii="Arial" w:cs="Arial" w:eastAsia="Arial" w:hAnsi="Arial"/>
                <w:sz w:val="14"/>
                <w:szCs w:val="14"/>
                <w:color w:val="auto"/>
              </w:rPr>
              <w:t>F-1</w:t>
            </w:r>
          </w:p>
        </w:tc>
        <w:tc>
          <w:tcPr>
            <w:tcW w:w="1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0" w:name="page121"/>
    <w:bookmarkEnd w:id="1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998220</wp:posOffset>
            </wp:positionH>
            <wp:positionV relativeFrom="page">
              <wp:posOffset>200660</wp:posOffset>
            </wp:positionV>
            <wp:extent cx="788670" cy="909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788670" cy="90932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120" w:right="119" w:firstLine="216"/>
        <w:spacing w:after="0" w:line="257" w:lineRule="auto"/>
        <w:rPr>
          <w:sz w:val="20"/>
          <w:szCs w:val="20"/>
          <w:color w:val="auto"/>
        </w:rPr>
      </w:pPr>
      <w:r>
        <w:rPr>
          <w:rFonts w:ascii="Arial" w:cs="Arial" w:eastAsia="Arial" w:hAnsi="Arial"/>
          <w:sz w:val="18"/>
          <w:szCs w:val="18"/>
          <w:color w:val="auto"/>
        </w:rPr>
        <w:t>We have audited the accompanying consolidated balance sheets of Kornit Digital Ltd. and its subsidiaries (the “Company”) as of December 31, 2012 and 2013, and the related consolidated statements of comprehensive income, shareholders’ equity and cash flows for each of the two years in the period ended December 31, 2013. These consolidated financial statements are the responsibility of the Company’s management. Our responsibility is to express an opinion on these financial statements based on our audits.</w:t>
      </w:r>
    </w:p>
    <w:p>
      <w:pPr>
        <w:spacing w:after="0" w:line="188" w:lineRule="exact"/>
        <w:rPr>
          <w:sz w:val="20"/>
          <w:szCs w:val="20"/>
          <w:color w:val="auto"/>
        </w:rPr>
      </w:pPr>
    </w:p>
    <w:p>
      <w:pPr>
        <w:ind w:left="120" w:right="119" w:firstLine="216"/>
        <w:spacing w:after="0" w:line="270"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left="120" w:right="119" w:firstLine="216"/>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Company and its subsidiaries at December 31, 2012 and 2013, and the consolidated results of their operations and their cash flows for each of the two years in the period ended December 31, 2013, in conformity with U.S. generally accepted accounting principles.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5960" w:type="dxa"/>
            <w:vAlign w:val="bottom"/>
          </w:tcPr>
          <w:p>
            <w:pPr>
              <w:jc w:val="center"/>
              <w:ind w:left="1294"/>
              <w:spacing w:after="0"/>
              <w:rPr>
                <w:sz w:val="20"/>
                <w:szCs w:val="20"/>
                <w:color w:val="auto"/>
              </w:rPr>
            </w:pPr>
            <w:r>
              <w:rPr>
                <w:rFonts w:ascii="Arial" w:cs="Arial" w:eastAsia="Arial" w:hAnsi="Arial"/>
                <w:sz w:val="18"/>
                <w:szCs w:val="18"/>
                <w:color w:val="auto"/>
                <w:w w:val="91"/>
              </w:rPr>
              <w:t>/s/ Kost Forer Gabbay &amp; Kasierer</w:t>
            </w:r>
          </w:p>
        </w:tc>
      </w:tr>
      <w:tr>
        <w:trPr>
          <w:trHeight w:val="220"/>
        </w:trPr>
        <w:tc>
          <w:tcPr>
            <w:tcW w:w="2820" w:type="dxa"/>
            <w:vAlign w:val="bottom"/>
            <w:gridSpan w:val="2"/>
          </w:tcPr>
          <w:p>
            <w:pPr>
              <w:spacing w:after="0"/>
              <w:rPr>
                <w:sz w:val="20"/>
                <w:szCs w:val="20"/>
                <w:color w:val="auto"/>
              </w:rPr>
            </w:pPr>
            <w:r>
              <w:rPr>
                <w:rFonts w:ascii="Arial" w:cs="Arial" w:eastAsia="Arial" w:hAnsi="Arial"/>
                <w:sz w:val="18"/>
                <w:szCs w:val="18"/>
                <w:color w:val="auto"/>
              </w:rPr>
              <w:t>Tel-Aviv, Israel</w:t>
            </w:r>
          </w:p>
        </w:tc>
        <w:tc>
          <w:tcPr>
            <w:tcW w:w="5960" w:type="dxa"/>
            <w:vAlign w:val="bottom"/>
          </w:tcPr>
          <w:p>
            <w:pPr>
              <w:jc w:val="center"/>
              <w:ind w:left="1294"/>
              <w:spacing w:after="0"/>
              <w:rPr>
                <w:sz w:val="20"/>
                <w:szCs w:val="20"/>
                <w:color w:val="auto"/>
              </w:rPr>
            </w:pPr>
            <w:r>
              <w:rPr>
                <w:rFonts w:ascii="Arial" w:cs="Arial" w:eastAsia="Arial" w:hAnsi="Arial"/>
                <w:sz w:val="18"/>
                <w:szCs w:val="18"/>
                <w:b w:val="1"/>
                <w:bCs w:val="1"/>
                <w:color w:val="auto"/>
                <w:w w:val="99"/>
              </w:rPr>
              <w:t>KOST FORER GABBAY &amp; KASIERER</w:t>
            </w: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December 9, 2014</w:t>
            </w:r>
          </w:p>
        </w:tc>
        <w:tc>
          <w:tcPr>
            <w:tcW w:w="5960" w:type="dxa"/>
            <w:vAlign w:val="bottom"/>
          </w:tcPr>
          <w:p>
            <w:pPr>
              <w:jc w:val="center"/>
              <w:ind w:left="1274"/>
              <w:spacing w:after="0"/>
              <w:rPr>
                <w:sz w:val="20"/>
                <w:szCs w:val="20"/>
                <w:color w:val="auto"/>
              </w:rPr>
            </w:pPr>
            <w:r>
              <w:rPr>
                <w:rFonts w:ascii="Arial" w:cs="Arial" w:eastAsia="Arial" w:hAnsi="Arial"/>
                <w:sz w:val="18"/>
                <w:szCs w:val="18"/>
                <w:color w:val="auto"/>
                <w:w w:val="93"/>
              </w:rPr>
              <w:t>A Member of Ernst &amp; Young Global</w:t>
            </w:r>
          </w:p>
        </w:tc>
      </w:tr>
      <w:tr>
        <w:trPr>
          <w:trHeight w:val="284"/>
        </w:trPr>
        <w:tc>
          <w:tcPr>
            <w:tcW w:w="20" w:type="dxa"/>
            <w:vAlign w:val="bottom"/>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1480"/>
              <w:spacing w:after="0"/>
              <w:rPr>
                <w:sz w:val="20"/>
                <w:szCs w:val="20"/>
                <w:color w:val="auto"/>
              </w:rPr>
            </w:pPr>
            <w:r>
              <w:rPr>
                <w:rFonts w:ascii="Arial" w:cs="Arial" w:eastAsia="Arial" w:hAnsi="Arial"/>
                <w:sz w:val="14"/>
                <w:szCs w:val="14"/>
                <w:color w:val="auto"/>
              </w:rPr>
              <w:t>F-2</w:t>
            </w:r>
          </w:p>
        </w:tc>
      </w:tr>
    </w:tbl>
    <w:p>
      <w:pPr>
        <w:sectPr>
          <w:pgSz w:w="11900" w:h="16838" w:orient="portrait"/>
          <w:cols w:equalWidth="0" w:num="1">
            <w:col w:w="9019"/>
          </w:cols>
          <w:pgMar w:left="1440" w:top="1440" w:right="1440" w:bottom="1440" w:gutter="0" w:footer="0" w:header="0"/>
        </w:sectPr>
      </w:pPr>
    </w:p>
    <w:bookmarkStart w:id="121" w:name="page122"/>
    <w:bookmarkEnd w:id="12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December 31,</w:t>
            </w:r>
          </w:p>
        </w:tc>
        <w:tc>
          <w:tcPr>
            <w:tcW w:w="8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ASSETS</w:t>
            </w:r>
          </w:p>
        </w:tc>
        <w:tc>
          <w:tcPr>
            <w:tcW w:w="3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0" w:type="dxa"/>
            <w:vAlign w:val="bottom"/>
            <w:gridSpan w:val="2"/>
          </w:tcPr>
          <w:p>
            <w:pPr>
              <w:spacing w:after="0"/>
              <w:rPr>
                <w:sz w:val="21"/>
                <w:szCs w:val="21"/>
                <w:color w:val="auto"/>
              </w:rPr>
            </w:pPr>
          </w:p>
        </w:tc>
        <w:tc>
          <w:tcPr>
            <w:tcW w:w="3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4,663</w:t>
            </w: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5,329</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bank deposits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4,359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Other accounts receivable and prepaid expenses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Inventories</w:t>
            </w:r>
          </w:p>
        </w:tc>
        <w:tc>
          <w:tcPr>
            <w:tcW w:w="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8,637</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11,967</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20" w:type="dxa"/>
            <w:vAlign w:val="bottom"/>
            <w:gridSpan w:val="2"/>
          </w:tcPr>
          <w:p>
            <w:pPr>
              <w:spacing w:after="0" w:line="176" w:lineRule="exact"/>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20,917</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27,283</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27,118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Severance pay fund</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3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long-term assets</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3,490</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6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4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7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24,407</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F-3</w:t>
            </w:r>
          </w:p>
        </w:tc>
        <w:tc>
          <w:tcPr>
            <w:tcW w:w="8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2" w:name="page123"/>
    <w:bookmarkEnd w:id="12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Liabilities and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Equity as of</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6"/>
                <w:szCs w:val="16"/>
                <w:b w:val="1"/>
                <w:bCs w:val="1"/>
                <w:color w:val="auto"/>
                <w:w w:val="93"/>
              </w:rPr>
              <w:t>September 30,</w:t>
            </w:r>
          </w:p>
        </w:tc>
        <w:tc>
          <w:tcPr>
            <w:tcW w:w="12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2"/>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5"/>
          </w:tcPr>
          <w:p>
            <w:pPr>
              <w:jc w:val="right"/>
              <w:ind w:right="1040"/>
              <w:spacing w:after="0"/>
              <w:rPr>
                <w:sz w:val="20"/>
                <w:szCs w:val="20"/>
                <w:color w:val="auto"/>
              </w:rPr>
            </w:pPr>
            <w:r>
              <w:rPr>
                <w:rFonts w:ascii="Arial" w:cs="Arial" w:eastAsia="Arial" w:hAnsi="Arial"/>
                <w:sz w:val="16"/>
                <w:szCs w:val="16"/>
                <w:b w:val="1"/>
                <w:bCs w:val="1"/>
                <w:color w:val="auto"/>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LIABILITIES AND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Trade payables</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4,379</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7,225</w:t>
            </w:r>
          </w:p>
        </w:tc>
        <w:tc>
          <w:tcPr>
            <w:tcW w:w="52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5,192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Employees and payroll accruals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w w:val="92"/>
              </w:rPr>
              <w:t>Deferred revenues and advances from customers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2,059</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2,373</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 payables and accrued expenses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8,724</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12,319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60" w:type="dxa"/>
            <w:vAlign w:val="bottom"/>
            <w:gridSpan w:val="5"/>
          </w:tcPr>
          <w:p>
            <w:pPr>
              <w:spacing w:after="0"/>
              <w:rPr>
                <w:sz w:val="20"/>
                <w:szCs w:val="20"/>
                <w:color w:val="auto"/>
              </w:rPr>
            </w:pPr>
            <w:r>
              <w:rPr>
                <w:rFonts w:ascii="Arial" w:cs="Arial" w:eastAsia="Arial" w:hAnsi="Arial"/>
                <w:sz w:val="18"/>
                <w:szCs w:val="18"/>
                <w:color w:val="auto"/>
              </w:rPr>
              <w:t>Accrued severance pay</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1,551</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Total long-term liabilities</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1,372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1,617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308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Ordinary shares of NIS 0.01 par value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3"/>
              </w:rPr>
              <w:t>Authorized: 4,020,280 shares at December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1,366,310, 1,366,310 and 1,369,310 shares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at December 31, 2012 and 2013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1"/>
              </w:rPr>
              <w:t>September 30, 2014 (unaudited); 3,296,450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w w:val="98"/>
              </w:rPr>
              <w:t>shares issued and outstanding pro forma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(unaudited) at September 30, 2014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Preferred A-1 shares of NIS 0.01 par value –</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Authorized: 1,927,220 shares at December</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0"/>
              </w:rPr>
              <w:t>31, 2012 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Issued and Outstanding:</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1,927,140 shares at December 31, 2012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and 2013 and September 30, 2014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(unaudited) ; 0 shares Issued and</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Outstanding pro forma (unaudited)</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40" w:type="dxa"/>
            <w:vAlign w:val="bottom"/>
            <w:gridSpan w:val="4"/>
          </w:tcPr>
          <w:p>
            <w:pPr>
              <w:ind w:left="200"/>
              <w:spacing w:after="0" w:line="201" w:lineRule="exact"/>
              <w:rPr>
                <w:sz w:val="20"/>
                <w:szCs w:val="20"/>
                <w:color w:val="auto"/>
              </w:rPr>
            </w:pPr>
            <w:r>
              <w:rPr>
                <w:rFonts w:ascii="Arial" w:cs="Arial" w:eastAsia="Arial" w:hAnsi="Arial"/>
                <w:sz w:val="18"/>
                <w:szCs w:val="18"/>
                <w:color w:val="auto"/>
              </w:rPr>
              <w:t>Accumulated other comprehensive income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80" w:type="dxa"/>
            <w:vAlign w:val="bottom"/>
            <w:gridSpan w:val="2"/>
          </w:tcPr>
          <w:p>
            <w:pPr>
              <w:ind w:left="60"/>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Additional paid in capital</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11,787</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11,913</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Retained earnings</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4"/>
          </w:tcPr>
          <w:p>
            <w:pPr>
              <w:ind w:left="200"/>
              <w:spacing w:after="0" w:line="176" w:lineRule="exact"/>
              <w:rPr>
                <w:sz w:val="20"/>
                <w:szCs w:val="20"/>
                <w:color w:val="auto"/>
              </w:rPr>
            </w:pPr>
            <w:r>
              <w:rPr>
                <w:rFonts w:ascii="Arial" w:cs="Arial" w:eastAsia="Arial" w:hAnsi="Arial"/>
                <w:sz w:val="18"/>
                <w:szCs w:val="18"/>
                <w:color w:val="auto"/>
              </w:rPr>
              <w:t>Total shareholders’ equity</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14,311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15,608</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17,799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ind w:left="200"/>
              <w:spacing w:after="0" w:line="189" w:lineRule="exact"/>
              <w:rPr>
                <w:sz w:val="20"/>
                <w:szCs w:val="20"/>
                <w:color w:val="auto"/>
              </w:rPr>
            </w:pPr>
            <w:r>
              <w:rPr>
                <w:rFonts w:ascii="Arial" w:cs="Arial" w:eastAsia="Arial" w:hAnsi="Arial"/>
                <w:sz w:val="18"/>
                <w:szCs w:val="18"/>
                <w:color w:val="auto"/>
              </w:rPr>
              <w:t>Total liabilities and shareholders’ equity</w:t>
            </w:r>
          </w:p>
        </w:tc>
        <w:tc>
          <w:tcPr>
            <w:tcW w:w="2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24,407</w:t>
            </w:r>
          </w:p>
        </w:tc>
        <w:tc>
          <w:tcPr>
            <w:tcW w:w="4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31,627</w:t>
            </w:r>
          </w:p>
        </w:tc>
        <w:tc>
          <w:tcPr>
            <w:tcW w:w="520" w:type="dxa"/>
            <w:vAlign w:val="bottom"/>
            <w:gridSpan w:val="2"/>
          </w:tcPr>
          <w:p>
            <w:pPr>
              <w:jc w:val="right"/>
              <w:ind w:right="59"/>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300" w:type="dxa"/>
            <w:vAlign w:val="bottom"/>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32,096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3" w:name="page124"/>
    <w:bookmarkEnd w:id="12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72"/>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39,167</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22,741</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19,652</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16,426</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Selling and marketing</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4,668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7,734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5,357</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Total operating expenses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12,599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18,455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12,601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18,136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auto"/>
            </w:tcBorders>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34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expenses, net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Taxes on income</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1,134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586</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1.69</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0.83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0.43</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8"/>
              </w:rPr>
              <w:t>Basic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gridSpan w:val="2"/>
            <w:vMerge w:val="continue"/>
          </w:tcPr>
          <w:p>
            <w:pPr>
              <w:spacing w:after="0"/>
              <w:rPr>
                <w:sz w:val="22"/>
                <w:szCs w:val="22"/>
                <w:color w:val="auto"/>
              </w:rPr>
            </w:pPr>
          </w:p>
        </w:tc>
        <w:tc>
          <w:tcPr>
            <w:tcW w:w="6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760" w:type="dxa"/>
            <w:vAlign w:val="bottom"/>
            <w:gridSpan w:val="2"/>
          </w:tcPr>
          <w:p>
            <w:pPr>
              <w:spacing w:after="0" w:line="201" w:lineRule="exact"/>
              <w:rPr>
                <w:sz w:val="20"/>
                <w:szCs w:val="20"/>
                <w:color w:val="auto"/>
              </w:rPr>
            </w:pPr>
            <w:r>
              <w:rPr>
                <w:rFonts w:ascii="Arial" w:cs="Arial" w:eastAsia="Arial" w:hAnsi="Arial"/>
                <w:sz w:val="18"/>
                <w:szCs w:val="18"/>
                <w:color w:val="auto"/>
                <w:w w:val="95"/>
              </w:rPr>
              <w:t>Diluted pro forma net earnings per ordinary share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0.33</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60" w:type="dxa"/>
            <w:vAlign w:val="bottom"/>
            <w:gridSpan w:val="2"/>
          </w:tcPr>
          <w:p>
            <w:pPr>
              <w:ind w:left="200"/>
              <w:spacing w:after="0"/>
              <w:rPr>
                <w:sz w:val="20"/>
                <w:szCs w:val="20"/>
                <w:color w:val="auto"/>
              </w:rPr>
            </w:pPr>
            <w:r>
              <w:rPr>
                <w:rFonts w:ascii="Arial" w:cs="Arial" w:eastAsia="Arial" w:hAnsi="Arial"/>
                <w:sz w:val="18"/>
                <w:szCs w:val="18"/>
                <w:color w:val="auto"/>
              </w:rPr>
              <w:t>(unaudited)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4" w:name="page125"/>
    <w:bookmarkEnd w:id="12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439"/>
        <w:spacing w:after="0" w:line="298" w:lineRule="auto"/>
        <w:rPr>
          <w:sz w:val="20"/>
          <w:szCs w:val="20"/>
          <w:color w:val="auto"/>
        </w:rPr>
      </w:pPr>
      <w:r>
        <w:rPr>
          <w:rFonts w:ascii="Arial" w:cs="Arial" w:eastAsia="Arial" w:hAnsi="Arial"/>
          <w:sz w:val="18"/>
          <w:szCs w:val="18"/>
          <w:b w:val="1"/>
          <w:bCs w:val="1"/>
          <w:color w:val="auto"/>
        </w:rPr>
        <w:t>CONSOLIDATED STATEMENTS OF COMPREHENSIVE INCOME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2"/>
              </w:rPr>
              <w:t>Net change in accumulated comprehensive income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2,314</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1,171</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610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gridSpan w:val="3"/>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200" w:type="dxa"/>
            <w:vAlign w:val="bottom"/>
            <w:gridSpan w:val="8"/>
          </w:tcPr>
          <w:p>
            <w:pPr>
              <w:spacing w:after="0"/>
              <w:rPr>
                <w:sz w:val="20"/>
                <w:szCs w:val="20"/>
                <w:color w:val="auto"/>
              </w:rPr>
            </w:pPr>
            <w:r>
              <w:rPr>
                <w:rFonts w:ascii="Arial" w:cs="Arial" w:eastAsia="Arial" w:hAnsi="Arial"/>
                <w:sz w:val="18"/>
                <w:szCs w:val="18"/>
                <w:color w:val="auto"/>
                <w:w w:val="90"/>
              </w:rPr>
              <w:t>The accompanying notes are an integral part of the consolidated financial statements.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F-6</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25" w:name="page126"/>
    <w:bookmarkEnd w:id="12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right="3859"/>
        <w:spacing w:after="0" w:line="298" w:lineRule="auto"/>
        <w:rPr>
          <w:sz w:val="20"/>
          <w:szCs w:val="20"/>
          <w:color w:val="auto"/>
        </w:rPr>
      </w:pPr>
      <w:r>
        <w:rPr>
          <w:rFonts w:ascii="Arial" w:cs="Arial" w:eastAsia="Arial" w:hAnsi="Arial"/>
          <w:sz w:val="18"/>
          <w:szCs w:val="18"/>
          <w:b w:val="1"/>
          <w:bCs w:val="1"/>
          <w:color w:val="auto"/>
        </w:rPr>
        <w:t>STATEMENTS OF CHANGES IN SHAREHOLDERS’ EQUITY U.S. dollars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-177165</wp:posOffset>
            </wp:positionV>
            <wp:extent cx="55740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3"/>
                <w:szCs w:val="13"/>
                <w:b w:val="1"/>
                <w:bCs w:val="1"/>
                <w:color w:val="auto"/>
              </w:rPr>
              <w:t>Preferred A-1 shares</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ind w:left="300"/>
              <w:spacing w:after="0"/>
              <w:rPr>
                <w:sz w:val="20"/>
                <w:szCs w:val="20"/>
                <w:color w:val="auto"/>
              </w:rPr>
            </w:pPr>
            <w:r>
              <w:rPr>
                <w:rFonts w:ascii="Arial" w:cs="Arial" w:eastAsia="Arial" w:hAnsi="Arial"/>
                <w:sz w:val="13"/>
                <w:szCs w:val="13"/>
                <w:b w:val="1"/>
                <w:bCs w:val="1"/>
                <w:color w:val="auto"/>
              </w:rPr>
              <w:t>Ordinary shares</w:t>
            </w:r>
          </w:p>
        </w:tc>
        <w:tc>
          <w:tcPr>
            <w:tcW w:w="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8"/>
              </w:rPr>
              <w:t>Accumulated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1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Other</w:t>
            </w:r>
          </w:p>
        </w:tc>
        <w:tc>
          <w:tcPr>
            <w:tcW w:w="1040" w:type="dxa"/>
            <w:vAlign w:val="bottom"/>
            <w:gridSpan w:val="4"/>
          </w:tcPr>
          <w:p>
            <w:pPr>
              <w:jc w:val="center"/>
              <w:ind w:right="300"/>
              <w:spacing w:after="0" w:line="110" w:lineRule="exact"/>
              <w:rPr>
                <w:sz w:val="20"/>
                <w:szCs w:val="20"/>
                <w:color w:val="auto"/>
              </w:rPr>
            </w:pPr>
            <w:r>
              <w:rPr>
                <w:rFonts w:ascii="Arial" w:cs="Arial" w:eastAsia="Arial" w:hAnsi="Arial"/>
                <w:sz w:val="12"/>
                <w:szCs w:val="12"/>
                <w:b w:val="1"/>
                <w:bCs w:val="1"/>
                <w:color w:val="auto"/>
                <w:w w:val="96"/>
              </w:rPr>
              <w:t>Number of</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gridSpan w:val="4"/>
          </w:tcPr>
          <w:p>
            <w:pPr>
              <w:jc w:val="center"/>
              <w:ind w:right="280"/>
              <w:spacing w:after="0" w:line="110" w:lineRule="exact"/>
              <w:rPr>
                <w:sz w:val="20"/>
                <w:szCs w:val="20"/>
                <w:color w:val="auto"/>
              </w:rPr>
            </w:pPr>
            <w:r>
              <w:rPr>
                <w:rFonts w:ascii="Arial" w:cs="Arial" w:eastAsia="Arial" w:hAnsi="Arial"/>
                <w:sz w:val="12"/>
                <w:szCs w:val="12"/>
                <w:b w:val="1"/>
                <w:bCs w:val="1"/>
                <w:color w:val="auto"/>
                <w:w w:val="96"/>
              </w:rPr>
              <w:t>Number of</w:t>
            </w: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gridSpan w:val="2"/>
          </w:tcPr>
          <w:p>
            <w:pPr>
              <w:jc w:val="right"/>
              <w:ind w:right="17"/>
              <w:spacing w:after="0" w:line="110" w:lineRule="exact"/>
              <w:rPr>
                <w:sz w:val="20"/>
                <w:szCs w:val="20"/>
                <w:color w:val="auto"/>
              </w:rPr>
            </w:pPr>
            <w:r>
              <w:rPr>
                <w:rFonts w:ascii="Arial" w:cs="Arial" w:eastAsia="Arial" w:hAnsi="Arial"/>
                <w:sz w:val="12"/>
                <w:szCs w:val="12"/>
                <w:b w:val="1"/>
                <w:bCs w:val="1"/>
                <w:color w:val="auto"/>
              </w:rPr>
              <w:t>Additional</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jc w:val="center"/>
              <w:ind w:right="420"/>
              <w:spacing w:after="0" w:line="110" w:lineRule="exact"/>
              <w:rPr>
                <w:sz w:val="20"/>
                <w:szCs w:val="20"/>
                <w:color w:val="auto"/>
              </w:rPr>
            </w:pPr>
            <w:r>
              <w:rPr>
                <w:rFonts w:ascii="Arial" w:cs="Arial" w:eastAsia="Arial" w:hAnsi="Arial"/>
                <w:sz w:val="12"/>
                <w:szCs w:val="12"/>
                <w:b w:val="1"/>
                <w:bCs w:val="1"/>
                <w:color w:val="auto"/>
                <w:w w:val="93"/>
              </w:rPr>
              <w:t>other</w:t>
            </w: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35"/>
        </w:trPr>
        <w:tc>
          <w:tcPr>
            <w:tcW w:w="11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380"/>
              <w:spacing w:after="0" w:line="135" w:lineRule="exact"/>
              <w:rPr>
                <w:sz w:val="20"/>
                <w:szCs w:val="20"/>
                <w:color w:val="auto"/>
              </w:rPr>
            </w:pPr>
            <w:r>
              <w:rPr>
                <w:rFonts w:ascii="Arial" w:cs="Arial" w:eastAsia="Arial" w:hAnsi="Arial"/>
                <w:sz w:val="13"/>
                <w:szCs w:val="13"/>
                <w:b w:val="1"/>
                <w:bCs w:val="1"/>
                <w:color w:val="auto"/>
                <w:w w:val="81"/>
              </w:rPr>
              <w:t>shares</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 in</w:t>
            </w:r>
          </w:p>
        </w:tc>
        <w:tc>
          <w:tcPr>
            <w:tcW w:w="220" w:type="dxa"/>
            <w:vAlign w:val="bottom"/>
          </w:tcPr>
          <w:p>
            <w:pPr>
              <w:spacing w:after="0"/>
              <w:rPr>
                <w:sz w:val="11"/>
                <w:szCs w:val="11"/>
                <w:color w:val="auto"/>
              </w:rPr>
            </w:pPr>
          </w:p>
        </w:tc>
        <w:tc>
          <w:tcPr>
            <w:tcW w:w="116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5"/>
              </w:rPr>
              <w:t>comprehensive</w:t>
            </w: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w w:val="90"/>
              </w:rPr>
              <w:t>Retained</w:t>
            </w:r>
          </w:p>
        </w:tc>
        <w:tc>
          <w:tcPr>
            <w:tcW w:w="22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shareholders’</w:t>
            </w:r>
          </w:p>
        </w:tc>
        <w:tc>
          <w:tcPr>
            <w:tcW w:w="0" w:type="dxa"/>
            <w:vAlign w:val="bottom"/>
          </w:tcPr>
          <w:p>
            <w:pPr>
              <w:spacing w:after="0"/>
              <w:rPr>
                <w:sz w:val="1"/>
                <w:szCs w:val="1"/>
                <w:color w:val="auto"/>
              </w:rPr>
            </w:pPr>
          </w:p>
        </w:tc>
      </w:tr>
      <w:tr>
        <w:trPr>
          <w:trHeight w:val="153"/>
        </w:trPr>
        <w:tc>
          <w:tcPr>
            <w:tcW w:w="1140" w:type="dxa"/>
            <w:vAlign w:val="bottom"/>
            <w:gridSpan w:val="2"/>
          </w:tcPr>
          <w:p>
            <w:pPr>
              <w:spacing w:after="0"/>
              <w:rPr>
                <w:sz w:val="20"/>
                <w:szCs w:val="20"/>
                <w:color w:val="auto"/>
              </w:rPr>
            </w:pPr>
            <w:r>
              <w:rPr>
                <w:rFonts w:ascii="Arial" w:cs="Arial" w:eastAsia="Arial" w:hAnsi="Arial"/>
                <w:sz w:val="13"/>
                <w:szCs w:val="13"/>
                <w:b w:val="1"/>
                <w:bCs w:val="1"/>
                <w:color w:val="auto"/>
              </w:rPr>
              <w:t>income</w:t>
            </w:r>
          </w:p>
        </w:tc>
        <w:tc>
          <w:tcPr>
            <w:tcW w:w="10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3"/>
              </w:rPr>
              <w:t>outstanding</w:t>
            </w: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3"/>
                <w:szCs w:val="13"/>
                <w:color w:val="auto"/>
              </w:rPr>
            </w:pPr>
          </w:p>
        </w:tc>
        <w:tc>
          <w:tcPr>
            <w:tcW w:w="10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5"/>
              </w:rPr>
              <w:t>outstanding</w:t>
            </w:r>
          </w:p>
        </w:tc>
        <w:tc>
          <w:tcPr>
            <w:tcW w:w="480" w:type="dxa"/>
            <w:vAlign w:val="bottom"/>
          </w:tcPr>
          <w:p>
            <w:pPr>
              <w:ind w:left="40"/>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83"/>
              </w:rPr>
              <w:t>income</w:t>
            </w: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8"/>
              </w:rPr>
              <w:t>earnings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3"/>
                <w:szCs w:val="13"/>
                <w:color w:val="auto"/>
                <w:w w:val="88"/>
              </w:rPr>
              <w:t>e</w:t>
            </w:r>
            <w:r>
              <w:rPr>
                <w:rFonts w:ascii="Arial" w:cs="Arial" w:eastAsia="Arial" w:hAnsi="Arial"/>
                <w:sz w:val="13"/>
                <w:szCs w:val="13"/>
                <w:b w:val="1"/>
                <w:bCs w:val="1"/>
                <w:color w:val="auto"/>
                <w:w w:val="88"/>
              </w:rPr>
              <w:t>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2011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11,710</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11,920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2,314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77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11,787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2,516</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14,311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1,134</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1,134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tcPr>
          <w:p>
            <w:pPr>
              <w:ind w:left="200"/>
              <w:spacing w:after="0" w:line="135" w:lineRule="exact"/>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gridSpan w:val="2"/>
          </w:tcPr>
          <w:p>
            <w:pPr>
              <w:ind w:left="220"/>
              <w:spacing w:after="0"/>
              <w:rPr>
                <w:sz w:val="20"/>
                <w:szCs w:val="20"/>
                <w:color w:val="auto"/>
              </w:rPr>
            </w:pPr>
            <w:r>
              <w:rPr>
                <w:rFonts w:ascii="Arial" w:cs="Arial" w:eastAsia="Arial" w:hAnsi="Arial"/>
                <w:sz w:val="13"/>
                <w:szCs w:val="13"/>
                <w:color w:val="auto"/>
              </w:rPr>
              <w:t>2013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tcPr>
          <w:p>
            <w:pPr>
              <w:jc w:val="right"/>
              <w:spacing w:after="0"/>
              <w:rPr>
                <w:sz w:val="20"/>
                <w:szCs w:val="20"/>
                <w:color w:val="auto"/>
              </w:rPr>
            </w:pPr>
            <w:r>
              <w:rPr>
                <w:rFonts w:ascii="Arial" w:cs="Arial" w:eastAsia="Arial" w:hAnsi="Arial"/>
                <w:sz w:val="13"/>
                <w:szCs w:val="13"/>
                <w:color w:val="auto"/>
              </w:rPr>
              <w:t>1,366,310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3</w:t>
            </w:r>
          </w:p>
        </w:tc>
        <w:tc>
          <w:tcPr>
            <w:tcW w:w="22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11,913</w:t>
            </w:r>
          </w:p>
        </w:tc>
        <w:tc>
          <w:tcPr>
            <w:tcW w:w="1080" w:type="dxa"/>
            <w:vAlign w:val="bottom"/>
            <w:gridSpan w:val="3"/>
          </w:tcPr>
          <w:p>
            <w:pPr>
              <w:jc w:val="right"/>
              <w:spacing w:after="0"/>
              <w:rPr>
                <w:sz w:val="20"/>
                <w:szCs w:val="20"/>
                <w:color w:val="auto"/>
              </w:rPr>
            </w:pPr>
            <w:r>
              <w:rPr>
                <w:rFonts w:ascii="Arial" w:cs="Arial" w:eastAsia="Arial" w:hAnsi="Arial"/>
                <w:sz w:val="13"/>
                <w:szCs w:val="13"/>
                <w:color w:val="auto"/>
              </w:rPr>
              <w:t>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3,650</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15,608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2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80" w:type="dxa"/>
            <w:vAlign w:val="bottom"/>
          </w:tcPr>
          <w:p>
            <w:pPr>
              <w:spacing w:after="0"/>
              <w:rPr>
                <w:sz w:val="11"/>
                <w:szCs w:val="11"/>
                <w:color w:val="auto"/>
              </w:rPr>
            </w:pPr>
          </w:p>
        </w:tc>
        <w:tc>
          <w:tcPr>
            <w:tcW w:w="960" w:type="dxa"/>
            <w:vAlign w:val="bottom"/>
            <w:gridSpan w:val="3"/>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480" w:type="dxa"/>
            <w:vAlign w:val="bottom"/>
          </w:tcPr>
          <w:p>
            <w:pPr>
              <w:spacing w:after="0"/>
              <w:rPr>
                <w:sz w:val="11"/>
                <w:szCs w:val="11"/>
                <w:color w:val="auto"/>
              </w:rPr>
            </w:pPr>
          </w:p>
        </w:tc>
        <w:tc>
          <w:tcPr>
            <w:tcW w:w="3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w w:val="91"/>
              </w:rPr>
              <w:t>—</w:t>
            </w:r>
          </w:p>
        </w:tc>
        <w:tc>
          <w:tcPr>
            <w:tcW w:w="8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1,829</w:t>
            </w: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options</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96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3,000</w:t>
            </w: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tcPr>
          <w:p>
            <w:pPr>
              <w:spacing w:after="0" w:line="121" w:lineRule="exact"/>
              <w:rPr>
                <w:sz w:val="20"/>
                <w:szCs w:val="20"/>
                <w:color w:val="auto"/>
              </w:rPr>
            </w:pPr>
            <w:r>
              <w:rPr>
                <w:rFonts w:ascii="Arial" w:cs="Arial" w:eastAsia="Arial" w:hAnsi="Arial"/>
                <w:sz w:val="13"/>
                <w:szCs w:val="13"/>
                <w:color w:val="auto"/>
              </w:rPr>
              <w:t>Share-based</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ind w:left="200"/>
              <w:spacing w:after="0"/>
              <w:rPr>
                <w:sz w:val="20"/>
                <w:szCs w:val="20"/>
                <w:color w:val="auto"/>
              </w:rPr>
            </w:pPr>
            <w:r>
              <w:rPr>
                <w:rFonts w:ascii="Arial" w:cs="Arial" w:eastAsia="Arial" w:hAnsi="Arial"/>
                <w:sz w:val="13"/>
                <w:szCs w:val="13"/>
                <w:color w:val="auto"/>
              </w:rPr>
              <w:t>compensation</w:t>
            </w:r>
          </w:p>
        </w:tc>
        <w:tc>
          <w:tcPr>
            <w:tcW w:w="80" w:type="dxa"/>
            <w:vAlign w:val="bottom"/>
          </w:tcPr>
          <w:p>
            <w:pPr>
              <w:spacing w:after="0"/>
              <w:rPr>
                <w:sz w:val="12"/>
                <w:szCs w:val="1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2"/>
                <w:szCs w:val="12"/>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3"/>
                <w:szCs w:val="13"/>
                <w:color w:val="auto"/>
                <w:w w:val="91"/>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513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30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Other</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comprehensive</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income</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1"/>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4"/>
            <w:shd w:val="clear" w:color="auto" w:fill="CCEEFF"/>
          </w:tcPr>
          <w:p>
            <w:pPr>
              <w:jc w:val="right"/>
              <w:ind w:right="180"/>
              <w:spacing w:after="0"/>
              <w:rPr>
                <w:sz w:val="20"/>
                <w:szCs w:val="20"/>
                <w:color w:val="auto"/>
              </w:rPr>
            </w:pPr>
            <w:r>
              <w:rPr>
                <w:rFonts w:ascii="Arial" w:cs="Arial" w:eastAsia="Arial" w:hAnsi="Arial"/>
                <w:sz w:val="13"/>
                <w:szCs w:val="13"/>
                <w:color w:val="auto"/>
              </w:rPr>
              <w:t>(157)</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20" w:type="dxa"/>
            <w:vAlign w:val="bottom"/>
            <w:gridSpan w:val="4"/>
            <w:shd w:val="clear" w:color="auto" w:fill="CCEEFF"/>
          </w:tcPr>
          <w:p>
            <w:pPr>
              <w:jc w:val="right"/>
              <w:ind w:right="60"/>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12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Balance at</w:t>
            </w: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September 30,</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2014</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(Unaudited)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1,927,140</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1,369,310</w:t>
            </w: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12,432</w:t>
            </w:r>
          </w:p>
        </w:tc>
        <w:tc>
          <w:tcPr>
            <w:tcW w:w="1300" w:type="dxa"/>
            <w:vAlign w:val="bottom"/>
            <w:gridSpan w:val="4"/>
            <w:shd w:val="clear" w:color="auto" w:fill="CCEEFF"/>
          </w:tcPr>
          <w:p>
            <w:pPr>
              <w:jc w:val="right"/>
              <w:ind w:right="180"/>
              <w:spacing w:after="0" w:line="176" w:lineRule="exact"/>
              <w:rPr>
                <w:sz w:val="20"/>
                <w:szCs w:val="20"/>
                <w:color w:val="auto"/>
              </w:rPr>
            </w:pPr>
            <w:r>
              <w:rPr>
                <w:rFonts w:ascii="Arial" w:cs="Arial" w:eastAsia="Arial" w:hAnsi="Arial"/>
                <w:sz w:val="11"/>
                <w:szCs w:val="11"/>
                <w:color w:val="auto"/>
              </w:rPr>
              <w:t>(120</w:t>
            </w:r>
            <w:r>
              <w:rPr>
                <w:rFonts w:ascii="Arial" w:cs="Arial" w:eastAsia="Arial" w:hAnsi="Arial"/>
                <w:sz w:val="20"/>
                <w:szCs w:val="20"/>
                <w:color w:val="auto"/>
                <w:vertAlign w:val="superscript"/>
              </w:rPr>
              <w:t>)</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17,799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tabs>
          <w:tab w:leader="none" w:pos="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Represents an amount lower than $ 1.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6" w:name="page127"/>
    <w:bookmarkEnd w:id="12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9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0" w:type="dxa"/>
            <w:vAlign w:val="bottom"/>
            <w:gridSpan w:val="4"/>
          </w:tcPr>
          <w:p>
            <w:pPr>
              <w:jc w:val="center"/>
              <w:ind w:right="980"/>
              <w:spacing w:after="0"/>
              <w:rPr>
                <w:sz w:val="20"/>
                <w:szCs w:val="20"/>
                <w:color w:val="auto"/>
              </w:rPr>
            </w:pPr>
            <w:r>
              <w:rPr>
                <w:rFonts w:ascii="Arial" w:cs="Arial" w:eastAsia="Arial" w:hAnsi="Arial"/>
                <w:sz w:val="16"/>
                <w:szCs w:val="16"/>
                <w:b w:val="1"/>
                <w:bCs w:val="1"/>
                <w:color w:val="auto"/>
                <w:w w:val="90"/>
              </w:rPr>
              <w:t>Year ended</w:t>
            </w: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1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r>
      <w:tr>
        <w:trPr>
          <w:trHeight w:val="223"/>
        </w:trPr>
        <w:tc>
          <w:tcPr>
            <w:tcW w:w="4020" w:type="dxa"/>
            <w:vAlign w:val="bottom"/>
            <w:gridSpan w:val="3"/>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6"/>
                <w:szCs w:val="16"/>
                <w:b w:val="1"/>
                <w:bCs w:val="1"/>
                <w:color w:val="auto"/>
                <w:w w:val="94"/>
              </w:rPr>
              <w:t>Unaudited</w:t>
            </w:r>
          </w:p>
        </w:tc>
      </w:tr>
      <w:tr>
        <w:trPr>
          <w:trHeight w:val="199"/>
        </w:trPr>
        <w:tc>
          <w:tcPr>
            <w:tcW w:w="20" w:type="dxa"/>
            <w:vAlign w:val="bottom"/>
          </w:tcPr>
          <w:p>
            <w:pPr>
              <w:spacing w:after="0"/>
              <w:rPr>
                <w:sz w:val="17"/>
                <w:szCs w:val="17"/>
                <w:color w:val="auto"/>
              </w:rPr>
            </w:pPr>
          </w:p>
        </w:tc>
        <w:tc>
          <w:tcPr>
            <w:tcW w:w="4660" w:type="dxa"/>
            <w:vAlign w:val="bottom"/>
            <w:tcBorders>
              <w:top w:val="single" w:sz="8" w:color="CCEEFF"/>
            </w:tcBorders>
            <w:gridSpan w:val="3"/>
            <w:shd w:val="clear" w:color="auto" w:fill="CCEEFF"/>
          </w:tcPr>
          <w:p>
            <w:pPr>
              <w:jc w:val="right"/>
              <w:ind w:right="2039"/>
              <w:spacing w:after="0"/>
              <w:rPr>
                <w:sz w:val="20"/>
                <w:szCs w:val="20"/>
                <w:color w:val="auto"/>
              </w:rPr>
            </w:pPr>
            <w:r>
              <w:rPr>
                <w:rFonts w:ascii="Arial" w:cs="Arial" w:eastAsia="Arial" w:hAnsi="Arial"/>
                <w:sz w:val="16"/>
                <w:szCs w:val="16"/>
                <w:color w:val="auto"/>
                <w:w w:val="91"/>
              </w:rPr>
              <w:t>Cash flows used in operating activities:</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tcPr>
          <w:p>
            <w:pPr>
              <w:spacing w:after="0"/>
              <w:rPr>
                <w:sz w:val="20"/>
                <w:szCs w:val="20"/>
                <w:color w:val="auto"/>
              </w:rPr>
            </w:pPr>
            <w:r>
              <w:rPr>
                <w:rFonts w:ascii="Arial" w:cs="Arial" w:eastAsia="Arial" w:hAnsi="Arial"/>
                <w:sz w:val="16"/>
                <w:szCs w:val="16"/>
                <w:color w:val="auto"/>
                <w:w w:val="95"/>
              </w:rPr>
              <w:t>Adjustments to reconcile net income to net cash provided</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gridSpan w:val="4"/>
          </w:tcPr>
          <w:p>
            <w:pPr>
              <w:ind w:left="200"/>
              <w:spacing w:after="0"/>
              <w:rPr>
                <w:sz w:val="20"/>
                <w:szCs w:val="20"/>
                <w:color w:val="auto"/>
              </w:rPr>
            </w:pPr>
            <w:r>
              <w:rPr>
                <w:rFonts w:ascii="Arial" w:cs="Arial" w:eastAsia="Arial" w:hAnsi="Arial"/>
                <w:sz w:val="16"/>
                <w:szCs w:val="16"/>
                <w:color w:val="auto"/>
              </w:rPr>
              <w:t>by (used in) operating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(decrease) in accrued severance pay,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Changes in deferred income taxes,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trade receivables,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Decrease (increase) in other 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Increase in inventories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trade payables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7"/>
              </w:rPr>
              <w:t>Increase (decrease) in deferred revenues and advances</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(1,119)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from customers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in employees and payroll accruals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Decrease (increase) in other assets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w w:val="89"/>
              </w:rPr>
              <w:t>Increase (decrease) in other payables and 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Interest on short-term bank deposit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Gain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Foreign currency re-measurement gain (loss)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flows used in investing activities:</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72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Purchase of property and equipment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Purchase of intangible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Proceeds from (investment in) bank deposits, net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Proceeds from sale of property and equipment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Net cash provided by (used in) investing activities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920" w:type="dxa"/>
            <w:vAlign w:val="bottom"/>
            <w:gridSpan w:val="5"/>
          </w:tcPr>
          <w:p>
            <w:pPr>
              <w:spacing w:after="0"/>
              <w:rPr>
                <w:sz w:val="20"/>
                <w:szCs w:val="20"/>
                <w:color w:val="auto"/>
              </w:rPr>
            </w:pPr>
            <w:r>
              <w:rPr>
                <w:rFonts w:ascii="Arial" w:cs="Arial" w:eastAsia="Arial" w:hAnsi="Arial"/>
                <w:sz w:val="16"/>
                <w:szCs w:val="16"/>
                <w:color w:val="auto"/>
              </w:rPr>
              <w:t>Cash flows used in financing activities:</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2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Payment of deferred issuance costs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Net cash provided by financing activities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2"/>
              </w:rPr>
              <w:t>Foreign currency translation adjustments on cash and cash</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900" w:type="dxa"/>
            <w:vAlign w:val="bottom"/>
            <w:gridSpan w:val="4"/>
            <w:shd w:val="clear" w:color="auto" w:fill="CCEEFF"/>
          </w:tcPr>
          <w:p>
            <w:pPr>
              <w:ind w:left="200"/>
              <w:spacing w:after="0"/>
              <w:rPr>
                <w:sz w:val="20"/>
                <w:szCs w:val="20"/>
                <w:color w:val="auto"/>
              </w:rPr>
            </w:pPr>
            <w:r>
              <w:rPr>
                <w:rFonts w:ascii="Arial" w:cs="Arial" w:eastAsia="Arial" w:hAnsi="Arial"/>
                <w:sz w:val="16"/>
                <w:szCs w:val="16"/>
                <w:color w:val="auto"/>
              </w:rPr>
              <w:t>equivalents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5"/>
          </w:tcPr>
          <w:p>
            <w:pPr>
              <w:spacing w:after="0"/>
              <w:rPr>
                <w:sz w:val="20"/>
                <w:szCs w:val="20"/>
                <w:color w:val="auto"/>
              </w:rPr>
            </w:pPr>
            <w:r>
              <w:rPr>
                <w:rFonts w:ascii="Arial" w:cs="Arial" w:eastAsia="Arial" w:hAnsi="Arial"/>
                <w:sz w:val="16"/>
                <w:szCs w:val="16"/>
                <w:color w:val="auto"/>
              </w:rPr>
              <w:t>Increase (decrease) in cash and cash equivalents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w w:val="99"/>
              </w:rPr>
              <w:t>Cash and cash equivalents at the beginning of the year</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year</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5,757</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Supplemental disclosure of cash flow information:</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40" w:type="dxa"/>
            <w:vAlign w:val="bottom"/>
            <w:tcBorders>
              <w:top w:val="single" w:sz="8" w:color="auto"/>
            </w:tcBorders>
            <w:gridSpan w:val="2"/>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6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Cash paid during the year for income taxes</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9019"/>
          </w:cols>
          <w:pgMar w:left="1440" w:top="337" w:right="1440" w:bottom="1440" w:gutter="0" w:footer="0" w:header="0"/>
        </w:sect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7" w:name="page128"/>
    <w:bookmarkEnd w:id="12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w w:val="92"/>
              </w:rPr>
              <w:t>Year ended</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jc w:val="center"/>
              <w:ind w:right="112"/>
              <w:spacing w:after="0"/>
              <w:rPr>
                <w:sz w:val="20"/>
                <w:szCs w:val="20"/>
                <w:color w:val="auto"/>
              </w:rPr>
            </w:pPr>
            <w:r>
              <w:rPr>
                <w:rFonts w:ascii="Arial" w:cs="Arial" w:eastAsia="Arial" w:hAnsi="Arial"/>
                <w:sz w:val="16"/>
                <w:szCs w:val="16"/>
                <w:b w:val="1"/>
                <w:bCs w:val="1"/>
                <w:color w:val="auto"/>
                <w:w w:val="91"/>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35"/>
              <w:spacing w:after="0"/>
              <w:rPr>
                <w:sz w:val="20"/>
                <w:szCs w:val="20"/>
                <w:color w:val="auto"/>
              </w:rPr>
            </w:pPr>
            <w:r>
              <w:rPr>
                <w:rFonts w:ascii="Arial" w:cs="Arial" w:eastAsia="Arial" w:hAnsi="Arial"/>
                <w:sz w:val="16"/>
                <w:szCs w:val="16"/>
                <w:b w:val="1"/>
                <w:bCs w:val="1"/>
                <w:color w:val="auto"/>
              </w:rPr>
              <w:t>2013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gridSpan w:val="4"/>
          </w:tcPr>
          <w:p>
            <w:pPr>
              <w:jc w:val="center"/>
              <w:ind w:left="395"/>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top w:val="single" w:sz="8" w:color="auto"/>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  Non-cash investing activities: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2140" w:type="dxa"/>
            <w:vAlign w:val="bottom"/>
            <w:tcBorders>
              <w:top w:val="single" w:sz="8" w:color="auto"/>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7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6"/>
              </w:rPr>
              <w:t>Purchase of property and equipment on credit</w:t>
            </w:r>
          </w:p>
        </w:tc>
        <w:tc>
          <w:tcPr>
            <w:tcW w:w="740" w:type="dxa"/>
            <w:vAlign w:val="bottom"/>
            <w:gridSpan w:val="2"/>
            <w:shd w:val="clear" w:color="auto" w:fill="CCEEFF"/>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w:t>
            </w:r>
          </w:p>
        </w:tc>
        <w:tc>
          <w:tcPr>
            <w:tcW w:w="9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Non-cash issuance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CEEFF"/>
              <w:bottom w:val="single" w:sz="8" w:color="CCEEFF"/>
            </w:tcBorders>
            <w:gridSpan w:val="3"/>
            <w:vMerge w:val="restart"/>
          </w:tcPr>
          <w:p>
            <w:pPr>
              <w:ind w:left="360"/>
              <w:spacing w:after="0" w:line="195" w:lineRule="exact"/>
              <w:rPr>
                <w:sz w:val="20"/>
                <w:szCs w:val="20"/>
                <w:color w:val="auto"/>
              </w:rPr>
            </w:pPr>
            <w:r>
              <w:rPr>
                <w:rFonts w:ascii="Arial" w:cs="Arial" w:eastAsia="Arial" w:hAnsi="Arial"/>
                <w:sz w:val="18"/>
                <w:szCs w:val="18"/>
                <w:color w:val="auto"/>
                <w:w w:val="91"/>
              </w:rPr>
              <w:t>Inventory transferred to be used as property and</w:t>
            </w: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900" w:type="dxa"/>
            <w:vAlign w:val="bottom"/>
            <w:gridSpan w:val="3"/>
            <w:vMerge w:val="continue"/>
          </w:tcPr>
          <w:p>
            <w:pPr>
              <w:spacing w:after="0"/>
              <w:rPr>
                <w:sz w:val="13"/>
                <w:szCs w:val="13"/>
                <w:color w:val="auto"/>
              </w:rPr>
            </w:pPr>
          </w:p>
        </w:tc>
        <w:tc>
          <w:tcPr>
            <w:tcW w:w="740" w:type="dxa"/>
            <w:vAlign w:val="bottom"/>
            <w:gridSpan w:val="2"/>
            <w:vMerge w:val="restart"/>
          </w:tcPr>
          <w:p>
            <w:pPr>
              <w:jc w:val="right"/>
              <w:ind w:right="479"/>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w w:val="86"/>
              </w:rPr>
              <w:t>380</w:t>
            </w: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w w:val="86"/>
              </w:rPr>
              <w:t>208</w:t>
            </w: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208</w:t>
            </w:r>
          </w:p>
        </w:tc>
        <w:tc>
          <w:tcPr>
            <w:tcW w:w="280" w:type="dxa"/>
            <w:vAlign w:val="bottom"/>
          </w:tcPr>
          <w:p>
            <w:pPr>
              <w:spacing w:after="0"/>
              <w:rPr>
                <w:sz w:val="13"/>
                <w:szCs w:val="13"/>
                <w:color w:val="auto"/>
              </w:rPr>
            </w:pPr>
          </w:p>
        </w:tc>
        <w:tc>
          <w:tcPr>
            <w:tcW w:w="2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gridSpan w:val="3"/>
          </w:tcPr>
          <w:p>
            <w:pPr>
              <w:ind w:left="360"/>
              <w:spacing w:after="0"/>
              <w:rPr>
                <w:sz w:val="20"/>
                <w:szCs w:val="20"/>
                <w:color w:val="auto"/>
              </w:rPr>
            </w:pPr>
            <w:r>
              <w:rPr>
                <w:rFonts w:ascii="Arial" w:cs="Arial" w:eastAsia="Arial" w:hAnsi="Arial"/>
                <w:sz w:val="18"/>
                <w:szCs w:val="18"/>
                <w:color w:val="auto"/>
              </w:rPr>
              <w:t>equipment</w:t>
            </w:r>
          </w:p>
        </w:tc>
        <w:tc>
          <w:tcPr>
            <w:tcW w:w="740" w:type="dxa"/>
            <w:vAlign w:val="bottom"/>
            <w:gridSpan w:val="2"/>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8" w:name="page129"/>
    <w:bookmarkEnd w:id="12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1:-</w:t>
        <w:tab/>
        <w:t>GENERAL</w:t>
      </w:r>
    </w:p>
    <w:p>
      <w:pPr>
        <w:spacing w:after="0" w:line="229" w:lineRule="exact"/>
        <w:rPr>
          <w:sz w:val="20"/>
          <w:szCs w:val="20"/>
          <w:color w:val="auto"/>
        </w:rPr>
      </w:pPr>
    </w:p>
    <w:p>
      <w:pPr>
        <w:ind w:left="1520" w:right="199" w:hanging="369"/>
        <w:spacing w:after="0" w:line="257" w:lineRule="auto"/>
        <w:tabs>
          <w:tab w:leader="none" w:pos="1447" w:val="left"/>
        </w:tabs>
        <w:numPr>
          <w:ilvl w:val="0"/>
          <w:numId w:val="80"/>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 added services.</w:t>
      </w:r>
    </w:p>
    <w:p>
      <w:pPr>
        <w:spacing w:after="0" w:line="188" w:lineRule="exact"/>
        <w:rPr>
          <w:rFonts w:ascii="Arial" w:cs="Arial" w:eastAsia="Arial" w:hAnsi="Arial"/>
          <w:sz w:val="18"/>
          <w:szCs w:val="18"/>
          <w:color w:val="auto"/>
        </w:rPr>
      </w:pPr>
    </w:p>
    <w:p>
      <w:pPr>
        <w:ind w:left="1520" w:right="359" w:hanging="369"/>
        <w:spacing w:after="0" w:line="312" w:lineRule="auto"/>
        <w:tabs>
          <w:tab w:leader="none" w:pos="145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has established wholly-owned subsidiaries in Israel, the United States, Germany and Hong-Kong. The Company’s subsidiaries are engaged primarily in sales, and marketing, except for the Israeli subsidiary which is engaged primarily in research and development and manufacturing.</w:t>
      </w:r>
    </w:p>
    <w:p>
      <w:pPr>
        <w:spacing w:after="0" w:line="146" w:lineRule="exact"/>
        <w:rPr>
          <w:rFonts w:ascii="Arial" w:cs="Arial" w:eastAsia="Arial" w:hAnsi="Arial"/>
          <w:sz w:val="16"/>
          <w:szCs w:val="16"/>
          <w:color w:val="auto"/>
        </w:rPr>
      </w:pPr>
    </w:p>
    <w:p>
      <w:pPr>
        <w:ind w:left="1520" w:right="199" w:hanging="369"/>
        <w:spacing w:after="0" w:line="297" w:lineRule="auto"/>
        <w:tabs>
          <w:tab w:leader="none" w:pos="14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depends on two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54"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1160" w:right="919"/>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Use of estimates:</w:t>
      </w:r>
    </w:p>
    <w:p>
      <w:pPr>
        <w:spacing w:after="0" w:line="225" w:lineRule="exact"/>
        <w:rPr>
          <w:sz w:val="20"/>
          <w:szCs w:val="20"/>
          <w:color w:val="auto"/>
        </w:rPr>
      </w:pPr>
    </w:p>
    <w:p>
      <w:pPr>
        <w:ind w:left="1520" w:right="159"/>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9" w:lineRule="exact"/>
        <w:rPr>
          <w:sz w:val="20"/>
          <w:szCs w:val="20"/>
          <w:color w:val="auto"/>
        </w:rPr>
      </w:pPr>
    </w:p>
    <w:p>
      <w:pPr>
        <w:ind w:left="1520" w:right="239"/>
        <w:spacing w:after="0" w:line="255" w:lineRule="auto"/>
        <w:rPr>
          <w:sz w:val="20"/>
          <w:szCs w:val="20"/>
          <w:color w:val="auto"/>
        </w:rPr>
      </w:pPr>
      <w:r>
        <w:rPr>
          <w:rFonts w:ascii="Arial" w:cs="Arial" w:eastAsia="Arial" w:hAnsi="Arial"/>
          <w:sz w:val="18"/>
          <w:szCs w:val="18"/>
          <w:color w:val="auto"/>
        </w:rPr>
        <w:t>On an ongoing basis, the Company’s management evaluates estimates, including those related to fair value and useful life of intangible assets,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193"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Financial statements in United States dollars:</w:t>
      </w:r>
    </w:p>
    <w:p>
      <w:pPr>
        <w:spacing w:after="0" w:line="225" w:lineRule="exact"/>
        <w:rPr>
          <w:sz w:val="20"/>
          <w:szCs w:val="20"/>
          <w:color w:val="auto"/>
        </w:rPr>
      </w:pPr>
    </w:p>
    <w:p>
      <w:pPr>
        <w:ind w:left="1520" w:right="179"/>
        <w:spacing w:after="0" w:line="288" w:lineRule="auto"/>
        <w:rPr>
          <w:sz w:val="20"/>
          <w:szCs w:val="20"/>
          <w:color w:val="auto"/>
        </w:rPr>
      </w:pPr>
      <w:r>
        <w:rPr>
          <w:rFonts w:ascii="Arial" w:cs="Arial" w:eastAsia="Arial" w:hAnsi="Arial"/>
          <w:sz w:val="16"/>
          <w:szCs w:val="16"/>
          <w:color w:val="auto"/>
        </w:rPr>
        <w:t>A majority of the revenues of the Company and its subsidiaries are denominated in U.S. dollars (“dollar” or “dollars”). The Company’s management believes that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financial income (expense) in the period in which the currency exchange rates 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9" w:name="page130"/>
    <w:bookmarkEnd w:id="12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59"/>
        <w:spacing w:after="0" w:line="273" w:lineRule="auto"/>
        <w:rPr>
          <w:sz w:val="20"/>
          <w:szCs w:val="20"/>
          <w:color w:val="auto"/>
        </w:rPr>
      </w:pPr>
      <w:r>
        <w:rPr>
          <w:rFonts w:ascii="Arial" w:cs="Arial" w:eastAsia="Arial" w:hAnsi="Arial"/>
          <w:sz w:val="17"/>
          <w:szCs w:val="17"/>
          <w:color w:val="auto"/>
        </w:rPr>
        <w:t>For the Company’s subsidiary in Germany whose functional currency starting 2013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78"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7"/>
          <w:szCs w:val="17"/>
          <w:color w:val="auto"/>
        </w:rPr>
        <w:t>Unaudited interim financial information:</w:t>
      </w:r>
    </w:p>
    <w:p>
      <w:pPr>
        <w:spacing w:after="0" w:line="225" w:lineRule="exact"/>
        <w:rPr>
          <w:sz w:val="20"/>
          <w:szCs w:val="20"/>
          <w:color w:val="auto"/>
        </w:rPr>
      </w:pPr>
    </w:p>
    <w:p>
      <w:pPr>
        <w:ind w:left="1520" w:right="139"/>
        <w:spacing w:after="0" w:line="269" w:lineRule="auto"/>
        <w:rPr>
          <w:sz w:val="20"/>
          <w:szCs w:val="20"/>
          <w:color w:val="auto"/>
        </w:rPr>
      </w:pPr>
      <w:r>
        <w:rPr>
          <w:rFonts w:ascii="Arial" w:cs="Arial" w:eastAsia="Arial" w:hAnsi="Arial"/>
          <w:sz w:val="17"/>
          <w:szCs w:val="17"/>
          <w:color w:val="auto"/>
        </w:rPr>
        <w:t>The accompanying consolidated balance sheet as of September 30, 2014, the consolidated statements of income and comprehensive income and cash flows for the nine months ended September 30, 2013 and 2014 and the shareholders’ equity for the nine months ended September 30, 2014 are unaudited. The unaudited interim financial statements have been prepared on the same basis as the annual consolidated statements and, in the opinion of management, reflect all adjustments, which include only normal recurring adjustments, necessary to present fairly the Company’s financial position as of September 30, 2014 and results of operations and cash flows for the nine months ended September2013 ,30 and .2014 The financial data and the other information disclosed in these notes to the consolidated financial statements related to the nine month periods are unaudited. The results of the nine months ended September 30, 2014 are not necessarily indicative of the results to be expected for the fiscal year ending December 31, 2014 or for any other interim period or for any other future year.</w:t>
      </w:r>
    </w:p>
    <w:p>
      <w:pPr>
        <w:spacing w:after="0" w:line="18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Unaudited pro forma shareholders equity:</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The Company’s board of directors has authorized the filing of a Registration Statement with the</w:t>
      </w:r>
    </w:p>
    <w:p>
      <w:pPr>
        <w:spacing w:after="0" w:line="3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U.S. Securities and Exchange Commission to register the Company’s ordinary shares for sale to the</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public. Upon the closing of the Company’s proposed Initial Public Offering (the “IPO”), subject to</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satisfying the requirement of a Qualified IPO which is defined as an IPO that results in at least</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$30,000 of proceeds to the Company, all of the authorized, issued, and outstanding preferred shares of</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the Company will be automatically converted into ordinary shares. Unaudited pro forma shareholders’</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equity as of September 30, 2014, as adjusted for the assumed conversion of such shares is disclosed in</w:t>
      </w:r>
    </w:p>
    <w:p>
      <w:pPr>
        <w:spacing w:after="0" w:line="3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balance sheet.</w:t>
      </w:r>
    </w:p>
    <w:p>
      <w:pPr>
        <w:spacing w:after="0" w:line="21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Principles of consolidation:</w:t>
      </w:r>
    </w:p>
    <w:p>
      <w:pPr>
        <w:spacing w:after="0" w:line="225" w:lineRule="exact"/>
        <w:rPr>
          <w:sz w:val="20"/>
          <w:szCs w:val="20"/>
          <w:color w:val="auto"/>
        </w:rPr>
      </w:pPr>
    </w:p>
    <w:p>
      <w:pPr>
        <w:ind w:left="1520" w:right="379"/>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81" w:lineRule="exact"/>
        <w:rPr>
          <w:sz w:val="20"/>
          <w:szCs w:val="20"/>
          <w:color w:val="auto"/>
        </w:rPr>
      </w:pPr>
    </w:p>
    <w:p>
      <w:pPr>
        <w:ind w:left="1480" w:hanging="329"/>
        <w:spacing w:after="0"/>
        <w:tabs>
          <w:tab w:leader="none" w:pos="14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left="1520" w:right="439"/>
        <w:spacing w:after="0" w:line="277" w:lineRule="auto"/>
        <w:rPr>
          <w:sz w:val="20"/>
          <w:szCs w:val="20"/>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Short-term deposits:</w:t>
      </w:r>
    </w:p>
    <w:p>
      <w:pPr>
        <w:spacing w:after="0" w:line="225"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Short-term bank deposits are deposits with an original maturity of more than three months but less than one year from the date of acquisition. The deposits are presented at their cost including accrued interest.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0" w:name="page131"/>
    <w:bookmarkEnd w:id="130"/>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6"/>
          <w:szCs w:val="16"/>
          <w:color w:val="auto"/>
        </w:rPr>
        <w:t>Inventories:</w:t>
      </w:r>
    </w:p>
    <w:p>
      <w:pPr>
        <w:spacing w:after="0" w:line="225" w:lineRule="exact"/>
        <w:rPr>
          <w:sz w:val="20"/>
          <w:szCs w:val="20"/>
          <w:color w:val="auto"/>
        </w:rPr>
      </w:pPr>
    </w:p>
    <w:p>
      <w:pPr>
        <w:ind w:left="1520" w:right="159"/>
        <w:spacing w:after="0" w:line="279" w:lineRule="auto"/>
        <w:rPr>
          <w:sz w:val="20"/>
          <w:szCs w:val="20"/>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7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Cost of inventories is determined as follows: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Raw and packing materials — on the basis of weighted average cost.</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Finished goods — on the basis of average costs of materials, and other direct manufacturing cost.</w:t>
      </w:r>
    </w:p>
    <w:p>
      <w:pPr>
        <w:spacing w:after="0" w:line="237" w:lineRule="exact"/>
        <w:rPr>
          <w:sz w:val="20"/>
          <w:szCs w:val="20"/>
          <w:color w:val="auto"/>
        </w:rPr>
      </w:pPr>
    </w:p>
    <w:p>
      <w:pPr>
        <w:ind w:left="1520" w:right="579"/>
        <w:spacing w:after="0" w:line="308" w:lineRule="auto"/>
        <w:rPr>
          <w:sz w:val="20"/>
          <w:szCs w:val="20"/>
          <w:color w:val="auto"/>
        </w:rPr>
      </w:pPr>
      <w:r>
        <w:rPr>
          <w:rFonts w:ascii="Arial" w:cs="Arial" w:eastAsia="Arial" w:hAnsi="Arial"/>
          <w:sz w:val="17"/>
          <w:szCs w:val="17"/>
          <w:color w:val="auto"/>
        </w:rPr>
        <w:t>Inventory write off have been provided to cover risks arising from dead and slow moving items, technological obsolescence and excess inventories according to revenue forecasts.</w:t>
      </w:r>
    </w:p>
    <w:p>
      <w:pPr>
        <w:spacing w:after="0" w:line="147" w:lineRule="exact"/>
        <w:rPr>
          <w:sz w:val="20"/>
          <w:szCs w:val="20"/>
          <w:color w:val="auto"/>
        </w:rPr>
      </w:pPr>
    </w:p>
    <w:p>
      <w:pPr>
        <w:jc w:val="both"/>
        <w:ind w:left="1520" w:right="179"/>
        <w:spacing w:after="0" w:line="286" w:lineRule="auto"/>
        <w:rPr>
          <w:sz w:val="20"/>
          <w:szCs w:val="20"/>
          <w:color w:val="auto"/>
        </w:rPr>
      </w:pPr>
      <w:r>
        <w:rPr>
          <w:rFonts w:ascii="Arial" w:cs="Arial" w:eastAsia="Arial" w:hAnsi="Arial"/>
          <w:sz w:val="17"/>
          <w:szCs w:val="17"/>
          <w:color w:val="auto"/>
        </w:rPr>
        <w:t>During the years ended December 31, 2012 and 2013 and the nine months ended September 30, 2013 (unaudited) and 2014 (unaudited) the Company recorded in cost of revenues inventory write offs in a total amount of $129, $369, $298 (unaudited) and $53 (unaudited), respectively.</w:t>
      </w:r>
    </w:p>
    <w:p>
      <w:pPr>
        <w:spacing w:after="0" w:line="166" w:lineRule="exact"/>
        <w:rPr>
          <w:sz w:val="20"/>
          <w:szCs w:val="20"/>
          <w:color w:val="auto"/>
        </w:rPr>
      </w:pPr>
    </w:p>
    <w:p>
      <w:pPr>
        <w:ind w:left="1480" w:hanging="329"/>
        <w:spacing w:after="0"/>
        <w:tabs>
          <w:tab w:leader="none" w:pos="14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jc w:val="both"/>
        <w:ind w:left="1520" w:right="279"/>
        <w:spacing w:after="0" w:line="312" w:lineRule="auto"/>
        <w:rPr>
          <w:sz w:val="20"/>
          <w:szCs w:val="20"/>
          <w:color w:val="auto"/>
        </w:rPr>
      </w:pPr>
      <w:r>
        <w:rPr>
          <w:rFonts w:ascii="Arial" w:cs="Arial" w:eastAsia="Arial" w:hAnsi="Arial"/>
          <w:sz w:val="16"/>
          <w:szCs w:val="16"/>
          <w:color w:val="auto"/>
        </w:rPr>
        <w:t>Property and equipment are measured at cost, including directly attributable costs, less accumulated depreciation and amortization and accumulated impairment losses. Depreciation and amortization is calculated on a straight-line basis over the useful life of the assets at annual rates as follows: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1"/>
              </w:rPr>
              <w:t>7 – 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Computer, peripheral equipment and software</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40" w:type="dxa"/>
            <w:vAlign w:val="bottom"/>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860" w:right="179" w:hanging="331"/>
        <w:spacing w:after="0" w:line="264" w:lineRule="auto"/>
        <w:tabs>
          <w:tab w:leader="none" w:pos="1926" w:val="left"/>
        </w:tabs>
        <w:numPr>
          <w:ilvl w:val="1"/>
          <w:numId w:val="83"/>
        </w:numPr>
        <w:rPr>
          <w:rFonts w:ascii="Arial" w:cs="Arial" w:eastAsia="Arial" w:hAnsi="Arial"/>
          <w:sz w:val="18"/>
          <w:szCs w:val="18"/>
          <w:color w:val="auto"/>
        </w:rPr>
      </w:pPr>
      <w:r>
        <w:rPr>
          <w:rFonts w:ascii="Arial" w:cs="Arial" w:eastAsia="Arial" w:hAnsi="Arial"/>
          <w:sz w:val="18"/>
          <w:szCs w:val="18"/>
          <w:color w:val="auto"/>
        </w:rPr>
        <w:t>Leasehold improvements are amortized on a straight-line basis over the shorter of the lease term (including the extension option held by the Company and intended to be exercised) and the expected life of the improvement.</w:t>
      </w:r>
    </w:p>
    <w:p>
      <w:pPr>
        <w:spacing w:after="0" w:line="181" w:lineRule="exact"/>
        <w:rPr>
          <w:rFonts w:ascii="Arial" w:cs="Arial" w:eastAsia="Arial" w:hAnsi="Arial"/>
          <w:sz w:val="18"/>
          <w:szCs w:val="18"/>
          <w:color w:val="auto"/>
        </w:rPr>
      </w:pPr>
    </w:p>
    <w:p>
      <w:pPr>
        <w:ind w:left="1480" w:hanging="329"/>
        <w:spacing w:after="0"/>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sz w:val="20"/>
          <w:szCs w:val="20"/>
          <w:color w:val="auto"/>
        </w:rPr>
      </w:pPr>
    </w:p>
    <w:p>
      <w:pPr>
        <w:ind w:left="1520" w:right="119"/>
        <w:spacing w:after="0" w:line="291" w:lineRule="auto"/>
        <w:rPr>
          <w:sz w:val="20"/>
          <w:szCs w:val="20"/>
          <w:color w:val="auto"/>
        </w:rPr>
      </w:pPr>
      <w:r>
        <w:rPr>
          <w:rFonts w:ascii="Arial" w:cs="Arial" w:eastAsia="Arial" w:hAnsi="Arial"/>
          <w:sz w:val="16"/>
          <w:szCs w:val="16"/>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1" w:name="page132"/>
    <w:bookmarkEnd w:id="13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79"/>
        <w:spacing w:after="0" w:line="308" w:lineRule="auto"/>
        <w:rPr>
          <w:sz w:val="20"/>
          <w:szCs w:val="20"/>
          <w:color w:val="auto"/>
        </w:rPr>
      </w:pPr>
      <w:r>
        <w:rPr>
          <w:rFonts w:ascii="Arial" w:cs="Arial" w:eastAsia="Arial" w:hAnsi="Arial"/>
          <w:sz w:val="17"/>
          <w:szCs w:val="17"/>
          <w:color w:val="auto"/>
        </w:rPr>
        <w:t>During the years ended December 31, 2012 and 2013 and the nine months ended September 30, 2013 (unaudited) and 2014 (unaudited) no impairment losses were recorded.</w:t>
      </w:r>
    </w:p>
    <w:p>
      <w:pPr>
        <w:spacing w:after="0" w:line="14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k.</w:t>
      </w:r>
      <w:r>
        <w:rPr>
          <w:sz w:val="20"/>
          <w:szCs w:val="20"/>
          <w:color w:val="auto"/>
        </w:rPr>
        <w:tab/>
      </w:r>
      <w:r>
        <w:rPr>
          <w:rFonts w:ascii="Arial" w:cs="Arial" w:eastAsia="Arial" w:hAnsi="Arial"/>
          <w:sz w:val="16"/>
          <w:szCs w:val="16"/>
          <w:color w:val="auto"/>
        </w:rPr>
        <w:t>Revenue recognition:</w:t>
      </w:r>
    </w:p>
    <w:p>
      <w:pPr>
        <w:spacing w:after="0" w:line="225" w:lineRule="exact"/>
        <w:rPr>
          <w:sz w:val="20"/>
          <w:szCs w:val="20"/>
          <w:color w:val="auto"/>
        </w:rPr>
      </w:pPr>
    </w:p>
    <w:p>
      <w:pPr>
        <w:ind w:left="1520" w:right="359"/>
        <w:spacing w:after="0" w:line="264" w:lineRule="auto"/>
        <w:rPr>
          <w:sz w:val="20"/>
          <w:szCs w:val="20"/>
          <w:color w:val="auto"/>
        </w:rPr>
      </w:pPr>
      <w:r>
        <w:rPr>
          <w:rFonts w:ascii="Arial" w:cs="Arial" w:eastAsia="Arial" w:hAnsi="Arial"/>
          <w:sz w:val="18"/>
          <w:szCs w:val="18"/>
          <w:color w:val="auto"/>
        </w:rPr>
        <w:t>The Company generates revenues from the sale of its systems, inks and consumable products and from services to its products. The Company generates revenues from sale of its products directly to end-users and indirectly through independent distributors.</w:t>
      </w:r>
    </w:p>
    <w:p>
      <w:pPr>
        <w:spacing w:after="0" w:line="181"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Revenues from printer sales are recognized in accordance with ASC No. 605, “Revenue Recognition” upon installation, provided that the collection of the resulting receivable is probable, there is persuasive evidence of an arrangement, no significant obligations in respect of installation remain and the price is fixed or determinable.</w:t>
      </w:r>
    </w:p>
    <w:p>
      <w:pPr>
        <w:spacing w:after="0" w:line="187" w:lineRule="exact"/>
        <w:rPr>
          <w:sz w:val="20"/>
          <w:szCs w:val="20"/>
          <w:color w:val="auto"/>
        </w:rPr>
      </w:pPr>
    </w:p>
    <w:p>
      <w:pPr>
        <w:ind w:left="1520" w:right="399"/>
        <w:spacing w:after="0" w:line="257" w:lineRule="auto"/>
        <w:rPr>
          <w:sz w:val="20"/>
          <w:szCs w:val="20"/>
          <w:color w:val="auto"/>
        </w:rPr>
      </w:pPr>
      <w:r>
        <w:rPr>
          <w:rFonts w:ascii="Arial" w:cs="Arial" w:eastAsia="Arial" w:hAnsi="Arial"/>
          <w:sz w:val="18"/>
          <w:szCs w:val="18"/>
          <w:color w:val="auto"/>
        </w:rPr>
        <w:t>Revenues from selling these products to independent distributors are deferred until the Company’s products are installed in the customers’ premises by the Company’s service and support teams, provided that all other revenue recognition criteria are met. Revenues from selling products to independent distributors who install these systems are recognized upon delivery, provided that all other revenue recognition criteria are met.</w:t>
      </w:r>
    </w:p>
    <w:p>
      <w:pPr>
        <w:spacing w:after="0" w:line="188" w:lineRule="exact"/>
        <w:rPr>
          <w:sz w:val="20"/>
          <w:szCs w:val="20"/>
          <w:color w:val="auto"/>
        </w:rPr>
      </w:pPr>
    </w:p>
    <w:p>
      <w:pPr>
        <w:ind w:left="1520" w:right="199"/>
        <w:spacing w:after="0" w:line="290" w:lineRule="auto"/>
        <w:rPr>
          <w:sz w:val="20"/>
          <w:szCs w:val="20"/>
          <w:color w:val="auto"/>
        </w:rPr>
      </w:pPr>
      <w:r>
        <w:rPr>
          <w:rFonts w:ascii="Arial" w:cs="Arial" w:eastAsia="Arial" w:hAnsi="Arial"/>
          <w:sz w:val="16"/>
          <w:szCs w:val="16"/>
          <w:color w:val="auto"/>
        </w:rPr>
        <w:t>In respect of sale of products, installation of the systems and training, the Company considers the element in the arrangement to be a single unit of accounting. In accordance with ASC 605, the Company has concluded that its arrangements are generally consistent with the indicators suggesting that installation and training are essential to the functionality of the systems. Therefore, the Company recognizes revenue for the systems only upon installation and training when installation and training are the Company’s responsibility. When the installation and training are not being performed by the Company, the Company would recognize the revenues upon delivery in accordance with the agreed-upon delivery terms once all other revenue recognition criteria have been met.</w:t>
      </w:r>
    </w:p>
    <w:p>
      <w:pPr>
        <w:spacing w:after="0" w:line="166" w:lineRule="exact"/>
        <w:rPr>
          <w:sz w:val="20"/>
          <w:szCs w:val="20"/>
          <w:color w:val="auto"/>
        </w:rPr>
      </w:pPr>
    </w:p>
    <w:p>
      <w:pPr>
        <w:ind w:left="1520" w:right="219"/>
        <w:spacing w:after="0" w:line="259" w:lineRule="auto"/>
        <w:rPr>
          <w:sz w:val="20"/>
          <w:szCs w:val="20"/>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7" w:lineRule="exact"/>
        <w:rPr>
          <w:sz w:val="20"/>
          <w:szCs w:val="20"/>
          <w:color w:val="auto"/>
        </w:rPr>
      </w:pPr>
    </w:p>
    <w:p>
      <w:pPr>
        <w:ind w:left="1520" w:right="179"/>
        <w:spacing w:after="0" w:line="277" w:lineRule="auto"/>
        <w:rPr>
          <w:sz w:val="20"/>
          <w:szCs w:val="20"/>
          <w:color w:val="auto"/>
        </w:rPr>
      </w:pPr>
      <w:r>
        <w:rPr>
          <w:rFonts w:ascii="Arial" w:cs="Arial" w:eastAsia="Arial" w:hAnsi="Arial"/>
          <w:sz w:val="18"/>
          <w:szCs w:val="18"/>
          <w:color w:val="auto"/>
        </w:rPr>
        <w:t>Revenues from ink and other consumable products are generally recognized upon shipment assuming all other revenue recognition criteria have been met.</w:t>
      </w:r>
    </w:p>
    <w:p>
      <w:pPr>
        <w:spacing w:after="0" w:line="170" w:lineRule="exact"/>
        <w:rPr>
          <w:sz w:val="20"/>
          <w:szCs w:val="20"/>
          <w:color w:val="auto"/>
        </w:rPr>
      </w:pPr>
    </w:p>
    <w:p>
      <w:pPr>
        <w:ind w:left="1520" w:right="179"/>
        <w:spacing w:after="0" w:line="297" w:lineRule="auto"/>
        <w:rPr>
          <w:sz w:val="20"/>
          <w:szCs w:val="20"/>
          <w:color w:val="auto"/>
        </w:rPr>
      </w:pPr>
      <w:r>
        <w:rPr>
          <w:rFonts w:ascii="Arial" w:cs="Arial" w:eastAsia="Arial" w:hAnsi="Arial"/>
          <w:sz w:val="16"/>
          <w:szCs w:val="16"/>
          <w:color w:val="auto"/>
        </w:rPr>
        <w:t>Although, in general, the Company does not grant rights of return, there are certain instances where such rights are granted. The Company maintains a provision for returns in accordance with ASC 605, which is estimated, based primarily on historical experience as well as management judgment, and is recorded as reduction in revenue. Such provision amounted to $282, $84 and $152 (unaudited) as of December 31, 2012 and 2013, and as of September 30, 2014 (unaudited), respectively.</w:t>
      </w:r>
    </w:p>
    <w:p>
      <w:pPr>
        <w:spacing w:after="0" w:line="158" w:lineRule="exact"/>
        <w:rPr>
          <w:sz w:val="20"/>
          <w:szCs w:val="20"/>
          <w:color w:val="auto"/>
        </w:rPr>
      </w:pPr>
    </w:p>
    <w:p>
      <w:pPr>
        <w:ind w:left="1520" w:right="539"/>
        <w:spacing w:after="0" w:line="277" w:lineRule="auto"/>
        <w:rPr>
          <w:sz w:val="20"/>
          <w:szCs w:val="20"/>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170" w:lineRule="exact"/>
        <w:rPr>
          <w:sz w:val="20"/>
          <w:szCs w:val="20"/>
          <w:color w:val="auto"/>
        </w:rPr>
      </w:pPr>
    </w:p>
    <w:p>
      <w:pPr>
        <w:ind w:left="1520" w:right="379"/>
        <w:spacing w:after="0" w:line="308" w:lineRule="auto"/>
        <w:rPr>
          <w:sz w:val="20"/>
          <w:szCs w:val="20"/>
          <w:color w:val="auto"/>
        </w:rPr>
      </w:pPr>
      <w:r>
        <w:rPr>
          <w:rFonts w:ascii="Arial" w:cs="Arial" w:eastAsia="Arial" w:hAnsi="Arial"/>
          <w:sz w:val="17"/>
          <w:szCs w:val="17"/>
          <w:color w:val="auto"/>
        </w:rPr>
        <w:t>In cases where the Company trades in old systems as part of sales of new systems, the fair value of the old systems is recorded as inventory, provided that such value can be determined.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sz w:val="20"/>
          <w:szCs w:val="20"/>
          <w:color w:val="auto"/>
        </w:rPr>
      </w:pPr>
    </w:p>
    <w:p>
      <w:pPr>
        <w:ind w:left="1520" w:right="239"/>
        <w:spacing w:after="0" w:line="257" w:lineRule="auto"/>
        <w:rPr>
          <w:sz w:val="20"/>
          <w:szCs w:val="20"/>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2012 and 2013 and the nine months ended September 30, 2013 (unaudited) and 2014 (unaudited) were $617, $681, $501 (unaudited) and $690 (unaudited), respectively.</w:t>
      </w:r>
    </w:p>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  Cost of revenues:</w:t>
      </w:r>
    </w:p>
    <w:p>
      <w:pPr>
        <w:spacing w:after="0" w:line="225"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Cost of revenues is comprised mainly of cost of printers and ink production, employees’ salaries and related costs, allocated overhead expenses, import taxes and royalties.</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n.</w:t>
      </w:r>
      <w:r>
        <w:rPr>
          <w:sz w:val="20"/>
          <w:szCs w:val="20"/>
          <w:color w:val="auto"/>
        </w:rPr>
        <w:tab/>
      </w:r>
      <w:r>
        <w:rPr>
          <w:rFonts w:ascii="Arial" w:cs="Arial" w:eastAsia="Arial" w:hAnsi="Arial"/>
          <w:sz w:val="16"/>
          <w:szCs w:val="16"/>
          <w:color w:val="auto"/>
        </w:rPr>
        <w:t>Warranty costs:</w:t>
      </w:r>
    </w:p>
    <w:p>
      <w:pPr>
        <w:spacing w:after="0" w:line="225" w:lineRule="exact"/>
        <w:rPr>
          <w:sz w:val="20"/>
          <w:szCs w:val="20"/>
          <w:color w:val="auto"/>
        </w:rPr>
      </w:pPr>
    </w:p>
    <w:p>
      <w:pPr>
        <w:ind w:left="1520" w:right="279"/>
        <w:spacing w:after="0" w:line="255" w:lineRule="auto"/>
        <w:rPr>
          <w:sz w:val="20"/>
          <w:szCs w:val="20"/>
          <w:color w:val="auto"/>
        </w:rPr>
      </w:pPr>
      <w:r>
        <w:rPr>
          <w:rFonts w:ascii="Arial" w:cs="Arial" w:eastAsia="Arial" w:hAnsi="Arial"/>
          <w:sz w:val="18"/>
          <w:szCs w:val="18"/>
          <w:color w:val="auto"/>
        </w:rPr>
        <w:t>The Company generally provides a one year warranty for all of its systems. A provision is recorded for estimated warranty costs at the time revenues are recognized based on historical warranty costs and management’s estimates. Factors that affect the Company’s warranty liability include the number of machines, historical rates of warranty claims and cost per claim. The Company periodically assesses the adequacy of its recorded warranty liabilities and adjusts the amounts thereof as necessary.</w:t>
      </w:r>
    </w:p>
    <w:p>
      <w:pPr>
        <w:spacing w:after="0" w:line="19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followings are the changes in the liability for product warranty from January 1, 2012 to</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December 31, 2013:</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warranties issued during the year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Reduction for payments and costs to satisfy claims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58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3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Provision for warranties issued during the nine months period</w:t>
            </w:r>
          </w:p>
        </w:tc>
        <w:tc>
          <w:tcPr>
            <w:tcW w:w="580" w:type="dxa"/>
            <w:vAlign w:val="bottom"/>
          </w:tcPr>
          <w:p>
            <w:pPr>
              <w:jc w:val="right"/>
              <w:spacing w:after="0"/>
              <w:rPr>
                <w:sz w:val="20"/>
                <w:szCs w:val="20"/>
                <w:color w:val="auto"/>
              </w:rPr>
            </w:pPr>
            <w:r>
              <w:rPr>
                <w:rFonts w:ascii="Arial" w:cs="Arial" w:eastAsia="Arial" w:hAnsi="Arial"/>
                <w:sz w:val="18"/>
                <w:szCs w:val="18"/>
                <w:color w:val="auto"/>
              </w:rPr>
              <w:t>926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for payments and costs to satisfy claims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73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 (Unaudited)</w:t>
            </w:r>
          </w:p>
        </w:tc>
        <w:tc>
          <w:tcPr>
            <w:tcW w:w="6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020" w:type="dxa"/>
            <w:vAlign w:val="bottom"/>
            <w:gridSpan w:val="2"/>
          </w:tcPr>
          <w:p>
            <w:pPr>
              <w:ind w:left="1020"/>
              <w:spacing w:after="0"/>
              <w:rPr>
                <w:sz w:val="20"/>
                <w:szCs w:val="20"/>
                <w:color w:val="auto"/>
              </w:rPr>
            </w:pPr>
            <w:r>
              <w:rPr>
                <w:rFonts w:ascii="Arial" w:cs="Arial" w:eastAsia="Arial" w:hAnsi="Arial"/>
                <w:sz w:val="18"/>
                <w:szCs w:val="18"/>
                <w:color w:val="auto"/>
              </w:rPr>
              <w:t>o.  Research and development expenses: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gridSpan w:val="2"/>
          </w:tcPr>
          <w:p>
            <w:pPr>
              <w:ind w:left="1380"/>
              <w:spacing w:after="0"/>
              <w:rPr>
                <w:sz w:val="20"/>
                <w:szCs w:val="20"/>
                <w:color w:val="auto"/>
              </w:rPr>
            </w:pPr>
            <w:r>
              <w:rPr>
                <w:rFonts w:ascii="Arial" w:cs="Arial" w:eastAsia="Arial" w:hAnsi="Arial"/>
                <w:sz w:val="18"/>
                <w:szCs w:val="18"/>
                <w:color w:val="auto"/>
                <w:w w:val="91"/>
              </w:rPr>
              <w:t>Research and development expenses are charged to the statement of income, as incurred.</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20" w:type="dxa"/>
            <w:vAlign w:val="bottom"/>
            <w:gridSpan w:val="2"/>
          </w:tcPr>
          <w:p>
            <w:pPr>
              <w:ind w:left="1020"/>
              <w:spacing w:after="0"/>
              <w:rPr>
                <w:sz w:val="20"/>
                <w:szCs w:val="20"/>
                <w:color w:val="auto"/>
              </w:rPr>
            </w:pPr>
            <w:r>
              <w:rPr>
                <w:rFonts w:ascii="Arial" w:cs="Arial" w:eastAsia="Arial" w:hAnsi="Arial"/>
                <w:sz w:val="18"/>
                <w:szCs w:val="18"/>
                <w:color w:val="auto"/>
              </w:rPr>
              <w:t>p.  Accounting for share-based compensation:</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20"/>
        <w:spacing w:after="0"/>
        <w:rPr>
          <w:sz w:val="20"/>
          <w:szCs w:val="20"/>
          <w:color w:val="auto"/>
        </w:rPr>
      </w:pPr>
      <w:r>
        <w:rPr>
          <w:rFonts w:ascii="Arial" w:cs="Arial" w:eastAsia="Arial" w:hAnsi="Arial"/>
          <w:sz w:val="15"/>
          <w:szCs w:val="15"/>
          <w:color w:val="auto"/>
        </w:rPr>
        <w:t>The Company accounts for share-based compensation in accordance with ASC No. 718, “Compensation</w:t>
      </w:r>
    </w:p>
    <w:p>
      <w:pPr>
        <w:spacing w:after="0" w:line="58" w:lineRule="exact"/>
        <w:rPr>
          <w:sz w:val="20"/>
          <w:szCs w:val="20"/>
          <w:color w:val="auto"/>
        </w:rPr>
      </w:pPr>
    </w:p>
    <w:p>
      <w:pPr>
        <w:ind w:left="1520" w:right="199"/>
        <w:spacing w:after="0" w:line="252" w:lineRule="auto"/>
        <w:rPr>
          <w:sz w:val="20"/>
          <w:szCs w:val="20"/>
          <w:color w:val="auto"/>
        </w:rPr>
      </w:pPr>
      <w:r>
        <w:rPr>
          <w:rFonts w:ascii="Arial" w:cs="Arial" w:eastAsia="Arial" w:hAnsi="Arial"/>
          <w:sz w:val="18"/>
          <w:szCs w:val="18"/>
          <w:color w:val="auto"/>
        </w:rPr>
        <w:t>— Stock Compensation”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operations. ASC No. 718 requires forfeitures to be estimated at the time of the grant and revised in subsequent periods if actual forfeitures differ from those estimates.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99"/>
        <w:spacing w:after="0" w:line="259"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2012 and 2013 and nine months ended September 30, 2013 (unaudited) and 2014 (unaudited):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Year ended</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4"/>
          </w:tcPr>
          <w:p>
            <w:pPr>
              <w:jc w:val="center"/>
              <w:ind w:right="840"/>
              <w:spacing w:after="0"/>
              <w:rPr>
                <w:sz w:val="20"/>
                <w:szCs w:val="20"/>
                <w:color w:val="auto"/>
              </w:rPr>
            </w:pPr>
            <w:r>
              <w:rPr>
                <w:rFonts w:ascii="Arial" w:cs="Arial" w:eastAsia="Arial" w:hAnsi="Arial"/>
                <w:sz w:val="16"/>
                <w:szCs w:val="16"/>
                <w:b w:val="1"/>
                <w:bCs w:val="1"/>
                <w:color w:val="auto"/>
                <w:w w:val="90"/>
              </w:rPr>
              <w:t>December 31,</w:t>
            </w: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280" w:type="dxa"/>
            <w:vAlign w:val="bottom"/>
            <w:tcBorders>
              <w:top w:val="single" w:sz="8" w:color="auto"/>
              <w:bottom w:val="single" w:sz="8" w:color="auto"/>
            </w:tcBorders>
            <w:gridSpan w:val="2"/>
          </w:tcPr>
          <w:p>
            <w:pPr>
              <w:jc w:val="right"/>
              <w:ind w:right="394"/>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2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center"/>
              <w:ind w:right="114"/>
              <w:spacing w:after="0"/>
              <w:rPr>
                <w:sz w:val="20"/>
                <w:szCs w:val="20"/>
                <w:color w:val="auto"/>
              </w:rPr>
            </w:pPr>
            <w:r>
              <w:rPr>
                <w:rFonts w:ascii="Arial" w:cs="Arial" w:eastAsia="Arial" w:hAnsi="Arial"/>
                <w:sz w:val="16"/>
                <w:szCs w:val="16"/>
                <w:b w:val="1"/>
                <w:bCs w:val="1"/>
                <w:color w:val="auto"/>
                <w:w w:val="89"/>
              </w:rPr>
              <w:t>2013</w:t>
            </w:r>
          </w:p>
        </w:tc>
        <w:tc>
          <w:tcPr>
            <w:tcW w:w="1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1"/>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Suboptimal exercise multiple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3.5</w:t>
            </w:r>
          </w:p>
        </w:tc>
        <w:tc>
          <w:tcPr>
            <w:tcW w:w="144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3.0 – 10.0</w:t>
            </w: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9"/>
              </w:rPr>
              <w:t>3.0 – 10.0</w:t>
            </w:r>
          </w:p>
        </w:tc>
        <w:tc>
          <w:tcPr>
            <w:tcW w:w="13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3.5 – 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1020" w:type="dxa"/>
            <w:vAlign w:val="bottom"/>
            <w:gridSpan w:val="2"/>
          </w:tcPr>
          <w:p>
            <w:pPr>
              <w:ind w:left="20"/>
              <w:spacing w:after="0"/>
              <w:rPr>
                <w:sz w:val="20"/>
                <w:szCs w:val="20"/>
                <w:color w:val="auto"/>
              </w:rPr>
            </w:pPr>
            <w:r>
              <w:rPr>
                <w:rFonts w:ascii="Arial" w:cs="Arial" w:eastAsia="Arial" w:hAnsi="Arial"/>
                <w:sz w:val="18"/>
                <w:szCs w:val="18"/>
                <w:color w:val="auto"/>
              </w:rPr>
              <w:t>– 1.8%</w:t>
            </w: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0.1% – 2.5%</w:t>
            </w: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0"/>
              </w:rPr>
              <w:t>0.1% – 2.5%</w:t>
            </w:r>
          </w:p>
        </w:tc>
        <w:tc>
          <w:tcPr>
            <w:tcW w:w="138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0.1% – 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71%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8"/>
              </w:rPr>
              <w:t>55%</w:t>
            </w:r>
          </w:p>
        </w:tc>
        <w:tc>
          <w:tcPr>
            <w:tcW w:w="1240" w:type="dxa"/>
            <w:vAlign w:val="bottom"/>
            <w:shd w:val="clear" w:color="auto" w:fill="CCEEFF"/>
          </w:tcPr>
          <w:p>
            <w:pPr>
              <w:jc w:val="center"/>
              <w:ind w:left="12"/>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Dividend yield</w:t>
            </w:r>
          </w:p>
        </w:tc>
        <w:tc>
          <w:tcPr>
            <w:tcW w:w="1280" w:type="dxa"/>
            <w:vAlign w:val="bottom"/>
            <w:gridSpan w:val="2"/>
          </w:tcPr>
          <w:p>
            <w:pPr>
              <w:jc w:val="right"/>
              <w:ind w:right="434"/>
              <w:spacing w:after="0"/>
              <w:rPr>
                <w:sz w:val="20"/>
                <w:szCs w:val="20"/>
                <w:color w:val="auto"/>
              </w:rPr>
            </w:pPr>
            <w:r>
              <w:rPr>
                <w:rFonts w:ascii="Arial" w:cs="Arial" w:eastAsia="Arial" w:hAnsi="Arial"/>
                <w:sz w:val="18"/>
                <w:szCs w:val="18"/>
                <w:color w:val="auto"/>
              </w:rPr>
              <w:t>0%</w:t>
            </w:r>
          </w:p>
        </w:tc>
        <w:tc>
          <w:tcPr>
            <w:tcW w:w="3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280" w:type="dxa"/>
            <w:vAlign w:val="bottom"/>
          </w:tcPr>
          <w:p>
            <w:pPr>
              <w:spacing w:after="0"/>
              <w:rPr>
                <w:sz w:val="20"/>
                <w:szCs w:val="20"/>
                <w:color w:val="auto"/>
              </w:rPr>
            </w:pPr>
          </w:p>
        </w:tc>
        <w:tc>
          <w:tcPr>
            <w:tcW w:w="1240" w:type="dxa"/>
            <w:vAlign w:val="bottom"/>
          </w:tcPr>
          <w:p>
            <w:pPr>
              <w:jc w:val="center"/>
              <w:ind w:right="114"/>
              <w:spacing w:after="0"/>
              <w:rPr>
                <w:sz w:val="20"/>
                <w:szCs w:val="20"/>
                <w:color w:val="auto"/>
              </w:rPr>
            </w:pPr>
            <w:r>
              <w:rPr>
                <w:rFonts w:ascii="Arial" w:cs="Arial" w:eastAsia="Arial" w:hAnsi="Arial"/>
                <w:sz w:val="18"/>
                <w:szCs w:val="18"/>
                <w:color w:val="auto"/>
                <w:w w:val="92"/>
              </w:rPr>
              <w:t>0%</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520" w:right="159"/>
        <w:spacing w:after="0" w:line="270" w:lineRule="auto"/>
        <w:rPr>
          <w:sz w:val="20"/>
          <w:szCs w:val="20"/>
          <w:color w:val="auto"/>
        </w:rPr>
      </w:pPr>
      <w:r>
        <w:rPr>
          <w:rFonts w:ascii="Arial" w:cs="Arial" w:eastAsia="Arial" w:hAnsi="Arial"/>
          <w:sz w:val="17"/>
          <w:szCs w:val="17"/>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 The forfeiture rates are based the activity status of the options granted between the years 2004 and 2014. 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78" w:lineRule="exact"/>
        <w:rPr>
          <w:sz w:val="20"/>
          <w:szCs w:val="20"/>
          <w:color w:val="auto"/>
        </w:rPr>
      </w:pPr>
    </w:p>
    <w:p>
      <w:pPr>
        <w:jc w:val="both"/>
        <w:ind w:left="1520" w:right="119"/>
        <w:spacing w:after="0" w:line="264" w:lineRule="auto"/>
        <w:rPr>
          <w:sz w:val="20"/>
          <w:szCs w:val="20"/>
          <w:color w:val="auto"/>
        </w:rPr>
      </w:pPr>
      <w:r>
        <w:rPr>
          <w:rFonts w:ascii="Arial" w:cs="Arial" w:eastAsia="Arial" w:hAnsi="Arial"/>
          <w:sz w:val="18"/>
          <w:szCs w:val="18"/>
          <w:color w:val="auto"/>
        </w:rPr>
        <w:t>The following table sets forth the total share based expense included in the consolidated statements of income, for the years ended December 31, 2012 and 2013 and nine months ended September 30, 2013 (unaudited) and 2014 (unaudited):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Year ended</w:t>
            </w: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89"/>
              </w:rPr>
              <w:t>2013</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w w:val="95"/>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4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share-based compensation expense</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126</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vMerge w:val="restart"/>
          </w:tcPr>
          <w:p>
            <w:pPr>
              <w:ind w:left="1020"/>
              <w:spacing w:after="0"/>
              <w:rPr>
                <w:sz w:val="20"/>
                <w:szCs w:val="20"/>
                <w:color w:val="auto"/>
              </w:rPr>
            </w:pPr>
            <w:r>
              <w:rPr>
                <w:rFonts w:ascii="Arial" w:cs="Arial" w:eastAsia="Arial" w:hAnsi="Arial"/>
                <w:sz w:val="18"/>
                <w:szCs w:val="18"/>
                <w:color w:val="auto"/>
              </w:rPr>
              <w:t>q.  Advertising</w:t>
            </w: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359"/>
        <w:spacing w:after="0" w:line="286" w:lineRule="auto"/>
        <w:rPr>
          <w:sz w:val="20"/>
          <w:szCs w:val="20"/>
          <w:color w:val="auto"/>
        </w:rPr>
      </w:pPr>
      <w:r>
        <w:rPr>
          <w:rFonts w:ascii="Arial" w:cs="Arial" w:eastAsia="Arial" w:hAnsi="Arial"/>
          <w:sz w:val="17"/>
          <w:szCs w:val="17"/>
          <w:color w:val="auto"/>
        </w:rPr>
        <w:t>Advertising costs are charged to operations as incurred and were $206, $501, $303 (unaudited) and $350 (unaudited), for the years ended December 31, 2012 and 2013 and for the nine months ended September 30, 2013 (unaudited) and 2014 (unaudited), respectively.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480" w:hanging="329"/>
        <w:spacing w:after="0"/>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39" w:lineRule="exact"/>
        <w:rPr>
          <w:sz w:val="20"/>
          <w:szCs w:val="20"/>
          <w:color w:val="auto"/>
        </w:rPr>
      </w:pPr>
    </w:p>
    <w:p>
      <w:pPr>
        <w:ind w:left="1520" w:right="219"/>
        <w:spacing w:after="0" w:line="291" w:lineRule="auto"/>
        <w:rPr>
          <w:sz w:val="20"/>
          <w:szCs w:val="20"/>
          <w:color w:val="auto"/>
        </w:rPr>
      </w:pPr>
      <w:r>
        <w:rPr>
          <w:rFonts w:ascii="Arial" w:cs="Arial" w:eastAsia="Arial" w:hAnsi="Arial"/>
          <w:sz w:val="16"/>
          <w:szCs w:val="16"/>
          <w:color w:val="auto"/>
        </w:rPr>
        <w:t>The Company accounts for income taxes in accordance with ASC No. 740, “Income Taxes”. This statement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and its subsidiaries provide a valuation allowance, if necessary, to reduce deferred tax assets to their estimated realizable value if it is more likely than not that a portion or all of the deferred tax assets will not be realized.</w:t>
      </w:r>
    </w:p>
    <w:p>
      <w:pPr>
        <w:spacing w:after="0" w:line="194" w:lineRule="exact"/>
        <w:rPr>
          <w:sz w:val="20"/>
          <w:szCs w:val="20"/>
          <w:color w:val="auto"/>
        </w:rPr>
      </w:pPr>
    </w:p>
    <w:p>
      <w:pPr>
        <w:jc w:val="both"/>
        <w:ind w:left="1520" w:right="199"/>
        <w:spacing w:after="0" w:line="312" w:lineRule="auto"/>
        <w:rPr>
          <w:sz w:val="20"/>
          <w:szCs w:val="20"/>
          <w:color w:val="auto"/>
        </w:rPr>
      </w:pPr>
      <w:r>
        <w:rPr>
          <w:rFonts w:ascii="Arial" w:cs="Arial" w:eastAsia="Arial" w:hAnsi="Arial"/>
          <w:sz w:val="16"/>
          <w:szCs w:val="16"/>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w:t>
      </w:r>
    </w:p>
    <w:p>
      <w:pPr>
        <w:spacing w:after="0" w:line="160"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ASC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penalty, if any related to unrecognized tax benefits in its taxes on income.</w:t>
      </w:r>
    </w:p>
    <w:p>
      <w:pPr>
        <w:spacing w:after="0" w:line="181" w:lineRule="exact"/>
        <w:rPr>
          <w:sz w:val="20"/>
          <w:szCs w:val="20"/>
          <w:color w:val="auto"/>
        </w:rPr>
      </w:pPr>
    </w:p>
    <w:p>
      <w:pPr>
        <w:ind w:left="1160"/>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Concentrations of credit risks:</w:t>
      </w:r>
    </w:p>
    <w:p>
      <w:pPr>
        <w:spacing w:after="0" w:line="252" w:lineRule="exact"/>
        <w:rPr>
          <w:sz w:val="20"/>
          <w:szCs w:val="20"/>
          <w:color w:val="auto"/>
        </w:rPr>
      </w:pPr>
    </w:p>
    <w:p>
      <w:pPr>
        <w:ind w:left="1520" w:right="359"/>
        <w:spacing w:after="0" w:line="342" w:lineRule="auto"/>
        <w:rPr>
          <w:sz w:val="20"/>
          <w:szCs w:val="20"/>
          <w:color w:val="auto"/>
        </w:rPr>
      </w:pPr>
      <w:r>
        <w:rPr>
          <w:rFonts w:ascii="Arial" w:cs="Arial" w:eastAsia="Arial" w:hAnsi="Arial"/>
          <w:sz w:val="16"/>
          <w:szCs w:val="16"/>
          <w:color w:val="auto"/>
        </w:rPr>
        <w:t>Financial instruments that potentially subject the Company and its subsidiaries to concentrations of credit risk consist principally of cash and cash equivalents, bank deposits and trade receivables.</w:t>
      </w:r>
    </w:p>
    <w:p>
      <w:pPr>
        <w:spacing w:after="0" w:line="137" w:lineRule="exact"/>
        <w:rPr>
          <w:sz w:val="20"/>
          <w:szCs w:val="20"/>
          <w:color w:val="auto"/>
        </w:rPr>
      </w:pPr>
    </w:p>
    <w:p>
      <w:pPr>
        <w:jc w:val="both"/>
        <w:ind w:left="1520" w:right="259"/>
        <w:spacing w:after="0" w:line="264" w:lineRule="auto"/>
        <w:rPr>
          <w:sz w:val="20"/>
          <w:szCs w:val="20"/>
          <w:color w:val="auto"/>
        </w:rPr>
      </w:pPr>
      <w:r>
        <w:rPr>
          <w:rFonts w:ascii="Arial" w:cs="Arial" w:eastAsia="Arial" w:hAnsi="Arial"/>
          <w:sz w:val="18"/>
          <w:szCs w:val="18"/>
          <w:color w:val="auto"/>
        </w:rPr>
        <w:t>The majority of the Company’s and its subsidiaries’ cash and cash equivalents and bank deposits are invested in major banks in Israel. Generally, these cash equivalents may be redeemed upon demand and, therefore management believes that it bears a lower risk.</w:t>
      </w:r>
    </w:p>
    <w:p>
      <w:pPr>
        <w:spacing w:after="0" w:line="195" w:lineRule="exact"/>
        <w:rPr>
          <w:sz w:val="20"/>
          <w:szCs w:val="20"/>
          <w:color w:val="auto"/>
        </w:rPr>
      </w:pPr>
    </w:p>
    <w:p>
      <w:pPr>
        <w:ind w:left="1520" w:right="119"/>
        <w:spacing w:after="0" w:line="271" w:lineRule="auto"/>
        <w:rPr>
          <w:sz w:val="20"/>
          <w:szCs w:val="20"/>
          <w:color w:val="auto"/>
        </w:rPr>
      </w:pPr>
      <w:r>
        <w:rPr>
          <w:rFonts w:ascii="Arial" w:cs="Arial" w:eastAsia="Arial" w:hAnsi="Arial"/>
          <w:sz w:val="17"/>
          <w:szCs w:val="17"/>
          <w:color w:val="auto"/>
        </w:rPr>
        <w:t>The trade receivables of the Company and its subsidiaries are mainly derived from sales to customers located primarily in the United States, Europe, the Middle East, Africa and Asia Pacific. The Company performs ongoing credit evaluations of its customers. An allowance for doubtful accounts is determined with respect to those amounts that the Company has determined to be doubtful of collection. In certain circumstances, the Company may require from its customers letters of credit, other collateral or additional guarantees. In the years ended December 31, 2012 and 2013 and for the period of nine months periods ended September 30, 2013 (unaudited) and 2014 (unaudited), the Company has not experienced any significant write offs.</w:t>
      </w:r>
    </w:p>
    <w:p>
      <w:pPr>
        <w:spacing w:after="0" w:line="206" w:lineRule="exact"/>
        <w:rPr>
          <w:sz w:val="20"/>
          <w:szCs w:val="20"/>
          <w:color w:val="auto"/>
        </w:rPr>
      </w:pPr>
    </w:p>
    <w:p>
      <w:pPr>
        <w:ind w:left="1480" w:hanging="329"/>
        <w:spacing w:after="0"/>
        <w:tabs>
          <w:tab w:leader="none" w:pos="14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39" w:lineRule="exact"/>
        <w:rPr>
          <w:sz w:val="20"/>
          <w:szCs w:val="20"/>
          <w:color w:val="auto"/>
        </w:rPr>
      </w:pPr>
    </w:p>
    <w:p>
      <w:pPr>
        <w:ind w:left="1520" w:right="379"/>
        <w:spacing w:after="0" w:line="257" w:lineRule="auto"/>
        <w:rPr>
          <w:sz w:val="20"/>
          <w:szCs w:val="20"/>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259"/>
        <w:spacing w:after="0" w:line="342" w:lineRule="auto"/>
        <w:rPr>
          <w:sz w:val="20"/>
          <w:szCs w:val="20"/>
          <w:color w:val="auto"/>
        </w:rPr>
      </w:pPr>
      <w:r>
        <w:rPr>
          <w:rFonts w:ascii="Arial" w:cs="Arial" w:eastAsia="Arial" w:hAnsi="Arial"/>
          <w:sz w:val="16"/>
          <w:szCs w:val="16"/>
          <w:color w:val="auto"/>
        </w:rPr>
        <w:t>severance liabilities in respect of those employees. Neither severance pay liability nor severance pay fund under Section 14 for such employees is recorded on the Company’s balance sheet.</w:t>
      </w:r>
    </w:p>
    <w:p>
      <w:pPr>
        <w:spacing w:after="0" w:line="137" w:lineRule="exact"/>
        <w:rPr>
          <w:sz w:val="20"/>
          <w:szCs w:val="20"/>
          <w:color w:val="auto"/>
        </w:rPr>
      </w:pPr>
    </w:p>
    <w:p>
      <w:pPr>
        <w:ind w:left="1520" w:right="159"/>
        <w:spacing w:after="0" w:line="272" w:lineRule="auto"/>
        <w:rPr>
          <w:sz w:val="20"/>
          <w:szCs w:val="20"/>
          <w:color w:val="auto"/>
        </w:rPr>
      </w:pPr>
      <w:r>
        <w:rPr>
          <w:rFonts w:ascii="Arial" w:cs="Arial" w:eastAsia="Arial" w:hAnsi="Arial"/>
          <w:sz w:val="17"/>
          <w:szCs w:val="17"/>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month’s salary for each year of employment or a portion thereof. The Company’s liability for these employees is fully provided for via monthly deposits with severance pay funds, insurance policies and an accrual. The value of these deposits is recorded as an asset on the Company’s balance sheet.</w:t>
      </w:r>
    </w:p>
    <w:p>
      <w:pPr>
        <w:spacing w:after="0" w:line="205" w:lineRule="exact"/>
        <w:rPr>
          <w:sz w:val="20"/>
          <w:szCs w:val="20"/>
          <w:color w:val="auto"/>
        </w:rPr>
      </w:pPr>
    </w:p>
    <w:p>
      <w:pPr>
        <w:ind w:left="1520" w:right="299"/>
        <w:spacing w:after="0" w:line="264"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95" w:lineRule="exact"/>
        <w:rPr>
          <w:sz w:val="20"/>
          <w:szCs w:val="20"/>
          <w:color w:val="auto"/>
        </w:rPr>
      </w:pPr>
    </w:p>
    <w:p>
      <w:pPr>
        <w:jc w:val="both"/>
        <w:ind w:left="1520" w:right="179"/>
        <w:spacing w:after="0" w:line="264" w:lineRule="auto"/>
        <w:rPr>
          <w:sz w:val="20"/>
          <w:szCs w:val="20"/>
          <w:color w:val="auto"/>
        </w:rPr>
      </w:pPr>
      <w:r>
        <w:rPr>
          <w:rFonts w:ascii="Arial" w:cs="Arial" w:eastAsia="Arial" w:hAnsi="Arial"/>
          <w:sz w:val="18"/>
          <w:szCs w:val="18"/>
          <w:color w:val="auto"/>
        </w:rPr>
        <w:t>Severance pay expenses for the years ended December 31, 2012 and 2013 and the nine months ended September 30, 2013 (unaudited) and 2014 (unaudited) were $569, $ 620, $511 (unaudited) and $821 (unaudited), respectively.</w:t>
      </w:r>
    </w:p>
    <w:p>
      <w:pPr>
        <w:spacing w:after="0" w:line="195"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u.</w:t>
      </w:r>
      <w:r>
        <w:rPr>
          <w:sz w:val="20"/>
          <w:szCs w:val="20"/>
          <w:color w:val="auto"/>
        </w:rPr>
        <w:tab/>
      </w:r>
      <w:r>
        <w:rPr>
          <w:rFonts w:ascii="Arial" w:cs="Arial" w:eastAsia="Arial" w:hAnsi="Arial"/>
          <w:sz w:val="16"/>
          <w:szCs w:val="16"/>
          <w:color w:val="auto"/>
        </w:rPr>
        <w:t>Fair value of financial instruments:</w:t>
      </w:r>
    </w:p>
    <w:p>
      <w:pPr>
        <w:spacing w:after="0" w:line="252" w:lineRule="exact"/>
        <w:rPr>
          <w:sz w:val="20"/>
          <w:szCs w:val="20"/>
          <w:color w:val="auto"/>
        </w:rPr>
      </w:pPr>
    </w:p>
    <w:p>
      <w:pPr>
        <w:ind w:left="1520" w:right="239"/>
        <w:spacing w:after="0" w:line="312" w:lineRule="auto"/>
        <w:rPr>
          <w:sz w:val="20"/>
          <w:szCs w:val="20"/>
          <w:color w:val="auto"/>
        </w:rPr>
      </w:pPr>
      <w:r>
        <w:rPr>
          <w:rFonts w:ascii="Arial" w:cs="Arial" w:eastAsia="Arial" w:hAnsi="Arial"/>
          <w:sz w:val="16"/>
          <w:szCs w:val="16"/>
          <w:color w:val="auto"/>
        </w:rPr>
        <w:t>The financial instruments of the Company consist mainly of cash and cash equivalents, short term deposits, trade receivables, trade and other accounts payable and accrued expenses. Due to the short-term nature of such financial instruments, their fair value approximates their carrying value.</w:t>
      </w:r>
    </w:p>
    <w:p>
      <w:pPr>
        <w:spacing w:after="0" w:line="16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v.</w:t>
      </w:r>
      <w:r>
        <w:rPr>
          <w:sz w:val="20"/>
          <w:szCs w:val="20"/>
          <w:color w:val="auto"/>
        </w:rPr>
        <w:tab/>
      </w:r>
      <w:r>
        <w:rPr>
          <w:rFonts w:ascii="Arial" w:cs="Arial" w:eastAsia="Arial" w:hAnsi="Arial"/>
          <w:sz w:val="16"/>
          <w:szCs w:val="16"/>
          <w:color w:val="auto"/>
        </w:rPr>
        <w:t>Comprehensive income:</w:t>
      </w:r>
    </w:p>
    <w:p>
      <w:pPr>
        <w:spacing w:after="0" w:line="239" w:lineRule="exact"/>
        <w:rPr>
          <w:sz w:val="20"/>
          <w:szCs w:val="20"/>
          <w:color w:val="auto"/>
        </w:rPr>
      </w:pPr>
    </w:p>
    <w:p>
      <w:pPr>
        <w:ind w:left="1520" w:right="359"/>
        <w:spacing w:after="0" w:line="255" w:lineRule="auto"/>
        <w:rPr>
          <w:sz w:val="20"/>
          <w:szCs w:val="20"/>
          <w:color w:val="auto"/>
        </w:rPr>
      </w:pPr>
      <w:r>
        <w:rPr>
          <w:rFonts w:ascii="Arial" w:cs="Arial" w:eastAsia="Arial" w:hAnsi="Arial"/>
          <w:sz w:val="18"/>
          <w:szCs w:val="18"/>
          <w:color w:val="auto"/>
        </w:rPr>
        <w:t>The Company accounts for comprehensive income in accordance with ASC No. 220, “Comprehensive Income.” This statement establishes standards for the reporting and display of comprehensive income and its components in a full set of general purpose financial statements. Comprehensive income generally represents all changes in shareholders’ equity during the period except those resulting from investments by, or distributions to, shareholders. The Company determined that its only item of other comprehensive income relates to foreign currency translation differences.</w:t>
      </w:r>
    </w:p>
    <w:p>
      <w:pPr>
        <w:spacing w:after="0" w:line="214" w:lineRule="exact"/>
        <w:rPr>
          <w:sz w:val="20"/>
          <w:szCs w:val="20"/>
          <w:color w:val="auto"/>
        </w:rPr>
      </w:pPr>
    </w:p>
    <w:p>
      <w:pPr>
        <w:ind w:left="1160"/>
        <w:spacing w:after="0"/>
        <w:rPr>
          <w:sz w:val="20"/>
          <w:szCs w:val="20"/>
          <w:color w:val="auto"/>
        </w:rPr>
      </w:pPr>
      <w:r>
        <w:rPr>
          <w:rFonts w:ascii="Arial" w:cs="Arial" w:eastAsia="Arial" w:hAnsi="Arial"/>
          <w:sz w:val="20"/>
          <w:szCs w:val="20"/>
          <w:color w:val="auto"/>
        </w:rPr>
        <w:t>w</w:t>
      </w:r>
      <w:r>
        <w:rPr>
          <w:rFonts w:ascii="Arial" w:cs="Arial" w:eastAsia="Arial" w:hAnsi="Arial"/>
          <w:sz w:val="18"/>
          <w:szCs w:val="18"/>
          <w:b w:val="1"/>
          <w:bCs w:val="1"/>
          <w:color w:val="auto"/>
        </w:rPr>
        <w:t>.</w:t>
      </w:r>
      <w:r>
        <w:rPr>
          <w:rFonts w:ascii="Arial" w:cs="Arial" w:eastAsia="Arial" w:hAnsi="Arial"/>
          <w:sz w:val="20"/>
          <w:szCs w:val="20"/>
          <w:color w:val="auto"/>
        </w:rPr>
        <w:t xml:space="preserve">  </w:t>
      </w:r>
      <w:r>
        <w:rPr>
          <w:rFonts w:ascii="Arial" w:cs="Arial" w:eastAsia="Arial" w:hAnsi="Arial"/>
          <w:sz w:val="18"/>
          <w:szCs w:val="18"/>
          <w:color w:val="auto"/>
        </w:rPr>
        <w:t>Basic and diluted net income per share:</w:t>
      </w:r>
    </w:p>
    <w:p>
      <w:pPr>
        <w:spacing w:after="0" w:line="232" w:lineRule="exact"/>
        <w:rPr>
          <w:sz w:val="20"/>
          <w:szCs w:val="20"/>
          <w:color w:val="auto"/>
        </w:rPr>
      </w:pPr>
    </w:p>
    <w:p>
      <w:pPr>
        <w:ind w:left="1520" w:right="359"/>
        <w:spacing w:after="0" w:line="257" w:lineRule="auto"/>
        <w:rPr>
          <w:sz w:val="20"/>
          <w:szCs w:val="20"/>
          <w:color w:val="auto"/>
        </w:rPr>
      </w:pPr>
      <w:r>
        <w:rPr>
          <w:rFonts w:ascii="Arial" w:cs="Arial" w:eastAsia="Arial" w:hAnsi="Arial"/>
          <w:sz w:val="18"/>
          <w:szCs w:val="18"/>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202" w:lineRule="exact"/>
        <w:rPr>
          <w:sz w:val="20"/>
          <w:szCs w:val="20"/>
          <w:color w:val="auto"/>
        </w:rPr>
      </w:pPr>
    </w:p>
    <w:p>
      <w:pPr>
        <w:ind w:left="1520" w:right="119"/>
        <w:spacing w:after="0" w:line="302" w:lineRule="auto"/>
        <w:rPr>
          <w:sz w:val="20"/>
          <w:szCs w:val="20"/>
          <w:color w:val="auto"/>
        </w:rPr>
      </w:pPr>
      <w:r>
        <w:rPr>
          <w:rFonts w:ascii="Arial" w:cs="Arial" w:eastAsia="Arial" w:hAnsi="Arial"/>
          <w:sz w:val="16"/>
          <w:szCs w:val="16"/>
          <w:color w:val="auto"/>
        </w:rPr>
        <w:t>For the year ended December 31, 2012, 21,000 outstanding options have been excluded from the calculation of the diluted net income per share since their effect was anti-dilutive. For the year ended December 31, 2013 and nine months ended September 30, 2013 all outstanding options have been included at the calculation of the diluted earnings per share since their effect was dilutive respectively.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6" w:name="page137"/>
    <w:bookmarkEnd w:id="13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520" w:right="179"/>
        <w:spacing w:after="0" w:line="308" w:lineRule="auto"/>
        <w:rPr>
          <w:sz w:val="20"/>
          <w:szCs w:val="20"/>
          <w:color w:val="auto"/>
        </w:rPr>
      </w:pPr>
      <w:r>
        <w:rPr>
          <w:rFonts w:ascii="Arial" w:cs="Arial" w:eastAsia="Arial" w:hAnsi="Arial"/>
          <w:sz w:val="17"/>
          <w:szCs w:val="17"/>
          <w:color w:val="auto"/>
        </w:rPr>
        <w:t>For the nine months ended September 30, 2014, 20,991 outstanding options have been excluded from the calculation of diluted net income per share since their effect was anti-dilutive.</w:t>
      </w:r>
    </w:p>
    <w:p>
      <w:pPr>
        <w:spacing w:after="0" w:line="160" w:lineRule="exact"/>
        <w:rPr>
          <w:sz w:val="20"/>
          <w:szCs w:val="20"/>
          <w:color w:val="auto"/>
        </w:rPr>
      </w:pPr>
    </w:p>
    <w:p>
      <w:pPr>
        <w:ind w:left="1520" w:right="359"/>
        <w:spacing w:after="0" w:line="312" w:lineRule="auto"/>
        <w:rPr>
          <w:sz w:val="20"/>
          <w:szCs w:val="20"/>
          <w:color w:val="auto"/>
        </w:rPr>
      </w:pPr>
      <w:r>
        <w:rPr>
          <w:rFonts w:ascii="Arial" w:cs="Arial" w:eastAsia="Arial" w:hAnsi="Arial"/>
          <w:sz w:val="16"/>
          <w:szCs w:val="16"/>
          <w:color w:val="auto"/>
        </w:rPr>
        <w:t>Basic and diluted pro forma net income per share (unaudited), as presented in the statements of income and comprehensive income, has been calculated as described above and also gives effect to the automatic conversion of all series of preferred shares that will occur upon closing of the IPO.</w:t>
      </w:r>
    </w:p>
    <w:p>
      <w:pPr>
        <w:spacing w:after="0" w:line="14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Impact of recently issued accounting standard not yet adopted:</w:t>
      </w:r>
    </w:p>
    <w:p>
      <w:pPr>
        <w:spacing w:after="0" w:line="225" w:lineRule="exact"/>
        <w:rPr>
          <w:sz w:val="20"/>
          <w:szCs w:val="20"/>
          <w:color w:val="auto"/>
        </w:rPr>
      </w:pPr>
    </w:p>
    <w:p>
      <w:pPr>
        <w:ind w:left="1520" w:right="179"/>
        <w:spacing w:after="0" w:line="290" w:lineRule="auto"/>
        <w:rPr>
          <w:sz w:val="20"/>
          <w:szCs w:val="20"/>
          <w:color w:val="auto"/>
        </w:rPr>
      </w:pPr>
      <w:r>
        <w:rPr>
          <w:rFonts w:ascii="Arial" w:cs="Arial" w:eastAsia="Arial" w:hAnsi="Arial"/>
          <w:sz w:val="16"/>
          <w:szCs w:val="16"/>
          <w:color w:val="auto"/>
        </w:rPr>
        <w:t>In May 2014, the FASB issued Accounting Standards Update No. 2014-09 (ASU 2014-09) “Revenue from Contracts with Customers.” ASU 2014-09 supersedes the revenue recognition requirements in “Revenue Recognition (Topic 605)”, and requires entities to recognize revenue when it transfers promised goods or services to customers in an amount that reflects the consideration to which the entity expects to be entitled to in exchange for those goods or services. ASU 2014-09 is effective for annual reporting periods beginning after December 15, 2016, including interim periods within that reporting period. Early adoption is not permitted. The Company is currently in the process of evaluating the impact of the adoption of ASU 2014-09 on its consolidated financial statements.</w:t>
      </w:r>
    </w:p>
    <w:p>
      <w:pPr>
        <w:spacing w:after="0" w:line="162"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OTHER ACCOUNTS RECEIVABLE AND PREPAID EXPENSES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Prepaid expenses</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1,203</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INVENTORIES</w:t>
            </w: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24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3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products (*)</w:t>
            </w:r>
          </w:p>
        </w:tc>
        <w:tc>
          <w:tcPr>
            <w:tcW w:w="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8,637</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11,967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right="299" w:hanging="369"/>
        <w:spacing w:after="0" w:line="312" w:lineRule="auto"/>
        <w:tabs>
          <w:tab w:leader="none" w:pos="1532"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Includes amounts of $ 393, $ 897 and $650 (unaudited) for the years ended December 31, 2012 and 2013 and for the nine months ended September 30, 2014 (unaudited), respectively, with respect to inventory delivered to customers but for which revenue criteria have not been met yet.</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7" w:name="page138"/>
    <w:bookmarkEnd w:id="13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5:-</w:t>
        <w:tab/>
        <w:t>PROPERTY AND EQUIPMENT, NET</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peripheral equipment and software</w:t>
            </w:r>
          </w:p>
        </w:tc>
        <w:tc>
          <w:tcPr>
            <w:tcW w:w="740" w:type="dxa"/>
            <w:vAlign w:val="bottom"/>
            <w:tcBorders>
              <w:top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508</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3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4,670</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6,018</w:t>
            </w:r>
          </w:p>
        </w:tc>
        <w:tc>
          <w:tcPr>
            <w:tcW w:w="34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7,464</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37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(2,434)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(3,365)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7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2,236</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2,653</w:t>
            </w:r>
          </w:p>
        </w:tc>
        <w:tc>
          <w:tcPr>
            <w:tcW w:w="3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160" w:right="619"/>
        <w:spacing w:after="0" w:line="264" w:lineRule="auto"/>
        <w:rPr>
          <w:sz w:val="20"/>
          <w:szCs w:val="20"/>
          <w:color w:val="auto"/>
        </w:rPr>
      </w:pPr>
      <w:r>
        <w:rPr>
          <w:rFonts w:ascii="Arial" w:cs="Arial" w:eastAsia="Arial" w:hAnsi="Arial"/>
          <w:sz w:val="18"/>
          <w:szCs w:val="18"/>
          <w:color w:val="auto"/>
        </w:rPr>
        <w:t>Depreciation expense for the years ended December 31, 2012 and 2013 and the nine months ended September 30, 2013 (unaudited) and 2014 (unaudited) was $750, $1,071, $826 (unaudited) and $910 (unaudited), respectively.</w:t>
      </w:r>
    </w:p>
    <w:p>
      <w:pPr>
        <w:spacing w:after="0" w:line="127" w:lineRule="exact"/>
        <w:rPr>
          <w:sz w:val="20"/>
          <w:szCs w:val="20"/>
          <w:color w:val="auto"/>
        </w:rPr>
      </w:pPr>
    </w:p>
    <w:p>
      <w:pPr>
        <w:ind w:left="1160" w:right="239"/>
        <w:spacing w:after="0" w:line="264" w:lineRule="auto"/>
        <w:rPr>
          <w:sz w:val="20"/>
          <w:szCs w:val="20"/>
          <w:color w:val="auto"/>
        </w:rPr>
      </w:pPr>
      <w:r>
        <w:rPr>
          <w:rFonts w:ascii="Arial" w:cs="Arial" w:eastAsia="Arial" w:hAnsi="Arial"/>
          <w:sz w:val="18"/>
          <w:szCs w:val="18"/>
          <w:color w:val="auto"/>
        </w:rPr>
        <w:t>During the years ended 2012 and 2013 and the nine months ended September 30, 2014 (unaudited), the Company recorded a reduction of $0, $140 and $67 (unaudited), respectively, to the cost and accumulated depreciation of fully depreciated equipment no longer in use.</w:t>
      </w:r>
    </w:p>
    <w:p>
      <w:pPr>
        <w:spacing w:after="0" w:line="177"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160" w:right="119"/>
        <w:spacing w:after="0" w:line="271" w:lineRule="auto"/>
        <w:rPr>
          <w:sz w:val="20"/>
          <w:szCs w:val="20"/>
          <w:color w:val="auto"/>
        </w:rPr>
      </w:pPr>
      <w:r>
        <w:rPr>
          <w:rFonts w:ascii="Arial" w:cs="Arial" w:eastAsia="Arial" w:hAnsi="Arial"/>
          <w:sz w:val="17"/>
          <w:szCs w:val="17"/>
          <w:color w:val="auto"/>
        </w:rPr>
        <w:t>On May 24, 2010, the Company entered into a license agreement with a third party (the “agreement”). According to the agreement, the third party granted the Company a license to use its printer technology including, among others, copying, manufacturing, distributing, marketing, engineering, further development and development of related products (the “license”) in order to allow the Company to develop a new version of a printer (the “new product”). The Company owns all the rights to the new product (as well as all the respective intellectual property rights) and the third party has no rights thereto. The license is non-cancelable. According to the agreement, the Company is obligated to pay royalties on sales of the new product up to the ceiling fixed in the agreement.</w:t>
      </w:r>
    </w:p>
    <w:p>
      <w:pPr>
        <w:spacing w:after="0" w:line="152" w:lineRule="exact"/>
        <w:rPr>
          <w:sz w:val="20"/>
          <w:szCs w:val="20"/>
          <w:color w:val="auto"/>
        </w:rPr>
      </w:pPr>
    </w:p>
    <w:p>
      <w:pPr>
        <w:ind w:left="1160" w:right="199"/>
        <w:spacing w:after="0" w:line="264" w:lineRule="auto"/>
        <w:rPr>
          <w:sz w:val="20"/>
          <w:szCs w:val="20"/>
          <w:color w:val="auto"/>
        </w:rPr>
      </w:pPr>
      <w:r>
        <w:rPr>
          <w:rFonts w:ascii="Arial" w:cs="Arial" w:eastAsia="Arial" w:hAnsi="Arial"/>
          <w:sz w:val="18"/>
          <w:szCs w:val="18"/>
          <w:color w:val="auto"/>
        </w:rPr>
        <w:t>On April 22, 2013, the Company signed an amendment to the agreement pursuant to which the Company paid $327 and shall no longer have any obligations or undertakings to make any future payments to the third party.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4"/>
              </w:rPr>
              <w:t>amortization</w:t>
            </w:r>
          </w:p>
        </w:tc>
        <w:tc>
          <w:tcPr>
            <w:tcW w:w="300" w:type="dxa"/>
            <w:vAlign w:val="bottom"/>
          </w:tcPr>
          <w:p>
            <w:pPr>
              <w:spacing w:after="0"/>
              <w:rPr>
                <w:sz w:val="18"/>
                <w:szCs w:val="18"/>
                <w:color w:val="auto"/>
              </w:rPr>
            </w:pPr>
          </w:p>
        </w:tc>
        <w:tc>
          <w:tcPr>
            <w:tcW w:w="182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period</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2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9"/>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1"/>
              </w:rPr>
              <w:t>(years)</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tcPr>
          <w:p>
            <w:pPr>
              <w:jc w:val="right"/>
              <w:spacing w:after="0"/>
              <w:rPr>
                <w:sz w:val="20"/>
                <w:szCs w:val="20"/>
                <w:color w:val="auto"/>
              </w:rPr>
            </w:pPr>
            <w:r>
              <w:rPr>
                <w:rFonts w:ascii="Arial" w:cs="Arial" w:eastAsia="Arial" w:hAnsi="Arial"/>
                <w:sz w:val="18"/>
                <w:szCs w:val="18"/>
                <w:color w:val="auto"/>
              </w:rPr>
              <w:t>4.86</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239</w:t>
            </w:r>
          </w:p>
        </w:tc>
        <w:tc>
          <w:tcPr>
            <w:tcW w:w="920" w:type="dxa"/>
            <w:vAlign w:val="bottom"/>
            <w:gridSpan w:val="2"/>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566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gridSpan w:val="2"/>
          </w:tcPr>
          <w:p>
            <w:pPr>
              <w:spacing w:after="0"/>
              <w:rPr>
                <w:sz w:val="20"/>
                <w:szCs w:val="20"/>
                <w:color w:val="auto"/>
              </w:rPr>
            </w:pPr>
            <w:r>
              <w:rPr>
                <w:rFonts w:ascii="Arial" w:cs="Arial" w:eastAsia="Arial" w:hAnsi="Arial"/>
                <w:sz w:val="18"/>
                <w:szCs w:val="18"/>
                <w:color w:val="auto"/>
              </w:rPr>
              <w:t>Accumulated amortization:</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195</w:t>
            </w:r>
          </w:p>
        </w:tc>
        <w:tc>
          <w:tcPr>
            <w:tcW w:w="2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w:t>
            </w:r>
          </w:p>
        </w:tc>
        <w:tc>
          <w:tcPr>
            <w:tcW w:w="920" w:type="dxa"/>
            <w:vAlign w:val="bottom"/>
            <w:gridSpan w:val="2"/>
            <w:shd w:val="clear" w:color="auto" w:fill="CCEEFF"/>
          </w:tcPr>
          <w:p>
            <w:pPr>
              <w:jc w:val="right"/>
              <w:ind w:right="459"/>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CCEEFF"/>
            </w:tcBorders>
            <w:vMerge w:val="restart"/>
          </w:tcPr>
          <w:p>
            <w:pPr>
              <w:jc w:val="right"/>
              <w:ind w:right="219"/>
              <w:spacing w:after="0"/>
              <w:rPr>
                <w:sz w:val="20"/>
                <w:szCs w:val="20"/>
                <w:color w:val="auto"/>
              </w:rPr>
            </w:pPr>
            <w:r>
              <w:rPr>
                <w:rFonts w:ascii="Arial" w:cs="Arial" w:eastAsia="Arial" w:hAnsi="Arial"/>
                <w:sz w:val="14"/>
                <w:szCs w:val="14"/>
                <w:color w:val="auto"/>
              </w:rPr>
              <w:t>F-19</w:t>
            </w: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38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38" w:name="page139"/>
    <w:bookmarkEnd w:id="13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INTANGIBLE ASSETS, NET (Cont.)</w:t>
      </w:r>
    </w:p>
    <w:p>
      <w:pPr>
        <w:spacing w:after="0" w:line="229" w:lineRule="exact"/>
        <w:rPr>
          <w:sz w:val="20"/>
          <w:szCs w:val="20"/>
          <w:color w:val="auto"/>
        </w:rPr>
      </w:pPr>
    </w:p>
    <w:p>
      <w:pPr>
        <w:ind w:left="1160" w:right="119"/>
        <w:spacing w:after="0" w:line="264" w:lineRule="auto"/>
        <w:rPr>
          <w:sz w:val="20"/>
          <w:szCs w:val="20"/>
          <w:color w:val="auto"/>
        </w:rPr>
      </w:pPr>
      <w:r>
        <w:rPr>
          <w:rFonts w:ascii="Arial" w:cs="Arial" w:eastAsia="Arial" w:hAnsi="Arial"/>
          <w:sz w:val="18"/>
          <w:szCs w:val="18"/>
          <w:color w:val="auto"/>
        </w:rPr>
        <w:t>Amortization expenses for the years ended December 31, 2012 and 2013 and for the nine months ended September 30, 2013 (unaudited) and 2014 (unaudited) were $36, $97, $65 (unaudited) and $94 (unaudited), respectively.</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Future amortization expenses for the years ending:</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960" w:type="dxa"/>
            <w:vAlign w:val="bottom"/>
            <w:gridSpan w:val="2"/>
          </w:tcPr>
          <w:p>
            <w:pPr>
              <w:spacing w:after="0"/>
              <w:rPr>
                <w:sz w:val="20"/>
                <w:szCs w:val="20"/>
                <w:color w:val="auto"/>
              </w:rPr>
            </w:pPr>
            <w:r>
              <w:rPr>
                <w:rFonts w:ascii="Arial" w:cs="Arial" w:eastAsia="Arial" w:hAnsi="Arial"/>
                <w:sz w:val="16"/>
                <w:szCs w:val="16"/>
                <w:b w:val="1"/>
                <w:bCs w:val="1"/>
                <w:color w:val="auto"/>
              </w:rPr>
              <w:t>December 31,</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2015</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NOTE 7:-  OTHER PAYABLES AND ACCRUED EXPENSES</w:t>
            </w: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02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2"/>
              <w:spacing w:after="0"/>
              <w:rPr>
                <w:sz w:val="20"/>
                <w:szCs w:val="20"/>
                <w:color w:val="auto"/>
              </w:rPr>
            </w:pPr>
            <w:r>
              <w:rPr>
                <w:rFonts w:ascii="Arial" w:cs="Arial" w:eastAsia="Arial" w:hAnsi="Arial"/>
                <w:sz w:val="16"/>
                <w:szCs w:val="16"/>
                <w:b w:val="1"/>
                <w:bCs w:val="1"/>
                <w:color w:val="auto"/>
                <w:w w:val="89"/>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Unaudited</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Government authorities</w:t>
            </w: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Warranty provision</w:t>
            </w:r>
          </w:p>
        </w:tc>
        <w:tc>
          <w:tcPr>
            <w:tcW w:w="1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3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63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2,135</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a.</w:t>
            </w:r>
          </w:p>
        </w:tc>
        <w:tc>
          <w:tcPr>
            <w:tcW w:w="6960" w:type="dxa"/>
            <w:vAlign w:val="bottom"/>
            <w:gridSpan w:val="2"/>
          </w:tcPr>
          <w:p>
            <w:pPr>
              <w:ind w:left="100"/>
              <w:spacing w:after="0"/>
              <w:rPr>
                <w:sz w:val="20"/>
                <w:szCs w:val="20"/>
                <w:color w:val="auto"/>
              </w:rPr>
            </w:pPr>
            <w:r>
              <w:rPr>
                <w:rFonts w:ascii="Arial" w:cs="Arial" w:eastAsia="Arial" w:hAnsi="Arial"/>
                <w:sz w:val="18"/>
                <w:szCs w:val="18"/>
                <w:color w:val="auto"/>
              </w:rPr>
              <w:t>Lease commitments:</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w w:val="89"/>
              </w:rPr>
              <w:t>The Company leases facilities and vehicles under operating leases that expire on various dates</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color w:val="auto"/>
                <w:w w:val="91"/>
              </w:rPr>
              <w:t>through 2018. Aggregate minimum lease and rental payments under non-cancelable operating leases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w w:val="92"/>
              </w:rPr>
              <w:t>as of December 31, 2013, are (in the aggregate) and for each succeeding fiscal year below:</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2014</w:t>
            </w:r>
          </w:p>
        </w:tc>
        <w:tc>
          <w:tcPr>
            <w:tcW w:w="6960" w:type="dxa"/>
            <w:vAlign w:val="bottom"/>
            <w:gridSpan w:val="2"/>
            <w:shd w:val="clear" w:color="auto" w:fill="CCEEFF"/>
          </w:tcPr>
          <w:p>
            <w:pPr>
              <w:ind w:left="6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w w:val="79"/>
              </w:rPr>
              <w:t>2015</w:t>
            </w:r>
          </w:p>
        </w:tc>
        <w:tc>
          <w:tcPr>
            <w:tcW w:w="6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1,053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2016</w:t>
            </w:r>
          </w:p>
        </w:tc>
        <w:tc>
          <w:tcPr>
            <w:tcW w:w="6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jc w:val="right"/>
              <w:ind w:right="790"/>
              <w:spacing w:after="0"/>
              <w:rPr>
                <w:sz w:val="20"/>
                <w:szCs w:val="20"/>
                <w:color w:val="auto"/>
              </w:rPr>
            </w:pPr>
            <w:r>
              <w:rPr>
                <w:rFonts w:ascii="Arial" w:cs="Arial" w:eastAsia="Arial" w:hAnsi="Arial"/>
                <w:sz w:val="18"/>
                <w:szCs w:val="18"/>
                <w:color w:val="auto"/>
                <w:w w:val="79"/>
              </w:rPr>
              <w:t>2017</w:t>
            </w:r>
          </w:p>
        </w:tc>
        <w:tc>
          <w:tcPr>
            <w:tcW w:w="6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2018</w:t>
            </w:r>
          </w:p>
        </w:tc>
        <w:tc>
          <w:tcPr>
            <w:tcW w:w="6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960" w:type="dxa"/>
            <w:vAlign w:val="bottom"/>
            <w:gridSpan w:val="2"/>
            <w:shd w:val="clear" w:color="auto" w:fill="CCEEFF"/>
          </w:tcPr>
          <w:p>
            <w:pPr>
              <w:ind w:left="6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color w:val="auto"/>
                <w:w w:val="90"/>
              </w:rPr>
              <w:t>Total rent expenses for the years ended December 31, 2012 and 2013 and for the nine month periods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540" w:type="dxa"/>
            <w:vAlign w:val="bottom"/>
            <w:gridSpan w:val="4"/>
          </w:tcPr>
          <w:p>
            <w:pPr>
              <w:ind w:left="160"/>
              <w:spacing w:after="0"/>
              <w:rPr>
                <w:sz w:val="20"/>
                <w:szCs w:val="20"/>
                <w:color w:val="auto"/>
              </w:rPr>
            </w:pPr>
            <w:r>
              <w:rPr>
                <w:rFonts w:ascii="Arial" w:cs="Arial" w:eastAsia="Arial" w:hAnsi="Arial"/>
                <w:sz w:val="18"/>
                <w:szCs w:val="18"/>
                <w:color w:val="auto"/>
                <w:w w:val="89"/>
              </w:rPr>
              <w:t>ended September 30, 2013 (unaudited) and 2014 (unaudited) were $891,$1,080, $800 (unaudited)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960" w:type="dxa"/>
            <w:vAlign w:val="bottom"/>
            <w:gridSpan w:val="2"/>
          </w:tcPr>
          <w:p>
            <w:pPr>
              <w:ind w:left="160"/>
              <w:spacing w:after="0"/>
              <w:rPr>
                <w:sz w:val="20"/>
                <w:szCs w:val="20"/>
                <w:color w:val="auto"/>
              </w:rPr>
            </w:pPr>
            <w:r>
              <w:rPr>
                <w:rFonts w:ascii="Arial" w:cs="Arial" w:eastAsia="Arial" w:hAnsi="Arial"/>
                <w:sz w:val="18"/>
                <w:szCs w:val="18"/>
                <w:color w:val="auto"/>
              </w:rPr>
              <w:t>$1,070 (unaudited) respectively.</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gridSpan w:val="2"/>
          </w:tcPr>
          <w:p>
            <w:pPr>
              <w:ind w:left="3020"/>
              <w:spacing w:after="0"/>
              <w:rPr>
                <w:sz w:val="20"/>
                <w:szCs w:val="20"/>
                <w:color w:val="auto"/>
              </w:rPr>
            </w:pPr>
            <w:r>
              <w:rPr>
                <w:rFonts w:ascii="Arial" w:cs="Arial" w:eastAsia="Arial" w:hAnsi="Arial"/>
                <w:sz w:val="14"/>
                <w:szCs w:val="14"/>
                <w:color w:val="auto"/>
              </w:rPr>
              <w:t>F-20</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39" w:name="page140"/>
    <w:bookmarkEnd w:id="13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8:-</w:t>
        <w:tab/>
        <w:t>COMMITMENTS AND CONTINGENT LIABILITIES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5"/>
          <w:szCs w:val="15"/>
          <w:color w:val="auto"/>
        </w:rPr>
        <w:t>Charges:</w:t>
      </w:r>
    </w:p>
    <w:p>
      <w:pPr>
        <w:spacing w:after="0" w:line="212" w:lineRule="exact"/>
        <w:rPr>
          <w:sz w:val="20"/>
          <w:szCs w:val="20"/>
          <w:color w:val="auto"/>
        </w:rPr>
      </w:pPr>
    </w:p>
    <w:p>
      <w:pPr>
        <w:jc w:val="both"/>
        <w:ind w:left="1520" w:right="259"/>
        <w:spacing w:after="0" w:line="312" w:lineRule="auto"/>
        <w:rPr>
          <w:sz w:val="20"/>
          <w:szCs w:val="20"/>
          <w:color w:val="auto"/>
        </w:rPr>
      </w:pPr>
      <w:r>
        <w:rPr>
          <w:rFonts w:ascii="Arial" w:cs="Arial" w:eastAsia="Arial" w:hAnsi="Arial"/>
          <w:sz w:val="16"/>
          <w:szCs w:val="16"/>
          <w:color w:val="auto"/>
        </w:rPr>
        <w:t>During 2012, the Company obtained credit lines of $2,000 from two Israeli banks. The Company is obligated to maintain financial covenants as defined in the agreements governing the credit lines. As of the date of these financial statements, the Company satisfied the financial covenants.</w:t>
      </w:r>
    </w:p>
    <w:p>
      <w:pPr>
        <w:spacing w:after="0" w:line="12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Purchase commitments:</w:t>
      </w:r>
    </w:p>
    <w:p>
      <w:pPr>
        <w:spacing w:after="0" w:line="212" w:lineRule="exact"/>
        <w:rPr>
          <w:sz w:val="20"/>
          <w:szCs w:val="20"/>
          <w:color w:val="auto"/>
        </w:rPr>
      </w:pPr>
    </w:p>
    <w:p>
      <w:pPr>
        <w:ind w:left="1520" w:right="459"/>
        <w:spacing w:after="0" w:line="277" w:lineRule="auto"/>
        <w:rPr>
          <w:sz w:val="20"/>
          <w:szCs w:val="20"/>
          <w:color w:val="auto"/>
        </w:rPr>
      </w:pPr>
      <w:r>
        <w:rPr>
          <w:rFonts w:ascii="Arial" w:cs="Arial" w:eastAsia="Arial" w:hAnsi="Arial"/>
          <w:sz w:val="18"/>
          <w:szCs w:val="18"/>
          <w:color w:val="auto"/>
        </w:rPr>
        <w:t>The Company estimates that at December 31, 2013, it had $2,932 of purchase commitments to its vendors for inventory.</w:t>
      </w:r>
    </w:p>
    <w:p>
      <w:pPr>
        <w:spacing w:after="0" w:line="1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Litigation:</w:t>
      </w:r>
    </w:p>
    <w:p>
      <w:pPr>
        <w:spacing w:after="0" w:line="198" w:lineRule="exact"/>
        <w:rPr>
          <w:sz w:val="20"/>
          <w:szCs w:val="20"/>
          <w:color w:val="auto"/>
        </w:rPr>
      </w:pPr>
    </w:p>
    <w:p>
      <w:pPr>
        <w:ind w:left="1520" w:right="139"/>
        <w:spacing w:after="0" w:line="259" w:lineRule="auto"/>
        <w:rPr>
          <w:sz w:val="20"/>
          <w:szCs w:val="20"/>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73" w:lineRule="exact"/>
        <w:rPr>
          <w:sz w:val="20"/>
          <w:szCs w:val="20"/>
          <w:color w:val="auto"/>
        </w:rPr>
      </w:pPr>
    </w:p>
    <w:p>
      <w:pPr>
        <w:ind w:left="1460" w:hanging="309"/>
        <w:spacing w:after="0"/>
        <w:tabs>
          <w:tab w:leader="none" w:pos="1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11" w:lineRule="exact"/>
        <w:rPr>
          <w:rFonts w:ascii="Arial" w:cs="Arial" w:eastAsia="Arial" w:hAnsi="Arial"/>
          <w:sz w:val="18"/>
          <w:szCs w:val="18"/>
          <w:color w:val="auto"/>
        </w:rPr>
      </w:pPr>
    </w:p>
    <w:p>
      <w:pPr>
        <w:ind w:left="1860" w:right="219" w:hanging="385"/>
        <w:spacing w:after="0" w:line="264" w:lineRule="auto"/>
        <w:tabs>
          <w:tab w:leader="none" w:pos="1797" w:val="left"/>
        </w:tabs>
        <w:numPr>
          <w:ilvl w:val="1"/>
          <w:numId w:val="89"/>
        </w:numPr>
        <w:rPr>
          <w:rFonts w:ascii="Arial" w:cs="Arial" w:eastAsia="Arial" w:hAnsi="Arial"/>
          <w:sz w:val="18"/>
          <w:szCs w:val="18"/>
          <w:color w:val="auto"/>
        </w:rPr>
      </w:pPr>
      <w:r>
        <w:rPr>
          <w:rFonts w:ascii="Arial" w:cs="Arial" w:eastAsia="Arial" w:hAnsi="Arial"/>
          <w:sz w:val="18"/>
          <w:szCs w:val="18"/>
          <w:color w:val="auto"/>
        </w:rPr>
        <w:t>Under the Company’s agreement for purchasing print heads and other products, which was amended in 2014, the Company is obligated to pay royalties at a rate of 2.5% of ink revenues up to $25,000 of the Company’s annual ink revenues.</w:t>
      </w:r>
    </w:p>
    <w:p>
      <w:pPr>
        <w:spacing w:after="0" w:line="154" w:lineRule="exact"/>
        <w:rPr>
          <w:sz w:val="20"/>
          <w:szCs w:val="20"/>
          <w:color w:val="auto"/>
        </w:rPr>
      </w:pPr>
    </w:p>
    <w:p>
      <w:pPr>
        <w:ind w:left="1860" w:right="219"/>
        <w:spacing w:after="0" w:line="264" w:lineRule="auto"/>
        <w:rPr>
          <w:sz w:val="20"/>
          <w:szCs w:val="20"/>
          <w:color w:val="auto"/>
        </w:rPr>
      </w:pPr>
      <w:r>
        <w:rPr>
          <w:rFonts w:ascii="Arial" w:cs="Arial" w:eastAsia="Arial" w:hAnsi="Arial"/>
          <w:sz w:val="18"/>
          <w:szCs w:val="18"/>
          <w:color w:val="auto"/>
        </w:rPr>
        <w:t>Royalties expenses for the years ended December 31, 2012 and 2013 and for the nine months ended September 30, 2013 (unaudited) and 2014 (unaudited) were $648, $563, $444 (unaudited) and $412 (unaudited) respectively.</w:t>
      </w:r>
    </w:p>
    <w:p>
      <w:pPr>
        <w:spacing w:after="0" w:line="168" w:lineRule="exact"/>
        <w:rPr>
          <w:sz w:val="20"/>
          <w:szCs w:val="20"/>
          <w:color w:val="auto"/>
        </w:rPr>
      </w:pPr>
    </w:p>
    <w:p>
      <w:pPr>
        <w:ind w:left="1860" w:right="339" w:hanging="385"/>
        <w:spacing w:after="0" w:line="273" w:lineRule="auto"/>
        <w:tabs>
          <w:tab w:leader="none" w:pos="1797"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Company received research and development grants from the Office of the Chief Scientist (the “OCS”). In consideration for the research and development grants received from the OCS, the Company has undertaken to pay royalties as a percentage of revenues from products developed from research and development projects financed. The royalty rate is 3.5%. If the Company does not generate sales of products developed with funds provided by the OCS, the Company is not obligated to pay royalties or repay the grants.</w:t>
      </w:r>
    </w:p>
    <w:p>
      <w:pPr>
        <w:spacing w:after="0" w:line="165" w:lineRule="exact"/>
        <w:rPr>
          <w:sz w:val="20"/>
          <w:szCs w:val="20"/>
          <w:color w:val="auto"/>
        </w:rPr>
      </w:pPr>
    </w:p>
    <w:p>
      <w:pPr>
        <w:jc w:val="both"/>
        <w:ind w:left="1860" w:right="279"/>
        <w:spacing w:after="0" w:line="264" w:lineRule="auto"/>
        <w:rPr>
          <w:sz w:val="20"/>
          <w:szCs w:val="20"/>
          <w:color w:val="auto"/>
        </w:rPr>
      </w:pPr>
      <w:r>
        <w:rPr>
          <w:rFonts w:ascii="Arial" w:cs="Arial" w:eastAsia="Arial" w:hAnsi="Arial"/>
          <w:sz w:val="18"/>
          <w:szCs w:val="18"/>
          <w:color w:val="auto"/>
        </w:rPr>
        <w:t>Royalties are payable from the time of commencement of sales of all of these products until the cumulative amount of the royalties paid equals 100% of the dollar-linked amounts of the grants received, and bears interest at the LIBOR rate.</w:t>
      </w:r>
    </w:p>
    <w:p>
      <w:pPr>
        <w:spacing w:after="0" w:line="154" w:lineRule="exact"/>
        <w:rPr>
          <w:sz w:val="20"/>
          <w:szCs w:val="20"/>
          <w:color w:val="auto"/>
        </w:rPr>
      </w:pPr>
    </w:p>
    <w:p>
      <w:pPr>
        <w:ind w:left="1860" w:right="199"/>
        <w:spacing w:after="0" w:line="279" w:lineRule="auto"/>
        <w:rPr>
          <w:sz w:val="20"/>
          <w:szCs w:val="20"/>
          <w:color w:val="auto"/>
        </w:rPr>
      </w:pPr>
      <w:r>
        <w:rPr>
          <w:rFonts w:ascii="Arial" w:cs="Arial" w:eastAsia="Arial" w:hAnsi="Arial"/>
          <w:sz w:val="17"/>
          <w:szCs w:val="17"/>
          <w:color w:val="auto"/>
        </w:rPr>
        <w:t>The total research and development grants that the Company has received from the OCS as of December 31, 2013 were $ 168. The accumulated interest as of December 31, 2013 was $ 6. The Company’s total commitment with respect to royalty-bearing participation received or accrued, net of royalties paid or accrued, amounted to $ 174 as of December 31, 2013.</w:t>
      </w:r>
    </w:p>
    <w:p>
      <w:pPr>
        <w:spacing w:after="0" w:line="158" w:lineRule="exact"/>
        <w:rPr>
          <w:sz w:val="20"/>
          <w:szCs w:val="20"/>
          <w:color w:val="auto"/>
        </w:rPr>
      </w:pPr>
    </w:p>
    <w:p>
      <w:pPr>
        <w:ind w:left="1860" w:right="619"/>
        <w:spacing w:after="0" w:line="277" w:lineRule="auto"/>
        <w:rPr>
          <w:sz w:val="20"/>
          <w:szCs w:val="20"/>
          <w:color w:val="auto"/>
        </w:rPr>
      </w:pPr>
      <w:r>
        <w:rPr>
          <w:rFonts w:ascii="Arial" w:cs="Arial" w:eastAsia="Arial" w:hAnsi="Arial"/>
          <w:sz w:val="18"/>
          <w:szCs w:val="18"/>
          <w:color w:val="auto"/>
        </w:rPr>
        <w:t>As of September 30, 2014, no revenues had been generated under this project, therefore no royalties had been paid or accrued.</w:t>
      </w:r>
    </w:p>
    <w:p>
      <w:pPr>
        <w:spacing w:after="0" w:line="157"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5"/>
          <w:szCs w:val="15"/>
          <w:color w:val="auto"/>
        </w:rPr>
        <w:t>Guarantees:</w:t>
      </w:r>
    </w:p>
    <w:p>
      <w:pPr>
        <w:spacing w:after="0" w:line="198" w:lineRule="exact"/>
        <w:rPr>
          <w:sz w:val="20"/>
          <w:szCs w:val="20"/>
          <w:color w:val="auto"/>
        </w:rPr>
      </w:pPr>
    </w:p>
    <w:p>
      <w:pPr>
        <w:ind w:left="1520" w:right="279"/>
        <w:spacing w:after="0" w:line="277" w:lineRule="auto"/>
        <w:rPr>
          <w:sz w:val="20"/>
          <w:szCs w:val="20"/>
          <w:color w:val="auto"/>
        </w:rPr>
      </w:pPr>
      <w:r>
        <w:rPr>
          <w:rFonts w:ascii="Arial" w:cs="Arial" w:eastAsia="Arial" w:hAnsi="Arial"/>
          <w:sz w:val="18"/>
          <w:szCs w:val="18"/>
          <w:color w:val="auto"/>
        </w:rPr>
        <w:t>As of December 31, 2013, the Company provided two bank guarantees of $ 231 in the aggregate for its rented facilities.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ind w:left="49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-130810</wp:posOffset>
            </wp:positionV>
            <wp:extent cx="557403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220"/>
        <w:spacing w:after="0"/>
        <w:tabs>
          <w:tab w:leader="none" w:pos="1140" w:val="left"/>
        </w:tabs>
        <w:rPr>
          <w:sz w:val="20"/>
          <w:szCs w:val="20"/>
          <w:color w:val="auto"/>
        </w:rPr>
      </w:pPr>
      <w:r>
        <w:rPr>
          <w:rFonts w:ascii="Arial" w:cs="Arial" w:eastAsia="Arial" w:hAnsi="Arial"/>
          <w:sz w:val="18"/>
          <w:szCs w:val="18"/>
          <w:b w:val="1"/>
          <w:bCs w:val="1"/>
          <w:color w:val="auto"/>
        </w:rPr>
        <w:t>NOTE 9:-</w:t>
        <w:tab/>
        <w:t>SHAREHOLDERS’ EQUITY</w:t>
      </w:r>
    </w:p>
    <w:p>
      <w:pPr>
        <w:spacing w:after="0" w:line="229"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5"/>
          <w:szCs w:val="15"/>
          <w:color w:val="auto"/>
        </w:rPr>
        <w:t>Company’s shares: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Ordinary shares:</w:t>
      </w:r>
    </w:p>
    <w:p>
      <w:pPr>
        <w:spacing w:after="0" w:line="225" w:lineRule="exact"/>
        <w:rPr>
          <w:sz w:val="20"/>
          <w:szCs w:val="20"/>
          <w:color w:val="auto"/>
        </w:rPr>
      </w:pPr>
    </w:p>
    <w:p>
      <w:pPr>
        <w:ind w:left="1620" w:right="259"/>
        <w:spacing w:after="0" w:line="257" w:lineRule="auto"/>
        <w:rPr>
          <w:sz w:val="20"/>
          <w:szCs w:val="20"/>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Preferred A-1 shares:</w:t>
      </w:r>
    </w:p>
    <w:p>
      <w:pPr>
        <w:spacing w:after="0" w:line="225" w:lineRule="exact"/>
        <w:rPr>
          <w:sz w:val="20"/>
          <w:szCs w:val="20"/>
          <w:color w:val="auto"/>
        </w:rPr>
      </w:pPr>
    </w:p>
    <w:p>
      <w:pPr>
        <w:ind w:left="1620" w:right="279"/>
        <w:spacing w:after="0" w:line="308" w:lineRule="auto"/>
        <w:rPr>
          <w:sz w:val="20"/>
          <w:szCs w:val="20"/>
          <w:color w:val="auto"/>
        </w:rPr>
      </w:pPr>
      <w:r>
        <w:rPr>
          <w:rFonts w:ascii="Arial" w:cs="Arial" w:eastAsia="Arial" w:hAnsi="Arial"/>
          <w:sz w:val="17"/>
          <w:szCs w:val="17"/>
          <w:color w:val="auto"/>
        </w:rPr>
        <w:t>Preferred A-1 shares confer their holders preferences related to the distribution of Company’s assets in events of liquidation, merger, re-organization, sale of the Company or its assets.</w:t>
      </w:r>
    </w:p>
    <w:p>
      <w:pPr>
        <w:spacing w:after="0" w:line="147" w:lineRule="exact"/>
        <w:rPr>
          <w:sz w:val="20"/>
          <w:szCs w:val="20"/>
          <w:color w:val="auto"/>
        </w:rPr>
      </w:pPr>
    </w:p>
    <w:p>
      <w:pPr>
        <w:ind w:left="1620" w:right="199"/>
        <w:spacing w:after="0" w:line="259" w:lineRule="auto"/>
        <w:rPr>
          <w:sz w:val="20"/>
          <w:szCs w:val="20"/>
          <w:color w:val="auto"/>
        </w:rPr>
      </w:pPr>
      <w:r>
        <w:rPr>
          <w:rFonts w:ascii="Arial" w:cs="Arial" w:eastAsia="Arial" w:hAnsi="Arial"/>
          <w:sz w:val="18"/>
          <w:szCs w:val="18"/>
          <w:color w:val="auto"/>
        </w:rPr>
        <w:t>Each share of Series A-1 Preferred automatically converts into Ordinary Shares at the then effective Series A-1 Conversion Price immediately upon or in connection with (1) the affirmative vote of the holders of a majority of the outstanding Series A-1 Preferred, or (2) the consummation of a Qualified IPO.</w:t>
      </w:r>
    </w:p>
    <w:p>
      <w:pPr>
        <w:spacing w:after="0" w:line="187" w:lineRule="exact"/>
        <w:rPr>
          <w:sz w:val="20"/>
          <w:szCs w:val="20"/>
          <w:color w:val="auto"/>
        </w:rPr>
      </w:pPr>
    </w:p>
    <w:p>
      <w:pPr>
        <w:ind w:left="1260"/>
        <w:spacing w:after="0"/>
        <w:tabs>
          <w:tab w:leader="none" w:pos="15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Stock option plan: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summary of the Company’s stock option activity, and related information 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average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Number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Weighted</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4"/>
              </w:rPr>
              <w:t>remaining</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of 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average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contractual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6"/>
              </w:rPr>
              <w:t>upon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4"/>
              </w:rPr>
              <w:t>exercise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92"/>
              </w:rPr>
              <w:t>term</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intrinsic</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4"/>
              </w:rPr>
              <w:t>exercise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price</w:t>
            </w: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40"/>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January 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192,350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6.61</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151,332</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0" w:type="dxa"/>
            <w:vAlign w:val="bottom"/>
            <w:vMerge w:val="restart"/>
          </w:tcPr>
          <w:p>
            <w:pPr>
              <w:spacing w:after="0"/>
              <w:rPr>
                <w:sz w:val="20"/>
                <w:szCs w:val="20"/>
                <w:color w:val="auto"/>
              </w:rPr>
            </w:pPr>
          </w:p>
        </w:tc>
        <w:tc>
          <w:tcPr>
            <w:tcW w:w="39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40" w:type="dxa"/>
            <w:vAlign w:val="bottom"/>
            <w:vMerge w:val="continue"/>
          </w:tcPr>
          <w:p>
            <w:pPr>
              <w:spacing w:after="0"/>
              <w:rPr>
                <w:sz w:val="22"/>
                <w:szCs w:val="22"/>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Outstanding as of September 30, 2014</w:t>
            </w:r>
          </w:p>
        </w:tc>
        <w:tc>
          <w:tcPr>
            <w:tcW w:w="960" w:type="dxa"/>
            <w:vAlign w:val="bottom"/>
          </w:tcPr>
          <w:p>
            <w:pPr>
              <w:jc w:val="right"/>
              <w:spacing w:after="0"/>
              <w:rPr>
                <w:sz w:val="20"/>
                <w:szCs w:val="20"/>
                <w:color w:val="auto"/>
              </w:rPr>
            </w:pPr>
            <w:r>
              <w:rPr>
                <w:rFonts w:ascii="Arial" w:cs="Arial" w:eastAsia="Arial" w:hAnsi="Arial"/>
                <w:sz w:val="18"/>
                <w:szCs w:val="18"/>
                <w:color w:val="auto"/>
              </w:rPr>
              <w:t>333,932</w:t>
            </w:r>
          </w:p>
        </w:tc>
        <w:tc>
          <w:tcPr>
            <w:tcW w:w="16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8.96</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10,812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Exercisable as of December 31, 2013</w:t>
            </w:r>
          </w:p>
        </w:tc>
        <w:tc>
          <w:tcPr>
            <w:tcW w:w="960" w:type="dxa"/>
            <w:vAlign w:val="bottom"/>
          </w:tcPr>
          <w:p>
            <w:pPr>
              <w:jc w:val="right"/>
              <w:spacing w:after="0"/>
              <w:rPr>
                <w:sz w:val="20"/>
                <w:szCs w:val="20"/>
                <w:color w:val="auto"/>
              </w:rPr>
            </w:pPr>
            <w:r>
              <w:rPr>
                <w:rFonts w:ascii="Arial" w:cs="Arial" w:eastAsia="Arial" w:hAnsi="Arial"/>
                <w:sz w:val="18"/>
                <w:szCs w:val="18"/>
                <w:color w:val="auto"/>
              </w:rPr>
              <w:t>123,725</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December 31, 2013</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174,534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Exercisable as of September 30, 2014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8"/>
                <w:szCs w:val="18"/>
                <w:color w:val="auto"/>
              </w:rPr>
              <w:t>Vested and Expected to Vest September 30, 2014</w:t>
            </w: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291,874</w:t>
            </w:r>
          </w:p>
        </w:tc>
        <w:tc>
          <w:tcPr>
            <w:tcW w:w="16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w:t>
            </w:r>
          </w:p>
        </w:tc>
        <w:tc>
          <w:tcPr>
            <w:tcW w:w="30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4.95</w:t>
            </w:r>
          </w:p>
        </w:tc>
        <w:tc>
          <w:tcPr>
            <w:tcW w:w="30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40" w:type="dxa"/>
            <w:vAlign w:val="bottom"/>
          </w:tcPr>
          <w:p>
            <w:pPr>
              <w:spacing w:after="0"/>
              <w:rPr>
                <w:sz w:val="22"/>
                <w:szCs w:val="22"/>
                <w:color w:val="auto"/>
              </w:rPr>
            </w:pPr>
          </w:p>
        </w:tc>
        <w:tc>
          <w:tcPr>
            <w:tcW w:w="39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color w:val="auto"/>
                <w:w w:val="97"/>
              </w:rPr>
              <w:t>F-22</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wp:posOffset>
            </wp:positionH>
            <wp:positionV relativeFrom="paragraph">
              <wp:posOffset>-848360</wp:posOffset>
            </wp:positionV>
            <wp:extent cx="5574030" cy="1631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74030" cy="163195"/>
                    </a:xfrm>
                    <a:prstGeom prst="rect">
                      <a:avLst/>
                    </a:prstGeom>
                    <a:noFill/>
                  </pic:spPr>
                </pic:pic>
              </a:graphicData>
            </a:graphic>
          </wp:anchor>
        </w:drawing>
      </w:r>
    </w:p>
    <w:p>
      <w:pPr>
        <w:sectPr>
          <w:pgSz w:w="11900" w:h="16838" w:orient="portrait"/>
          <w:cols w:equalWidth="0" w:num="1">
            <w:col w:w="9119"/>
          </w:cols>
          <w:pgMar w:left="1340" w:top="337" w:right="1440" w:bottom="1440" w:gutter="0" w:footer="0" w:header="0"/>
        </w:sectPr>
      </w:pPr>
    </w:p>
    <w:bookmarkStart w:id="141" w:name="page142"/>
    <w:bookmarkEnd w:id="141"/>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299" w:hanging="369"/>
        <w:spacing w:after="0" w:line="277" w:lineRule="auto"/>
        <w:tabs>
          <w:tab w:leader="none" w:pos="1447" w:val="left"/>
        </w:tabs>
        <w:numPr>
          <w:ilvl w:val="0"/>
          <w:numId w:val="91"/>
        </w:numPr>
        <w:rPr>
          <w:rFonts w:ascii="Arial" w:cs="Arial" w:eastAsia="Arial" w:hAnsi="Arial"/>
          <w:sz w:val="18"/>
          <w:szCs w:val="18"/>
          <w:color w:val="auto"/>
        </w:rPr>
      </w:pPr>
      <w:r>
        <w:rPr>
          <w:rFonts w:ascii="Arial" w:cs="Arial" w:eastAsia="Arial" w:hAnsi="Arial"/>
          <w:sz w:val="18"/>
          <w:szCs w:val="18"/>
          <w:color w:val="auto"/>
        </w:rPr>
        <w:t>As of December 31, 2013, $244 unrecognized compensation cost related to stock options is expected to be recognized over a weighted average vesting period of 2.13 years.</w:t>
      </w:r>
    </w:p>
    <w:p>
      <w:pPr>
        <w:spacing w:after="0" w:line="170" w:lineRule="exact"/>
        <w:rPr>
          <w:sz w:val="20"/>
          <w:szCs w:val="20"/>
          <w:color w:val="auto"/>
        </w:rPr>
      </w:pPr>
    </w:p>
    <w:p>
      <w:pPr>
        <w:ind w:left="1520" w:right="659"/>
        <w:spacing w:after="0" w:line="264" w:lineRule="auto"/>
        <w:rPr>
          <w:sz w:val="20"/>
          <w:szCs w:val="20"/>
          <w:color w:val="auto"/>
        </w:rPr>
      </w:pPr>
      <w:r>
        <w:rPr>
          <w:rFonts w:ascii="Arial" w:cs="Arial" w:eastAsia="Arial" w:hAnsi="Arial"/>
          <w:sz w:val="18"/>
          <w:szCs w:val="18"/>
          <w:color w:val="auto"/>
        </w:rPr>
        <w:t>As of September 30, 2014 $3,154 (unaudited) unrecognized compensation cost related to stock options is expected to be recognized over a weighted average vesting period of 3.34 years (unaudited).</w:t>
      </w:r>
    </w:p>
    <w:p>
      <w:pPr>
        <w:spacing w:after="0" w:line="181"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The options outstanding have been classified by exercise price, as follows: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at December 31, 2013</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0"/>
              </w:rPr>
              <w:t>at December 31, 2013</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8.45</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5.74</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185,600</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123,725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560" w:type="dxa"/>
            <w:vAlign w:val="bottom"/>
            <w:gridSpan w:val="4"/>
            <w:vMerge w:val="restart"/>
          </w:tcPr>
          <w:p>
            <w:pPr>
              <w:jc w:val="center"/>
              <w:ind w:right="20"/>
              <w:spacing w:after="0"/>
              <w:rPr>
                <w:sz w:val="20"/>
                <w:szCs w:val="20"/>
                <w:color w:val="auto"/>
              </w:rPr>
            </w:pPr>
            <w:r>
              <w:rPr>
                <w:rFonts w:ascii="Arial" w:cs="Arial" w:eastAsia="Arial" w:hAnsi="Arial"/>
                <w:sz w:val="16"/>
                <w:szCs w:val="16"/>
                <w:b w:val="1"/>
                <w:bCs w:val="1"/>
                <w:color w:val="auto"/>
                <w:w w:val="90"/>
              </w:rPr>
              <w:t>Options outstanding</w:t>
            </w: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540" w:type="dxa"/>
            <w:vAlign w:val="bottom"/>
            <w:gridSpan w:val="4"/>
            <w:vMerge w:val="restart"/>
          </w:tcPr>
          <w:p>
            <w:pPr>
              <w:jc w:val="center"/>
              <w:spacing w:after="0"/>
              <w:rPr>
                <w:sz w:val="20"/>
                <w:szCs w:val="20"/>
                <w:color w:val="auto"/>
              </w:rPr>
            </w:pPr>
            <w:r>
              <w:rPr>
                <w:rFonts w:ascii="Arial" w:cs="Arial" w:eastAsia="Arial" w:hAnsi="Arial"/>
                <w:sz w:val="16"/>
                <w:szCs w:val="16"/>
                <w:b w:val="1"/>
                <w:bCs w:val="1"/>
                <w:color w:val="auto"/>
                <w:w w:val="88"/>
              </w:rPr>
              <w:t>Options exercisable</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6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gridSpan w:val="4"/>
            <w:vMerge w:val="continue"/>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1"/>
              </w:rPr>
              <w:t>at September 30, 2014</w:t>
            </w:r>
          </w:p>
        </w:tc>
        <w:tc>
          <w:tcPr>
            <w:tcW w:w="8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at September 30, 2014</w:t>
            </w: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8"/>
              </w:rPr>
              <w:t>Weighted</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9"/>
              </w:rPr>
              <w:t>average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remaining</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average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remaining</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300" w:type="dxa"/>
            <w:vAlign w:val="bottom"/>
          </w:tcPr>
          <w:p>
            <w:pPr>
              <w:spacing w:after="0"/>
              <w:rPr>
                <w:sz w:val="17"/>
                <w:szCs w:val="17"/>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4"/>
              </w:rPr>
              <w:t>exercise</w:t>
            </w: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contractual</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30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7"/>
              </w:rPr>
              <w:t>exercise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contractual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price</w:t>
            </w:r>
          </w:p>
        </w:tc>
        <w:tc>
          <w:tcPr>
            <w:tcW w:w="3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price</w:t>
            </w:r>
          </w:p>
        </w:tc>
        <w:tc>
          <w:tcPr>
            <w:tcW w:w="3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life</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5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5"/>
              </w:rPr>
              <w:t>In years</w:t>
            </w:r>
          </w:p>
        </w:tc>
        <w:tc>
          <w:tcPr>
            <w:tcW w:w="900" w:type="dxa"/>
            <w:vAlign w:val="bottom"/>
          </w:tcPr>
          <w:p>
            <w:pPr>
              <w:spacing w:after="0"/>
              <w:rPr>
                <w:sz w:val="20"/>
                <w:szCs w:val="20"/>
                <w:color w:val="auto"/>
              </w:rPr>
            </w:pPr>
          </w:p>
        </w:tc>
        <w:tc>
          <w:tcPr>
            <w:tcW w:w="1200" w:type="dxa"/>
            <w:vAlign w:val="bottom"/>
            <w:gridSpan w:val="2"/>
          </w:tcPr>
          <w:p>
            <w:pPr>
              <w:jc w:val="center"/>
              <w:ind w:left="154"/>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4 – 5</w:t>
            </w:r>
          </w:p>
        </w:tc>
        <w:tc>
          <w:tcPr>
            <w:tcW w:w="880" w:type="dxa"/>
            <w:vAlign w:val="bottom"/>
          </w:tcPr>
          <w:p>
            <w:pPr>
              <w:jc w:val="right"/>
              <w:spacing w:after="0"/>
              <w:rPr>
                <w:sz w:val="20"/>
                <w:szCs w:val="20"/>
                <w:color w:val="auto"/>
              </w:rPr>
            </w:pPr>
            <w:r>
              <w:rPr>
                <w:rFonts w:ascii="Arial" w:cs="Arial" w:eastAsia="Arial" w:hAnsi="Arial"/>
                <w:sz w:val="18"/>
                <w:szCs w:val="18"/>
                <w:color w:val="auto"/>
              </w:rPr>
              <w:t>63,690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 – 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63,035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tcPr>
          <w:p>
            <w:pPr>
              <w:spacing w:after="0"/>
              <w:rPr>
                <w:sz w:val="20"/>
                <w:szCs w:val="20"/>
                <w:color w:val="auto"/>
              </w:rPr>
            </w:pPr>
            <w:r>
              <w:rPr>
                <w:rFonts w:ascii="Arial" w:cs="Arial" w:eastAsia="Arial" w:hAnsi="Arial"/>
                <w:sz w:val="18"/>
                <w:szCs w:val="18"/>
                <w:color w:val="auto"/>
              </w:rPr>
              <w:t>8.3 – 10.5</w:t>
            </w:r>
          </w:p>
        </w:tc>
        <w:tc>
          <w:tcPr>
            <w:tcW w:w="880" w:type="dxa"/>
            <w:vAlign w:val="bottom"/>
          </w:tcPr>
          <w:p>
            <w:pPr>
              <w:jc w:val="right"/>
              <w:spacing w:after="0"/>
              <w:rPr>
                <w:sz w:val="20"/>
                <w:szCs w:val="20"/>
                <w:color w:val="auto"/>
              </w:rPr>
            </w:pPr>
            <w:r>
              <w:rPr>
                <w:rFonts w:ascii="Arial" w:cs="Arial" w:eastAsia="Arial" w:hAnsi="Arial"/>
                <w:sz w:val="18"/>
                <w:szCs w:val="18"/>
                <w:color w:val="auto"/>
              </w:rPr>
              <w:t>53,500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9.64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13.54 – 14.23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120,332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333,932</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148,975</w:t>
            </w:r>
          </w:p>
        </w:tc>
        <w:tc>
          <w:tcPr>
            <w:tcW w:w="3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 October and November 2014, the Board of directors approved options grants to purchase 21,657</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(unaudited) and 37,863 (unaudited) shares, respectively, at an exercise price per share of $13.54</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(unaudited).</w:t>
      </w:r>
    </w:p>
    <w:p>
      <w:pPr>
        <w:spacing w:after="0" w:line="184" w:lineRule="exact"/>
        <w:rPr>
          <w:sz w:val="20"/>
          <w:szCs w:val="20"/>
          <w:color w:val="auto"/>
        </w:rPr>
      </w:pPr>
    </w:p>
    <w:p>
      <w:pPr>
        <w:ind w:left="1520" w:right="199" w:hanging="369"/>
        <w:spacing w:after="0" w:line="342" w:lineRule="auto"/>
        <w:tabs>
          <w:tab w:leader="none" w:pos="14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Company’s Board approved option plans pursuant to which the Company is authorized to issue to employees, directors and officers of the Company and its subsidiaries (the “optionees”) options to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2" w:name="page143"/>
    <w:bookmarkEnd w:id="142"/>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tabs>
          <w:tab w:leader="none" w:pos="1040" w:val="left"/>
        </w:tabs>
        <w:rPr>
          <w:sz w:val="20"/>
          <w:szCs w:val="20"/>
          <w:color w:val="auto"/>
        </w:rPr>
      </w:pPr>
      <w:r>
        <w:rPr>
          <w:rFonts w:ascii="Arial" w:cs="Arial" w:eastAsia="Arial" w:hAnsi="Arial"/>
          <w:sz w:val="18"/>
          <w:szCs w:val="18"/>
          <w:b w:val="1"/>
          <w:bCs w:val="1"/>
          <w:color w:val="auto"/>
        </w:rPr>
        <w:t>NOTE 9:-</w:t>
        <w:tab/>
        <w:t>SHAREHOLDERS’ EQUITY (Cont.)</w:t>
      </w:r>
    </w:p>
    <w:p>
      <w:pPr>
        <w:spacing w:after="0" w:line="229" w:lineRule="exact"/>
        <w:rPr>
          <w:sz w:val="20"/>
          <w:szCs w:val="20"/>
          <w:color w:val="auto"/>
        </w:rPr>
      </w:pPr>
    </w:p>
    <w:p>
      <w:pPr>
        <w:ind w:left="1520" w:right="219"/>
        <w:spacing w:after="0" w:line="276" w:lineRule="auto"/>
        <w:rPr>
          <w:sz w:val="20"/>
          <w:szCs w:val="20"/>
          <w:color w:val="auto"/>
        </w:rPr>
      </w:pPr>
      <w:r>
        <w:rPr>
          <w:rFonts w:ascii="Arial" w:cs="Arial" w:eastAsia="Arial" w:hAnsi="Arial"/>
          <w:sz w:val="17"/>
          <w:szCs w:val="17"/>
          <w:color w:val="auto"/>
        </w:rPr>
        <w:t>purchase ordinary shares of NIS 0.01 par value each. Under the plans, options generally vest in portions as follows: 50% of total options are exercisable two years after the date determined for each optionee, a further 25% three years after the date determined for each optionee and a 25% four years after the date determined for each optionee. Options that have vested are exercisable for 7 years from the grant date of the options to each employee.</w:t>
      </w:r>
    </w:p>
    <w:p>
      <w:pPr>
        <w:spacing w:after="0" w:line="173" w:lineRule="exact"/>
        <w:rPr>
          <w:sz w:val="20"/>
          <w:szCs w:val="20"/>
          <w:color w:val="auto"/>
        </w:rPr>
      </w:pPr>
    </w:p>
    <w:p>
      <w:pPr>
        <w:ind w:left="1520" w:right="219"/>
        <w:spacing w:after="0" w:line="257" w:lineRule="auto"/>
        <w:rPr>
          <w:sz w:val="20"/>
          <w:szCs w:val="20"/>
          <w:color w:val="auto"/>
        </w:rPr>
      </w:pPr>
      <w:r>
        <w:rPr>
          <w:rFonts w:ascii="Arial" w:cs="Arial" w:eastAsia="Arial" w:hAnsi="Arial"/>
          <w:sz w:val="18"/>
          <w:szCs w:val="18"/>
          <w:color w:val="auto"/>
        </w:rPr>
        <w:t>Pursuant to the option plans, the Company reserved for issuance 219,590 ordinary shares. As of December 31, 2013, an aggregate of 33,990 ordinary shares were available for future grants. On July 10, 2014, the Board of Directors approved an increase in the ordinary shares reserved for issuance to 402,149 (unaudited) ordinary shares. As of September 30, 2014, an aggregate of 68,217 (unaudited) ordinary shares were available for future grants.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EARNINGS PER SHARE</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4"/>
          </w:tcPr>
          <w:p>
            <w:pPr>
              <w:jc w:val="right"/>
              <w:ind w:right="631"/>
              <w:spacing w:after="0"/>
              <w:rPr>
                <w:sz w:val="20"/>
                <w:szCs w:val="20"/>
                <w:color w:val="auto"/>
              </w:rPr>
            </w:pPr>
            <w:r>
              <w:rPr>
                <w:rFonts w:ascii="Arial" w:cs="Arial" w:eastAsia="Arial" w:hAnsi="Arial"/>
                <w:sz w:val="16"/>
                <w:szCs w:val="16"/>
                <w:b w:val="1"/>
                <w:bCs w:val="1"/>
                <w:color w:val="auto"/>
              </w:rPr>
              <w:t>Year ended</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6"/>
                <w:szCs w:val="16"/>
                <w:b w:val="1"/>
                <w:bCs w:val="1"/>
                <w:color w:val="auto"/>
                <w:w w:val="94"/>
              </w:rPr>
              <w:t>Unaudited</w:t>
            </w:r>
          </w:p>
        </w:tc>
        <w:tc>
          <w:tcPr>
            <w:tcW w:w="7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Numerator for basic and diluted net earnings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per share:</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5"/>
              </w:rPr>
              <w:t>Weighted average shares outstanding, net of</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treasury stock:</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basic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1,366,310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1,366,310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1,368,565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stock options</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106,211</w:t>
            </w: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141,380</w:t>
            </w: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140,362</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Denominator for diluted net earnings per share</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1,472,521</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1,507,690</w:t>
            </w:r>
          </w:p>
        </w:tc>
        <w:tc>
          <w:tcPr>
            <w:tcW w:w="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1,506,672</w:t>
            </w:r>
          </w:p>
        </w:tc>
        <w:tc>
          <w:tcPr>
            <w:tcW w:w="3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1,547,013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6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tcBorders>
              <w:bottom w:val="single" w:sz="8" w:color="auto"/>
            </w:tcBorders>
            <w:shd w:val="clear" w:color="auto" w:fill="000000"/>
          </w:tcPr>
          <w:p>
            <w:pPr>
              <w:spacing w:after="0" w:line="20" w:lineRule="exact"/>
              <w:rPr>
                <w:sz w:val="1"/>
                <w:szCs w:val="1"/>
                <w:color w:val="auto"/>
              </w:rPr>
            </w:pPr>
          </w:p>
        </w:tc>
        <w:tc>
          <w:tcPr>
            <w:tcW w:w="800" w:type="dxa"/>
            <w:vAlign w:val="bottom"/>
            <w:tcBorders>
              <w:bottom w:val="single" w:sz="8" w:color="auto"/>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7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NOTE 11:- TAXES ON INCOME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680" w:type="dxa"/>
            <w:vAlign w:val="bottom"/>
          </w:tcPr>
          <w:p>
            <w:pPr>
              <w:ind w:left="1020"/>
              <w:spacing w:after="0"/>
              <w:rPr>
                <w:sz w:val="20"/>
                <w:szCs w:val="20"/>
                <w:color w:val="auto"/>
              </w:rPr>
            </w:pPr>
            <w:r>
              <w:rPr>
                <w:rFonts w:ascii="Arial" w:cs="Arial" w:eastAsia="Arial" w:hAnsi="Arial"/>
                <w:sz w:val="18"/>
                <w:szCs w:val="18"/>
                <w:color w:val="auto"/>
              </w:rPr>
              <w:t>a.  Tax rates: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520" w:right="339"/>
        <w:spacing w:after="0" w:line="264" w:lineRule="auto"/>
        <w:rPr>
          <w:sz w:val="20"/>
          <w:szCs w:val="20"/>
          <w:color w:val="auto"/>
        </w:rPr>
      </w:pPr>
      <w:r>
        <w:rPr>
          <w:rFonts w:ascii="Arial" w:cs="Arial" w:eastAsia="Arial" w:hAnsi="Arial"/>
          <w:sz w:val="18"/>
          <w:szCs w:val="18"/>
          <w:color w:val="auto"/>
        </w:rPr>
        <w:t>Taxable income of the Israeli companies is subject to the Israeli corporate tax at the rate as follows: 2012 and 2013– 25%. Commencing January 1, 2014, the Israeli corporate tax rate was increased to 26.5%.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3" w:name="page144"/>
    <w:bookmarkEnd w:id="143"/>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Tax benefits under the Law for the Encouragement of Capital Investments, 1959 (the “Law”):</w:t>
      </w:r>
    </w:p>
    <w:p>
      <w:pPr>
        <w:spacing w:after="0" w:line="225" w:lineRule="exact"/>
        <w:rPr>
          <w:sz w:val="20"/>
          <w:szCs w:val="20"/>
          <w:color w:val="auto"/>
        </w:rPr>
      </w:pPr>
    </w:p>
    <w:p>
      <w:pPr>
        <w:ind w:left="1520" w:right="139"/>
        <w:spacing w:after="0" w:line="286" w:lineRule="auto"/>
        <w:rPr>
          <w:sz w:val="20"/>
          <w:szCs w:val="20"/>
          <w:color w:val="auto"/>
        </w:rPr>
      </w:pPr>
      <w:r>
        <w:rPr>
          <w:rFonts w:ascii="Arial" w:cs="Arial" w:eastAsia="Arial" w:hAnsi="Arial"/>
          <w:sz w:val="17"/>
          <w:szCs w:val="17"/>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66" w:lineRule="exact"/>
        <w:rPr>
          <w:sz w:val="20"/>
          <w:szCs w:val="20"/>
          <w:color w:val="auto"/>
        </w:rPr>
      </w:pPr>
    </w:p>
    <w:p>
      <w:pPr>
        <w:ind w:left="1520" w:right="139"/>
        <w:spacing w:after="0" w:line="264" w:lineRule="auto"/>
        <w:rPr>
          <w:sz w:val="20"/>
          <w:szCs w:val="20"/>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Companies began to utilize such tax benefits in 2010.</w:t>
      </w:r>
    </w:p>
    <w:p>
      <w:pPr>
        <w:spacing w:after="0" w:line="181"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Income from sources other than the “Beneficiary Enterprise” are subject to the tax at the regular rate.</w:t>
      </w:r>
    </w:p>
    <w:p>
      <w:pPr>
        <w:spacing w:after="0" w:line="248" w:lineRule="exact"/>
        <w:rPr>
          <w:sz w:val="20"/>
          <w:szCs w:val="20"/>
          <w:color w:val="auto"/>
        </w:rPr>
      </w:pPr>
    </w:p>
    <w:p>
      <w:pPr>
        <w:ind w:left="1520" w:right="239"/>
        <w:spacing w:after="0" w:line="264" w:lineRule="auto"/>
        <w:rPr>
          <w:sz w:val="20"/>
          <w:szCs w:val="20"/>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81"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In addition tax-exempt income attributed to Benefiting Enterprise, will subject the Company to taxes upon distribution in any manner including complete liquidation.</w:t>
      </w:r>
    </w:p>
    <w:p>
      <w:pPr>
        <w:spacing w:after="0" w:line="170" w:lineRule="exact"/>
        <w:rPr>
          <w:sz w:val="20"/>
          <w:szCs w:val="20"/>
          <w:color w:val="auto"/>
        </w:rPr>
      </w:pPr>
    </w:p>
    <w:p>
      <w:pPr>
        <w:ind w:left="1520" w:right="179"/>
        <w:spacing w:after="0" w:line="257" w:lineRule="auto"/>
        <w:rPr>
          <w:sz w:val="20"/>
          <w:szCs w:val="20"/>
          <w:color w:val="auto"/>
        </w:rPr>
      </w:pPr>
      <w:r>
        <w:rPr>
          <w:rFonts w:ascii="Arial" w:cs="Arial" w:eastAsia="Arial" w:hAnsi="Arial"/>
          <w:sz w:val="18"/>
          <w:szCs w:val="18"/>
          <w:color w:val="auto"/>
        </w:rPr>
        <w:t>The Company does not intend to distribute any amounts of its undistributed tax-exempt income as dividend. The Company intends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88" w:lineRule="exact"/>
        <w:rPr>
          <w:sz w:val="20"/>
          <w:szCs w:val="20"/>
          <w:color w:val="auto"/>
        </w:rPr>
      </w:pPr>
    </w:p>
    <w:p>
      <w:pPr>
        <w:jc w:val="both"/>
        <w:ind w:left="1520" w:right="479"/>
        <w:spacing w:after="0" w:line="259" w:lineRule="auto"/>
        <w:rPr>
          <w:sz w:val="20"/>
          <w:szCs w:val="20"/>
          <w:color w:val="auto"/>
        </w:rPr>
      </w:pPr>
      <w:r>
        <w:rPr>
          <w:rFonts w:ascii="Arial" w:cs="Arial" w:eastAsia="Arial" w:hAnsi="Arial"/>
          <w:sz w:val="18"/>
          <w:szCs w:val="18"/>
          <w:color w:val="auto"/>
        </w:rPr>
        <w:t>As of December 31, 2013, tax-exempt income of $22,600 is attributable to the Company’s and its subsidiary’s various Beneficiary Enterprise programs. If such tax exempt income is distributed, it would be taxed at the reduced corporate tax rate applicable to such income, and $5,655 would be incurred as of December 31, 2013.</w:t>
      </w:r>
    </w:p>
    <w:p>
      <w:pPr>
        <w:spacing w:after="0" w:line="187" w:lineRule="exact"/>
        <w:rPr>
          <w:sz w:val="20"/>
          <w:szCs w:val="20"/>
          <w:color w:val="auto"/>
        </w:rPr>
      </w:pPr>
    </w:p>
    <w:p>
      <w:pPr>
        <w:ind w:left="1520" w:right="259"/>
        <w:spacing w:after="0" w:line="257" w:lineRule="auto"/>
        <w:rPr>
          <w:sz w:val="20"/>
          <w:szCs w:val="20"/>
          <w:color w:val="auto"/>
        </w:rPr>
      </w:pPr>
      <w:r>
        <w:rPr>
          <w:rFonts w:ascii="Arial" w:cs="Arial" w:eastAsia="Arial" w:hAnsi="Arial"/>
          <w:sz w:val="18"/>
          <w:szCs w:val="18"/>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188" w:lineRule="exact"/>
        <w:rPr>
          <w:sz w:val="20"/>
          <w:szCs w:val="20"/>
          <w:color w:val="auto"/>
        </w:rPr>
      </w:pPr>
    </w:p>
    <w:p>
      <w:pPr>
        <w:ind w:left="1520" w:right="259"/>
        <w:spacing w:after="0" w:line="255" w:lineRule="auto"/>
        <w:rPr>
          <w:sz w:val="20"/>
          <w:szCs w:val="20"/>
          <w:color w:val="auto"/>
        </w:rPr>
      </w:pPr>
      <w:r>
        <w:rPr>
          <w:rFonts w:ascii="Arial" w:cs="Arial" w:eastAsia="Arial" w:hAnsi="Arial"/>
          <w:sz w:val="18"/>
          <w:szCs w:val="18"/>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 (a) was registered under</w:t>
      </w:r>
    </w:p>
    <w:p>
      <w:pPr>
        <w:spacing w:after="0" w:line="193" w:lineRule="exact"/>
        <w:rPr>
          <w:sz w:val="20"/>
          <w:szCs w:val="20"/>
          <w:color w:val="auto"/>
        </w:rPr>
      </w:pPr>
    </w:p>
    <w:p>
      <w:pPr>
        <w:ind w:left="1520" w:right="159"/>
        <w:spacing w:after="0" w:line="259" w:lineRule="auto"/>
        <w:rPr>
          <w:sz w:val="20"/>
          <w:szCs w:val="20"/>
          <w:color w:val="auto"/>
        </w:rPr>
      </w:pPr>
      <w:r>
        <w:rPr>
          <w:rFonts w:ascii="Arial" w:cs="Arial" w:eastAsia="Arial" w:hAnsi="Arial"/>
          <w:sz w:val="18"/>
          <w:szCs w:val="18"/>
          <w:color w:val="auto"/>
        </w:rPr>
        <w:t>the Partnerships Ordinance; (b) all of its limited partners are companies incorporated in Israel, but not all of them are governmental entities, which, among other things, has Preferred Enterprise status and are controlled and managed from Israel. Pursuant to the 2011 Amendment, a Preferred Company is entitled</w:t>
      </w:r>
    </w:p>
    <w:p>
      <w:pPr>
        <w:sectPr>
          <w:pgSz w:w="11900" w:h="16838" w:orient="portrait"/>
          <w:cols w:equalWidth="0" w:num="1">
            <w:col w:w="9019"/>
          </w:cols>
          <w:pgMar w:left="1440" w:top="337" w:right="1440" w:bottom="1440" w:gutter="0" w:footer="0" w:header="0"/>
        </w:sectPr>
      </w:pP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11430</wp:posOffset>
            </wp:positionV>
            <wp:extent cx="557403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4" w:name="page145"/>
    <w:bookmarkEnd w:id="144"/>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179"/>
        <w:spacing w:after="0" w:line="291" w:lineRule="auto"/>
        <w:rPr>
          <w:sz w:val="20"/>
          <w:szCs w:val="20"/>
          <w:color w:val="auto"/>
        </w:rPr>
      </w:pPr>
      <w:r>
        <w:rPr>
          <w:rFonts w:ascii="Arial" w:cs="Arial" w:eastAsia="Arial" w:hAnsi="Arial"/>
          <w:sz w:val="16"/>
          <w:szCs w:val="16"/>
          <w:color w:val="auto"/>
        </w:rPr>
        <w:t>to a reduced corporate flat tax rate of 15% with respect to its preferred income derived by its Preferred Enterprise in 2011-2012, unless the Preferred Enterprise is located in a certain development zone, in which case the rate will be 10%. Such corporate tax rate will be reduced to 12.5% and 7%, respectively, in 2013 and will increase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67"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7" w:lineRule="exact"/>
        <w:rPr>
          <w:sz w:val="20"/>
          <w:szCs w:val="20"/>
          <w:color w:val="auto"/>
        </w:rPr>
      </w:pPr>
    </w:p>
    <w:p>
      <w:pPr>
        <w:ind w:left="1520" w:right="119"/>
        <w:spacing w:after="0" w:line="290" w:lineRule="auto"/>
        <w:rPr>
          <w:sz w:val="20"/>
          <w:szCs w:val="20"/>
          <w:color w:val="auto"/>
        </w:rPr>
      </w:pPr>
      <w:r>
        <w:rPr>
          <w:rFonts w:ascii="Arial" w:cs="Arial" w:eastAsia="Arial" w:hAnsi="Arial"/>
          <w:sz w:val="16"/>
          <w:szCs w:val="16"/>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to apply the benefit under the 2011 Amendment.</w:t>
      </w:r>
    </w:p>
    <w:p>
      <w:pPr>
        <w:spacing w:after="0" w:line="166"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ind w:left="1520" w:right="659"/>
        <w:spacing w:after="0" w:line="302" w:lineRule="auto"/>
        <w:rPr>
          <w:sz w:val="20"/>
          <w:szCs w:val="20"/>
          <w:color w:val="auto"/>
        </w:rPr>
      </w:pPr>
      <w:r>
        <w:rPr>
          <w:rFonts w:ascii="Arial" w:cs="Arial" w:eastAsia="Arial" w:hAnsi="Arial"/>
          <w:sz w:val="16"/>
          <w:szCs w:val="16"/>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154"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Income taxes of non-Israeli subsidiaries: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Non-Israeli subsidiaries are taxed according to the tax laws in their respective countries of residence.</w:t>
      </w:r>
    </w:p>
    <w:p>
      <w:pPr>
        <w:spacing w:after="0" w:line="248" w:lineRule="exact"/>
        <w:rPr>
          <w:sz w:val="20"/>
          <w:szCs w:val="20"/>
          <w:color w:val="auto"/>
        </w:rPr>
      </w:pPr>
    </w:p>
    <w:p>
      <w:pPr>
        <w:ind w:left="1520" w:right="139"/>
        <w:spacing w:after="0" w:line="255" w:lineRule="auto"/>
        <w:rPr>
          <w:sz w:val="20"/>
          <w:szCs w:val="20"/>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9" w:lineRule="exact"/>
        <w:rPr>
          <w:sz w:val="20"/>
          <w:szCs w:val="20"/>
          <w:color w:val="auto"/>
        </w:rPr>
      </w:pPr>
    </w:p>
    <w:p>
      <w:pPr>
        <w:ind w:left="1520" w:right="139"/>
        <w:spacing w:after="0" w:line="277" w:lineRule="auto"/>
        <w:rPr>
          <w:sz w:val="20"/>
          <w:szCs w:val="20"/>
          <w:color w:val="auto"/>
        </w:rPr>
      </w:pPr>
      <w:r>
        <w:rPr>
          <w:rFonts w:ascii="Arial" w:cs="Arial" w:eastAsia="Arial" w:hAnsi="Arial"/>
          <w:sz w:val="18"/>
          <w:szCs w:val="18"/>
          <w:color w:val="auto"/>
        </w:rPr>
        <w:t>The amount of undistributed earnings of foreign subsidiaries that are considered to be reinvested as of December 31, 2013 was $1,072.</w:t>
      </w:r>
    </w:p>
    <w:p>
      <w:pPr>
        <w:spacing w:after="0" w:line="170"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5"/>
          <w:szCs w:val="15"/>
          <w:color w:val="auto"/>
        </w:rPr>
        <w:t>Final tax assessments:</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The Company and its Israeli subsidiary received final tax assessments through 2008.</w:t>
      </w:r>
    </w:p>
    <w:p>
      <w:pPr>
        <w:spacing w:after="0" w:line="225" w:lineRule="exact"/>
        <w:rPr>
          <w:sz w:val="20"/>
          <w:szCs w:val="20"/>
          <w:color w:val="auto"/>
        </w:rPr>
      </w:pPr>
    </w:p>
    <w:p>
      <w:pPr>
        <w:ind w:left="1520" w:right="299"/>
        <w:spacing w:after="0" w:line="277" w:lineRule="auto"/>
        <w:rPr>
          <w:sz w:val="20"/>
          <w:szCs w:val="20"/>
          <w:color w:val="auto"/>
        </w:rPr>
      </w:pPr>
      <w:r>
        <w:rPr>
          <w:rFonts w:ascii="Arial" w:cs="Arial" w:eastAsia="Arial" w:hAnsi="Arial"/>
          <w:sz w:val="18"/>
          <w:szCs w:val="18"/>
          <w:color w:val="auto"/>
        </w:rPr>
        <w:t>The U.S subsidiary received final tax assessment through 2009 and the German and the Hong Kong Subsidiaries have not received a final tax assessment since inception.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5" w:name="page146"/>
    <w:bookmarkEnd w:id="145"/>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6"/>
          <w:szCs w:val="16"/>
          <w:color w:val="auto"/>
        </w:rPr>
        <w:t>Carryforward losses:</w:t>
      </w:r>
    </w:p>
    <w:p>
      <w:pPr>
        <w:spacing w:after="0" w:line="225" w:lineRule="exact"/>
        <w:rPr>
          <w:sz w:val="20"/>
          <w:szCs w:val="20"/>
          <w:color w:val="auto"/>
        </w:rPr>
      </w:pPr>
    </w:p>
    <w:p>
      <w:pPr>
        <w:ind w:left="1520" w:right="519"/>
        <w:spacing w:after="0" w:line="277" w:lineRule="auto"/>
        <w:rPr>
          <w:sz w:val="20"/>
          <w:szCs w:val="20"/>
          <w:color w:val="auto"/>
        </w:rPr>
      </w:pPr>
      <w:r>
        <w:rPr>
          <w:rFonts w:ascii="Arial" w:cs="Arial" w:eastAsia="Arial" w:hAnsi="Arial"/>
          <w:sz w:val="18"/>
          <w:szCs w:val="18"/>
          <w:color w:val="auto"/>
        </w:rPr>
        <w:t>Carryforward operating tax losses of the Company’s Israeli subsidiary amounted to $ 9,447 as of December 31, 2013 and may be used indefinitely.</w:t>
      </w:r>
    </w:p>
    <w:p>
      <w:pPr>
        <w:spacing w:after="0" w:line="170" w:lineRule="exact"/>
        <w:rPr>
          <w:sz w:val="20"/>
          <w:szCs w:val="20"/>
          <w:color w:val="auto"/>
        </w:rPr>
      </w:pPr>
    </w:p>
    <w:p>
      <w:pPr>
        <w:ind w:left="1480" w:hanging="329"/>
        <w:spacing w:after="0"/>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sz w:val="20"/>
          <w:szCs w:val="20"/>
          <w:color w:val="auto"/>
        </w:rPr>
      </w:pPr>
    </w:p>
    <w:p>
      <w:pPr>
        <w:ind w:left="1520" w:right="179"/>
        <w:spacing w:after="0" w:line="259"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Carryforward tax losses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Temporary differences</w:t>
            </w:r>
          </w:p>
        </w:tc>
        <w:tc>
          <w:tcPr>
            <w:tcW w:w="1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tax assets before valuation allowance</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(2,934)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1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8760" w:type="dxa"/>
            <w:vAlign w:val="bottom"/>
            <w:gridSpan w:val="9"/>
          </w:tcPr>
          <w:p>
            <w:pPr>
              <w:ind w:left="1380"/>
              <w:spacing w:after="0"/>
              <w:rPr>
                <w:sz w:val="20"/>
                <w:szCs w:val="20"/>
                <w:color w:val="auto"/>
              </w:rPr>
            </w:pPr>
            <w:r>
              <w:rPr>
                <w:rFonts w:ascii="Arial" w:cs="Arial" w:eastAsia="Arial" w:hAnsi="Arial"/>
                <w:sz w:val="18"/>
                <w:szCs w:val="18"/>
                <w:color w:val="auto"/>
                <w:w w:val="94"/>
              </w:rPr>
              <w:t>The net change in the valuation allowance was mainly due to increase of operating tax losses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5"/>
          </w:tcPr>
          <w:p>
            <w:pPr>
              <w:ind w:left="1380"/>
              <w:spacing w:after="0"/>
              <w:rPr>
                <w:sz w:val="20"/>
                <w:szCs w:val="20"/>
                <w:color w:val="auto"/>
              </w:rPr>
            </w:pPr>
            <w:r>
              <w:rPr>
                <w:rFonts w:ascii="Arial" w:cs="Arial" w:eastAsia="Arial" w:hAnsi="Arial"/>
                <w:sz w:val="18"/>
                <w:szCs w:val="18"/>
                <w:color w:val="auto"/>
              </w:rPr>
              <w:t>other temporary items for which a valuation allowance was provided.</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Current deferred tax asset</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deferred tax liability</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239"/>
        <w:spacing w:after="0" w:line="277" w:lineRule="auto"/>
        <w:rPr>
          <w:sz w:val="20"/>
          <w:szCs w:val="20"/>
          <w:color w:val="auto"/>
        </w:rPr>
      </w:pPr>
      <w:r>
        <w:rPr>
          <w:rFonts w:ascii="Arial" w:cs="Arial" w:eastAsia="Arial" w:hAnsi="Arial"/>
          <w:sz w:val="18"/>
          <w:szCs w:val="18"/>
          <w:color w:val="auto"/>
        </w:rPr>
        <w:t>Current deferred tax asset is included within other current assets and prepaid expenses in the balance sheets.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6" w:name="page147"/>
    <w:bookmarkEnd w:id="146"/>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color w:val="auto"/>
        </w:rPr>
        <w:t>Taxes on income are comprised as follows:</w:t>
      </w:r>
    </w:p>
    <w:p>
      <w:pPr>
        <w:spacing w:after="0" w:line="172"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Deferred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Borders>
              <w:top w:val="single" w:sz="8" w:color="CCEEFF"/>
            </w:tcBorders>
            <w:shd w:val="clear" w:color="auto" w:fill="CCEEFF"/>
          </w:tcPr>
          <w:p>
            <w:pPr>
              <w:spacing w:after="0"/>
              <w:rPr>
                <w:sz w:val="20"/>
                <w:szCs w:val="20"/>
                <w:color w:val="auto"/>
              </w:rPr>
            </w:pPr>
          </w:p>
        </w:tc>
        <w:tc>
          <w:tcPr>
            <w:tcW w:w="45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1,228</w:t>
            </w:r>
          </w:p>
        </w:tc>
        <w:tc>
          <w:tcPr>
            <w:tcW w:w="200" w:type="dxa"/>
            <w:vAlign w:val="bottom"/>
          </w:tcPr>
          <w:p>
            <w:pPr>
              <w:spacing w:after="0"/>
              <w:rPr>
                <w:sz w:val="23"/>
                <w:szCs w:val="23"/>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1260" w:type="dxa"/>
            <w:vAlign w:val="bottom"/>
            <w:tcBorders>
              <w:top w:val="single" w:sz="8" w:color="CCEEFF"/>
            </w:tcBorders>
            <w:shd w:val="clear" w:color="auto" w:fill="CCEEFF"/>
          </w:tcPr>
          <w:p>
            <w:pPr>
              <w:spacing w:after="0"/>
              <w:rPr>
                <w:sz w:val="19"/>
                <w:szCs w:val="19"/>
                <w:color w:val="auto"/>
              </w:rPr>
            </w:pPr>
          </w:p>
        </w:tc>
        <w:tc>
          <w:tcPr>
            <w:tcW w:w="4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Domestic</w:t>
            </w:r>
          </w:p>
        </w:tc>
        <w:tc>
          <w:tcPr>
            <w:tcW w:w="4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45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4"/>
          </w:tcPr>
          <w:p>
            <w:pPr>
              <w:jc w:val="right"/>
              <w:ind w:right="180"/>
              <w:spacing w:after="0"/>
              <w:rPr>
                <w:sz w:val="20"/>
                <w:szCs w:val="20"/>
                <w:color w:val="auto"/>
              </w:rPr>
            </w:pPr>
            <w:r>
              <w:rPr>
                <w:rFonts w:ascii="Arial" w:cs="Arial" w:eastAsia="Arial" w:hAnsi="Arial"/>
                <w:sz w:val="16"/>
                <w:szCs w:val="16"/>
                <w:b w:val="1"/>
                <w:bCs w:val="1"/>
                <w:color w:val="auto"/>
              </w:rPr>
              <w:t>Year ended</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2012</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6"/>
              </w:rPr>
              <w:t>Domestic taxes:</w:t>
            </w:r>
          </w:p>
        </w:tc>
        <w:tc>
          <w:tcPr>
            <w:tcW w:w="45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tcPr>
          <w:p>
            <w:pPr>
              <w:spacing w:after="0"/>
              <w:rPr>
                <w:sz w:val="21"/>
                <w:szCs w:val="21"/>
                <w:color w:val="auto"/>
              </w:rPr>
            </w:pPr>
          </w:p>
        </w:tc>
        <w:tc>
          <w:tcPr>
            <w:tcW w:w="47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gridSpan w:val="2"/>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taxes</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280" w:type="dxa"/>
            <w:vAlign w:val="bottom"/>
            <w:gridSpan w:val="2"/>
          </w:tcPr>
          <w:p>
            <w:pPr>
              <w:spacing w:after="0"/>
              <w:rPr>
                <w:sz w:val="20"/>
                <w:szCs w:val="20"/>
                <w:color w:val="auto"/>
              </w:rPr>
            </w:pPr>
            <w:r>
              <w:rPr>
                <w:rFonts w:ascii="Arial" w:cs="Arial" w:eastAsia="Arial" w:hAnsi="Arial"/>
                <w:sz w:val="18"/>
                <w:szCs w:val="18"/>
                <w:color w:val="auto"/>
              </w:rPr>
              <w:t>Foreign taxes:</w:t>
            </w: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Current taxes</w:t>
            </w:r>
          </w:p>
        </w:tc>
        <w:tc>
          <w:tcPr>
            <w:tcW w:w="4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5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0"/>
              </w:rPr>
              <w:t>Taxes on income</w:t>
            </w:r>
          </w:p>
        </w:tc>
        <w:tc>
          <w:tcPr>
            <w:tcW w:w="4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60" w:type="dxa"/>
            <w:vAlign w:val="bottom"/>
          </w:tcPr>
          <w:p>
            <w:pPr>
              <w:ind w:left="1020"/>
              <w:spacing w:after="0"/>
              <w:rPr>
                <w:sz w:val="20"/>
                <w:szCs w:val="20"/>
                <w:color w:val="auto"/>
              </w:rPr>
            </w:pPr>
            <w:r>
              <w:rPr>
                <w:rFonts w:ascii="Arial" w:cs="Arial" w:eastAsia="Arial" w:hAnsi="Arial"/>
                <w:sz w:val="18"/>
                <w:szCs w:val="18"/>
                <w:color w:val="auto"/>
              </w:rPr>
              <w:t>h.</w:t>
            </w:r>
          </w:p>
        </w:tc>
        <w:tc>
          <w:tcPr>
            <w:tcW w:w="4780" w:type="dxa"/>
            <w:vAlign w:val="bottom"/>
            <w:gridSpan w:val="2"/>
          </w:tcPr>
          <w:p>
            <w:pPr>
              <w:jc w:val="right"/>
              <w:ind w:right="3000"/>
              <w:spacing w:after="0"/>
              <w:rPr>
                <w:sz w:val="20"/>
                <w:szCs w:val="20"/>
                <w:color w:val="auto"/>
              </w:rPr>
            </w:pPr>
            <w:r>
              <w:rPr>
                <w:rFonts w:ascii="Arial" w:cs="Arial" w:eastAsia="Arial" w:hAnsi="Arial"/>
                <w:sz w:val="18"/>
                <w:szCs w:val="18"/>
                <w:color w:val="auto"/>
                <w:w w:val="94"/>
              </w:rPr>
              <w:t>Uncertain tax positions:</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A reconciliation of the beginning and ending amount of gross unrecognized tax benefits is as follows:</w:t>
      </w:r>
    </w:p>
    <w:p>
      <w:pPr>
        <w:spacing w:after="0" w:line="19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3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3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Additions for current year tax positions</w:t>
            </w:r>
          </w:p>
        </w:tc>
        <w:tc>
          <w:tcPr>
            <w:tcW w:w="14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Balance at December 31</w:t>
            </w: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556</w:t>
            </w:r>
          </w:p>
        </w:tc>
        <w:tc>
          <w:tcPr>
            <w:tcW w:w="34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1520" w:right="119"/>
        <w:spacing w:after="0" w:line="277" w:lineRule="auto"/>
        <w:rPr>
          <w:sz w:val="20"/>
          <w:szCs w:val="20"/>
          <w:color w:val="auto"/>
        </w:rPr>
      </w:pPr>
      <w:r>
        <w:rPr>
          <w:rFonts w:ascii="Arial" w:cs="Arial" w:eastAsia="Arial" w:hAnsi="Arial"/>
          <w:sz w:val="18"/>
          <w:szCs w:val="18"/>
          <w:color w:val="auto"/>
        </w:rPr>
        <w:t>The Company’s Israeli tax returns have been examined for all years including and prior to fiscal 2009, and the Company is no longer subject to audit for these periods.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7" w:name="page148"/>
    <w:bookmarkEnd w:id="147"/>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TAXES ON INCOME (Cont.)</w:t>
      </w:r>
    </w:p>
    <w:p>
      <w:pPr>
        <w:spacing w:after="0" w:line="229" w:lineRule="exact"/>
        <w:rPr>
          <w:sz w:val="20"/>
          <w:szCs w:val="20"/>
          <w:color w:val="auto"/>
        </w:rPr>
      </w:pPr>
    </w:p>
    <w:p>
      <w:pPr>
        <w:ind w:left="1520" w:right="259"/>
        <w:spacing w:after="0" w:line="264" w:lineRule="auto"/>
        <w:rPr>
          <w:sz w:val="20"/>
          <w:szCs w:val="20"/>
          <w:color w:val="auto"/>
        </w:rPr>
      </w:pPr>
      <w:r>
        <w:rPr>
          <w:rFonts w:ascii="Arial" w:cs="Arial" w:eastAsia="Arial" w:hAnsi="Arial"/>
          <w:sz w:val="18"/>
          <w:szCs w:val="18"/>
          <w:color w:val="auto"/>
        </w:rPr>
        <w:t>The Company’s U.S subsidiary files U.S. federal income tax returns. Tax returns have been examined for all years prior to fiscal 2010, and the Company’s U.S subsidiary is no longer subject to audit for these periods.</w:t>
      </w:r>
    </w:p>
    <w:p>
      <w:pPr>
        <w:spacing w:after="0" w:line="181" w:lineRule="exact"/>
        <w:rPr>
          <w:sz w:val="20"/>
          <w:szCs w:val="20"/>
          <w:color w:val="auto"/>
        </w:rPr>
      </w:pPr>
    </w:p>
    <w:p>
      <w:pPr>
        <w:ind w:left="1520" w:right="799"/>
        <w:spacing w:after="0" w:line="277" w:lineRule="auto"/>
        <w:rPr>
          <w:sz w:val="20"/>
          <w:szCs w:val="20"/>
          <w:color w:val="auto"/>
        </w:rPr>
      </w:pPr>
      <w:r>
        <w:rPr>
          <w:rFonts w:ascii="Arial" w:cs="Arial" w:eastAsia="Arial" w:hAnsi="Arial"/>
          <w:sz w:val="18"/>
          <w:szCs w:val="18"/>
          <w:color w:val="auto"/>
        </w:rPr>
        <w:t>As of December 31, 2013, the entire amount of the unrecognized tax benefits could affect the Company’s income tax provision and the effective tax rate.</w:t>
      </w:r>
    </w:p>
    <w:p>
      <w:pPr>
        <w:spacing w:after="0" w:line="130" w:lineRule="exact"/>
        <w:rPr>
          <w:sz w:val="20"/>
          <w:szCs w:val="20"/>
          <w:color w:val="auto"/>
        </w:rPr>
      </w:pPr>
    </w:p>
    <w:p>
      <w:pPr>
        <w:jc w:val="both"/>
        <w:ind w:left="1520" w:right="139"/>
        <w:spacing w:after="0" w:line="276" w:lineRule="auto"/>
        <w:rPr>
          <w:sz w:val="20"/>
          <w:szCs w:val="20"/>
          <w:color w:val="auto"/>
        </w:rPr>
      </w:pPr>
      <w:r>
        <w:rPr>
          <w:rFonts w:ascii="Arial" w:cs="Arial" w:eastAsia="Arial" w:hAnsi="Arial"/>
          <w:sz w:val="17"/>
          <w:szCs w:val="17"/>
          <w:color w:val="auto"/>
        </w:rPr>
        <w:t>During the years ended December 31, 2012 and 2013, an amount of $0 and $75, respectively, was add to the unrecognized tax benefits derived from interest and exchange rate differences expenses related to prior years’ uncertain tax positions. As of December 31, 2012 and 2013, the Company had accrued interest liability related to uncertain tax positions in the amounts of $0 and $33 respectively, which is included within income tax accrual on the balance sheets.</w:t>
      </w:r>
    </w:p>
    <w:p>
      <w:pPr>
        <w:spacing w:after="0" w:line="146" w:lineRule="exact"/>
        <w:rPr>
          <w:sz w:val="20"/>
          <w:szCs w:val="20"/>
          <w:color w:val="auto"/>
        </w:rPr>
      </w:pPr>
    </w:p>
    <w:p>
      <w:pPr>
        <w:ind w:left="1520" w:right="219"/>
        <w:spacing w:after="0" w:line="277" w:lineRule="auto"/>
        <w:rPr>
          <w:sz w:val="20"/>
          <w:szCs w:val="20"/>
          <w:color w:val="auto"/>
        </w:rPr>
      </w:pPr>
      <w:r>
        <w:rPr>
          <w:rFonts w:ascii="Arial" w:cs="Arial" w:eastAsia="Arial" w:hAnsi="Arial"/>
          <w:sz w:val="18"/>
          <w:szCs w:val="18"/>
          <w:color w:val="auto"/>
        </w:rPr>
        <w:t>Exchange rate differences are recorded within financial income, net, while interest is recorded within income tax expense.</w:t>
      </w:r>
    </w:p>
    <w:p>
      <w:pPr>
        <w:spacing w:after="0" w:line="130" w:lineRule="exact"/>
        <w:rPr>
          <w:sz w:val="20"/>
          <w:szCs w:val="20"/>
          <w:color w:val="auto"/>
        </w:rPr>
      </w:pPr>
    </w:p>
    <w:p>
      <w:pPr>
        <w:ind w:left="1520" w:right="119"/>
        <w:spacing w:after="0" w:line="257"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48" w:lineRule="exact"/>
        <w:rPr>
          <w:sz w:val="20"/>
          <w:szCs w:val="20"/>
          <w:color w:val="auto"/>
        </w:rPr>
      </w:pPr>
    </w:p>
    <w:p>
      <w:pPr>
        <w:ind w:left="1520" w:right="239" w:hanging="369"/>
        <w:spacing w:after="0" w:line="264" w:lineRule="auto"/>
        <w:tabs>
          <w:tab w:leader="none" w:pos="1462"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55"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56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15875</wp:posOffset>
            </wp:positionV>
            <wp:extent cx="17837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before taxes, as reported in the consolidated statements of income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2"/>
              </w:rPr>
              <w:t>Theoretical tax expense on the above amount at the Israeli statutory tax rate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Tax adjustment in respect of different tax rate of foreign subsidiary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 permanent differences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tcPr>
          <w:p>
            <w:pPr>
              <w:spacing w:after="0" w:line="201" w:lineRule="exact"/>
              <w:rPr>
                <w:sz w:val="20"/>
                <w:szCs w:val="20"/>
                <w:color w:val="auto"/>
              </w:rPr>
            </w:pPr>
            <w:r>
              <w:rPr>
                <w:rFonts w:ascii="Arial" w:cs="Arial" w:eastAsia="Arial" w:hAnsi="Arial"/>
                <w:sz w:val="18"/>
                <w:szCs w:val="18"/>
                <w:color w:val="auto"/>
                <w:w w:val="91"/>
              </w:rPr>
              <w:t>Deferred taxes on losses and other temporary differences for which valuation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200"/>
              <w:spacing w:after="0"/>
              <w:rPr>
                <w:sz w:val="20"/>
                <w:szCs w:val="20"/>
                <w:color w:val="auto"/>
              </w:rPr>
            </w:pPr>
            <w:r>
              <w:rPr>
                <w:rFonts w:ascii="Arial" w:cs="Arial" w:eastAsia="Arial" w:hAnsi="Arial"/>
                <w:sz w:val="18"/>
                <w:szCs w:val="18"/>
                <w:color w:val="auto"/>
              </w:rPr>
              <w:t>allowance was provided, net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 relating to stock options per ASC No. 718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Benefiticiary enterprise benefits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Actual tax expense</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vMerge w:val="restart"/>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Basic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w w:val="99"/>
              </w:rPr>
              <w:t>Diluted earnings per share amounts of the benefit resulting from the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“Beneficiary Enterprise” status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vMerge w:val="restart"/>
          </w:tcPr>
          <w:p>
            <w:pPr>
              <w:ind w:left="4240"/>
              <w:spacing w:after="0"/>
              <w:rPr>
                <w:sz w:val="20"/>
                <w:szCs w:val="20"/>
                <w:color w:val="auto"/>
              </w:rPr>
            </w:pPr>
            <w:r>
              <w:rPr>
                <w:rFonts w:ascii="Arial" w:cs="Arial" w:eastAsia="Arial" w:hAnsi="Arial"/>
                <w:sz w:val="14"/>
                <w:szCs w:val="14"/>
                <w:color w:val="auto"/>
              </w:rPr>
              <w:t>F-29</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6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48" w:name="page149"/>
    <w:bookmarkEnd w:id="148"/>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GEOGRAPHIC INFOROMATION</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Summary information about geographic areas:</w:t>
      </w:r>
    </w:p>
    <w:p>
      <w:pPr>
        <w:spacing w:after="0" w:line="225" w:lineRule="exact"/>
        <w:rPr>
          <w:sz w:val="20"/>
          <w:szCs w:val="20"/>
          <w:color w:val="auto"/>
        </w:rPr>
      </w:pPr>
    </w:p>
    <w:p>
      <w:pPr>
        <w:ind w:left="1520" w:right="319"/>
        <w:spacing w:after="0" w:line="264" w:lineRule="auto"/>
        <w:rPr>
          <w:sz w:val="20"/>
          <w:szCs w:val="20"/>
          <w:color w:val="auto"/>
        </w:rPr>
      </w:pPr>
      <w:r>
        <w:rPr>
          <w:rFonts w:ascii="Arial" w:cs="Arial" w:eastAsia="Arial" w:hAnsi="Arial"/>
          <w:sz w:val="18"/>
          <w:szCs w:val="18"/>
          <w:color w:val="auto"/>
        </w:rPr>
        <w:t>The Company operates in one reportable segment (see Note 1 for a brief description of the Company’s business). The total revenues are attributed to geographic areas based on the location of the end-users.</w:t>
      </w:r>
    </w:p>
    <w:p>
      <w:pPr>
        <w:spacing w:after="0" w:line="181" w:lineRule="exact"/>
        <w:rPr>
          <w:sz w:val="20"/>
          <w:szCs w:val="20"/>
          <w:color w:val="auto"/>
        </w:rPr>
      </w:pPr>
    </w:p>
    <w:p>
      <w:pPr>
        <w:ind w:left="1520" w:right="199"/>
        <w:spacing w:after="0" w:line="342" w:lineRule="auto"/>
        <w:rPr>
          <w:sz w:val="20"/>
          <w:szCs w:val="20"/>
          <w:color w:val="auto"/>
        </w:rPr>
      </w:pPr>
      <w:r>
        <w:rPr>
          <w:rFonts w:ascii="Arial" w:cs="Arial" w:eastAsia="Arial" w:hAnsi="Arial"/>
          <w:sz w:val="16"/>
          <w:szCs w:val="16"/>
          <w:color w:val="auto"/>
        </w:rPr>
        <w:t>The following table presents total revenues and long-lived assets for the years ended December 31, 2012 and 2013 and for the nine months ended September 30, 2013 (unaudited) and 2014 (unaudited).</w:t>
      </w:r>
    </w:p>
    <w:p>
      <w:pPr>
        <w:spacing w:after="0" w:line="124"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sales to customers located at:</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22,022</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14,877</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America (non-U.S.)</w:t>
            </w:r>
          </w:p>
        </w:tc>
        <w:tc>
          <w:tcPr>
            <w:tcW w:w="740" w:type="dxa"/>
            <w:vAlign w:val="bottom"/>
          </w:tcPr>
          <w:p>
            <w:pPr>
              <w:jc w:val="right"/>
              <w:spacing w:after="0"/>
              <w:rPr>
                <w:sz w:val="20"/>
                <w:szCs w:val="20"/>
                <w:color w:val="auto"/>
              </w:rPr>
            </w:pPr>
            <w:r>
              <w:rPr>
                <w:rFonts w:ascii="Arial" w:cs="Arial" w:eastAsia="Arial" w:hAnsi="Arial"/>
                <w:sz w:val="18"/>
                <w:szCs w:val="18"/>
                <w:color w:val="auto"/>
              </w:rPr>
              <w:t>5,230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4,596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2,778</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EMEA</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ind w:left="200"/>
              <w:spacing w:after="0"/>
              <w:rPr>
                <w:sz w:val="20"/>
                <w:szCs w:val="20"/>
                <w:color w:val="auto"/>
              </w:rPr>
            </w:pPr>
            <w:r>
              <w:rPr>
                <w:rFonts w:ascii="Arial" w:cs="Arial" w:eastAsia="Arial" w:hAnsi="Arial"/>
                <w:sz w:val="18"/>
                <w:szCs w:val="18"/>
                <w:color w:val="auto"/>
              </w:rPr>
              <w:t>Asia Pacific – other</w:t>
            </w:r>
          </w:p>
        </w:tc>
        <w:tc>
          <w:tcPr>
            <w:tcW w:w="740" w:type="dxa"/>
            <w:vAlign w:val="bottom"/>
          </w:tcPr>
          <w:p>
            <w:pPr>
              <w:jc w:val="right"/>
              <w:spacing w:after="0"/>
              <w:rPr>
                <w:sz w:val="20"/>
                <w:szCs w:val="20"/>
                <w:color w:val="auto"/>
              </w:rPr>
            </w:pPr>
            <w:r>
              <w:rPr>
                <w:rFonts w:ascii="Arial" w:cs="Arial" w:eastAsia="Arial" w:hAnsi="Arial"/>
                <w:sz w:val="18"/>
                <w:szCs w:val="18"/>
                <w:color w:val="auto"/>
              </w:rPr>
              <w:t>5,130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7,884</w:t>
            </w:r>
          </w:p>
        </w:tc>
        <w:tc>
          <w:tcPr>
            <w:tcW w:w="14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27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39,167</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49,395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34,185</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47,495</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0"/>
              </w:rPr>
              <w:t>Year ended</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90"/>
              </w:rPr>
              <w:t>Nine months ended</w:t>
            </w:r>
          </w:p>
        </w:tc>
      </w:tr>
      <w:tr>
        <w:trPr>
          <w:trHeight w:val="213"/>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4"/>
          </w:tcPr>
          <w:p>
            <w:pPr>
              <w:jc w:val="center"/>
              <w:ind w:right="131"/>
              <w:spacing w:after="0"/>
              <w:rPr>
                <w:sz w:val="20"/>
                <w:szCs w:val="20"/>
                <w:color w:val="auto"/>
              </w:rPr>
            </w:pPr>
            <w:r>
              <w:rPr>
                <w:rFonts w:ascii="Arial" w:cs="Arial" w:eastAsia="Arial" w:hAnsi="Arial"/>
                <w:sz w:val="16"/>
                <w:szCs w:val="16"/>
                <w:b w:val="1"/>
                <w:bCs w:val="1"/>
                <w:color w:val="auto"/>
                <w:w w:val="90"/>
              </w:rPr>
              <w:t>December 31,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September 30,</w:t>
            </w:r>
          </w:p>
        </w:tc>
      </w:tr>
      <w:tr>
        <w:trPr>
          <w:trHeight w:val="223"/>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3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276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6"/>
                <w:szCs w:val="16"/>
                <w:b w:val="1"/>
                <w:bCs w:val="1"/>
                <w:color w:val="auto"/>
                <w:w w:val="94"/>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r>
      <w:tr>
        <w:trPr>
          <w:trHeight w:val="240"/>
        </w:trPr>
        <w:tc>
          <w:tcPr>
            <w:tcW w:w="20" w:type="dxa"/>
            <w:vAlign w:val="bottom"/>
          </w:tcPr>
          <w:p>
            <w:pPr>
              <w:spacing w:after="0"/>
              <w:rPr>
                <w:sz w:val="20"/>
                <w:szCs w:val="20"/>
                <w:color w:val="auto"/>
              </w:rPr>
            </w:pPr>
          </w:p>
        </w:tc>
        <w:tc>
          <w:tcPr>
            <w:tcW w:w="4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96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gridSpan w:val="2"/>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United States</w:t>
            </w:r>
          </w:p>
        </w:tc>
        <w:tc>
          <w:tcPr>
            <w:tcW w:w="2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Pr>
          <w:p>
            <w:pPr>
              <w:ind w:left="200"/>
              <w:spacing w:after="0"/>
              <w:rPr>
                <w:sz w:val="20"/>
                <w:szCs w:val="20"/>
                <w:color w:val="auto"/>
              </w:rPr>
            </w:pPr>
            <w:r>
              <w:rPr>
                <w:rFonts w:ascii="Arial" w:cs="Arial" w:eastAsia="Arial" w:hAnsi="Arial"/>
                <w:sz w:val="18"/>
                <w:szCs w:val="18"/>
                <w:color w:val="auto"/>
              </w:rPr>
              <w:t>Israel</w:t>
            </w:r>
          </w:p>
        </w:tc>
        <w:tc>
          <w:tcPr>
            <w:tcW w:w="2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2,181</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2,742</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2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Hong Kong</w:t>
            </w:r>
          </w:p>
        </w:tc>
        <w:tc>
          <w:tcPr>
            <w:tcW w:w="2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2,236</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2,653</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2,442</w:t>
            </w:r>
          </w:p>
        </w:tc>
        <w:tc>
          <w:tcPr>
            <w:tcW w:w="280" w:type="dxa"/>
            <w:vAlign w:val="bottom"/>
          </w:tcPr>
          <w:p>
            <w:pPr>
              <w:spacing w:after="0"/>
              <w:rPr>
                <w:sz w:val="19"/>
                <w:szCs w:val="19"/>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3,256</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240" w:type="dxa"/>
            <w:vAlign w:val="bottom"/>
          </w:tcPr>
          <w:p>
            <w:pPr>
              <w:ind w:left="1020"/>
              <w:spacing w:after="0"/>
              <w:rPr>
                <w:sz w:val="20"/>
                <w:szCs w:val="20"/>
                <w:color w:val="auto"/>
              </w:rPr>
            </w:pPr>
            <w:r>
              <w:rPr>
                <w:rFonts w:ascii="Arial" w:cs="Arial" w:eastAsia="Arial" w:hAnsi="Arial"/>
                <w:sz w:val="18"/>
                <w:szCs w:val="18"/>
                <w:color w:val="auto"/>
              </w:rPr>
              <w:t>b.</w:t>
            </w:r>
          </w:p>
        </w:tc>
        <w:tc>
          <w:tcPr>
            <w:tcW w:w="4260" w:type="dxa"/>
            <w:vAlign w:val="bottom"/>
            <w:gridSpan w:val="5"/>
          </w:tcPr>
          <w:p>
            <w:pPr>
              <w:jc w:val="right"/>
              <w:ind w:right="40"/>
              <w:spacing w:after="0"/>
              <w:rPr>
                <w:sz w:val="20"/>
                <w:szCs w:val="20"/>
                <w:color w:val="auto"/>
              </w:rPr>
            </w:pPr>
            <w:r>
              <w:rPr>
                <w:rFonts w:ascii="Arial" w:cs="Arial" w:eastAsia="Arial" w:hAnsi="Arial"/>
                <w:sz w:val="18"/>
                <w:szCs w:val="18"/>
                <w:color w:val="auto"/>
                <w:w w:val="91"/>
              </w:rPr>
              <w:t>Major Distributors data as a percentage of total revenues: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2" w:lineRule="exact"/>
        <w:rPr>
          <w:sz w:val="20"/>
          <w:szCs w:val="20"/>
          <w:color w:val="auto"/>
        </w:rPr>
      </w:pPr>
    </w:p>
    <w:p>
      <w:pPr>
        <w:ind w:left="1520" w:right="319"/>
        <w:spacing w:after="0" w:line="277" w:lineRule="auto"/>
        <w:rPr>
          <w:sz w:val="20"/>
          <w:szCs w:val="20"/>
          <w:color w:val="auto"/>
        </w:rPr>
      </w:pPr>
      <w:r>
        <w:rPr>
          <w:rFonts w:ascii="Arial" w:cs="Arial" w:eastAsia="Arial" w:hAnsi="Arial"/>
          <w:sz w:val="18"/>
          <w:szCs w:val="18"/>
          <w:color w:val="auto"/>
        </w:rPr>
        <w:t>The following table sets forth the Distributors that represented 10% or more of the Company’s total revenues in each of the periods set forth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0"/>
              </w:rPr>
              <w:t>Year ended</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900" w:type="dxa"/>
            <w:vAlign w:val="bottom"/>
            <w:tcBorders>
              <w:bottom w:val="single" w:sz="8" w:color="auto"/>
            </w:tcBorders>
            <w:gridSpan w:val="4"/>
          </w:tcPr>
          <w:p>
            <w:pPr>
              <w:jc w:val="center"/>
              <w:ind w:left="163"/>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12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tcPr>
          <w:p>
            <w:pPr>
              <w:jc w:val="right"/>
              <w:ind w:right="776"/>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jc w:val="right"/>
              <w:ind w:right="213"/>
              <w:spacing w:after="0"/>
              <w:rPr>
                <w:sz w:val="20"/>
                <w:szCs w:val="20"/>
                <w:color w:val="auto"/>
              </w:rPr>
            </w:pPr>
            <w:r>
              <w:rPr>
                <w:rFonts w:ascii="Arial" w:cs="Arial" w:eastAsia="Arial" w:hAnsi="Arial"/>
                <w:sz w:val="16"/>
                <w:szCs w:val="16"/>
                <w:b w:val="1"/>
                <w:bCs w:val="1"/>
                <w:color w:val="auto"/>
                <w:w w:val="95"/>
              </w:rPr>
              <w:t>2014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Borders>
              <w:top w:val="single" w:sz="8" w:color="auto"/>
              <w:bottom w:val="single" w:sz="8" w:color="auto"/>
            </w:tcBorders>
          </w:tcPr>
          <w:p>
            <w:pPr>
              <w:jc w:val="center"/>
              <w:ind w:left="576"/>
              <w:spacing w:after="0"/>
              <w:rPr>
                <w:sz w:val="20"/>
                <w:szCs w:val="20"/>
                <w:color w:val="auto"/>
              </w:rPr>
            </w:pPr>
            <w:r>
              <w:rPr>
                <w:rFonts w:ascii="Arial" w:cs="Arial" w:eastAsia="Arial" w:hAnsi="Arial"/>
                <w:sz w:val="16"/>
                <w:szCs w:val="16"/>
                <w:b w:val="1"/>
                <w:bCs w:val="1"/>
                <w:color w:val="auto"/>
                <w:w w:val="94"/>
              </w:rPr>
              <w:t>Unaudited</w:t>
            </w:r>
          </w:p>
        </w:tc>
        <w:tc>
          <w:tcPr>
            <w:tcW w:w="66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vMerge w:val="restart"/>
          </w:tcPr>
          <w:p>
            <w:pPr>
              <w:spacing w:after="0"/>
              <w:rPr>
                <w:sz w:val="20"/>
                <w:szCs w:val="20"/>
                <w:color w:val="auto"/>
              </w:rPr>
            </w:pPr>
          </w:p>
        </w:tc>
        <w:tc>
          <w:tcPr>
            <w:tcW w:w="40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480" w:type="dxa"/>
            <w:vAlign w:val="bottom"/>
          </w:tcPr>
          <w:p>
            <w:pPr>
              <w:jc w:val="right"/>
              <w:ind w:right="336"/>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0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F-30</w:t>
            </w:r>
          </w:p>
        </w:tc>
        <w:tc>
          <w:tcPr>
            <w:tcW w:w="2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49" w:name="page150"/>
    <w:bookmarkEnd w:id="149"/>
    <w:p>
      <w:pPr>
        <w:ind w:left="48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dollars in thousands, except share amounts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-130810</wp:posOffset>
            </wp:positionV>
            <wp:extent cx="557403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SELECTED STATEMENTS OF INCOME DATA</w:t>
      </w:r>
    </w:p>
    <w:p>
      <w:pPr>
        <w:spacing w:after="0" w:line="229" w:lineRule="exact"/>
        <w:rPr>
          <w:sz w:val="20"/>
          <w:szCs w:val="20"/>
          <w:color w:val="auto"/>
        </w:rPr>
      </w:pPr>
    </w:p>
    <w:p>
      <w:pPr>
        <w:ind w:left="1160"/>
        <w:spacing w:after="0"/>
        <w:tabs>
          <w:tab w:leader="none" w:pos="14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Financial income, net: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Year ended</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8"/>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2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6"/>
                <w:szCs w:val="16"/>
                <w:b w:val="1"/>
                <w:bCs w:val="1"/>
                <w:color w:val="auto"/>
              </w:rPr>
              <w:t>2012</w:t>
            </w:r>
          </w:p>
        </w:tc>
        <w:tc>
          <w:tcPr>
            <w:tcW w:w="1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5"/>
              </w:rPr>
              <w:t>2013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bottom w:val="single" w:sz="8" w:color="CCEEFF"/>
            </w:tcBorders>
          </w:tcPr>
          <w:p>
            <w:pPr>
              <w:spacing w:after="0"/>
              <w:rPr>
                <w:sz w:val="20"/>
                <w:szCs w:val="20"/>
                <w:color w:val="auto"/>
              </w:rPr>
            </w:pPr>
          </w:p>
        </w:tc>
        <w:tc>
          <w:tcPr>
            <w:tcW w:w="5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7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394"/>
              <w:spacing w:after="0"/>
              <w:rPr>
                <w:sz w:val="20"/>
                <w:szCs w:val="20"/>
                <w:color w:val="auto"/>
              </w:rPr>
            </w:pPr>
            <w:r>
              <w:rPr>
                <w:rFonts w:ascii="Arial" w:cs="Arial" w:eastAsia="Arial" w:hAnsi="Arial"/>
                <w:sz w:val="16"/>
                <w:szCs w:val="16"/>
                <w:b w:val="1"/>
                <w:bCs w:val="1"/>
                <w:color w:val="auto"/>
                <w:w w:val="91"/>
              </w:rPr>
              <w:t>Unaudited</w:t>
            </w: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on bank deposits and other</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Borders>
              <w:bottom w:val="single" w:sz="8" w:color="CCEEFF"/>
            </w:tcBorders>
          </w:tcPr>
          <w:p>
            <w:pPr>
              <w:spacing w:after="0"/>
              <w:rPr>
                <w:sz w:val="21"/>
                <w:szCs w:val="21"/>
                <w:color w:val="auto"/>
              </w:rPr>
            </w:pPr>
          </w:p>
        </w:tc>
        <w:tc>
          <w:tcPr>
            <w:tcW w:w="5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2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charges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Foreign currency translation differences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4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Financial expenses:</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460</w:t>
            </w:r>
          </w:p>
        </w:tc>
        <w:tc>
          <w:tcPr>
            <w:tcW w:w="16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BALANCES AND TRANSACTIONS WITH RELATED PARTIES</w:t>
      </w:r>
    </w:p>
    <w:p>
      <w:pPr>
        <w:spacing w:after="0" w:line="229" w:lineRule="exact"/>
        <w:rPr>
          <w:sz w:val="20"/>
          <w:szCs w:val="20"/>
          <w:color w:val="auto"/>
        </w:rPr>
      </w:pPr>
    </w:p>
    <w:p>
      <w:pPr>
        <w:ind w:left="1160" w:right="139"/>
        <w:spacing w:after="0" w:line="279" w:lineRule="auto"/>
        <w:rPr>
          <w:sz w:val="20"/>
          <w:szCs w:val="20"/>
          <w:color w:val="auto"/>
        </w:rPr>
      </w:pPr>
      <w:r>
        <w:rPr>
          <w:rFonts w:ascii="Arial" w:cs="Arial" w:eastAsia="Arial" w:hAnsi="Arial"/>
          <w:sz w:val="17"/>
          <w:szCs w:val="17"/>
          <w:color w:val="auto"/>
        </w:rPr>
        <w:t>Our policy is to enter into transactions with related parties on terms that, on the whole, are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w:t>
      </w:r>
    </w:p>
    <w:p>
      <w:pPr>
        <w:spacing w:after="0" w:line="171"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Fortissimo</w:t>
      </w:r>
    </w:p>
    <w:p>
      <w:pPr>
        <w:spacing w:after="0" w:line="225" w:lineRule="exact"/>
        <w:rPr>
          <w:sz w:val="20"/>
          <w:szCs w:val="20"/>
          <w:color w:val="auto"/>
        </w:rPr>
      </w:pPr>
    </w:p>
    <w:p>
      <w:pPr>
        <w:ind w:left="1140" w:right="199"/>
        <w:spacing w:after="0" w:line="316" w:lineRule="auto"/>
        <w:rPr>
          <w:sz w:val="20"/>
          <w:szCs w:val="20"/>
          <w:color w:val="auto"/>
        </w:rPr>
      </w:pPr>
      <w:r>
        <w:rPr>
          <w:rFonts w:ascii="Arial" w:cs="Arial" w:eastAsia="Arial" w:hAnsi="Arial"/>
          <w:sz w:val="15"/>
          <w:szCs w:val="15"/>
          <w:color w:val="auto"/>
        </w:rPr>
        <w:t>Fortissimo is the controlling shareholder of the Company. Pursuant to a management fee agreement between the Company and Fortissimo, the Company is required to pay Fortissimo an annual fee of $120 plus an amount equal to 5% of the Company’s net income, as defined in the management services agreement, up to a maximum of $250 per year. During the years ended December 31, 2012 and 2013 and the nine months ended September 30, 2013 (unaudited) and 2014 (unaudited) the Company recorded an expense of $175, $120, $90 (unaudited) and $139 (unaudited) respectively, in respect of payments to Fortissimo.</w:t>
      </w:r>
    </w:p>
    <w:p>
      <w:pPr>
        <w:spacing w:after="0" w:line="150" w:lineRule="exact"/>
        <w:rPr>
          <w:sz w:val="20"/>
          <w:szCs w:val="20"/>
          <w:color w:val="auto"/>
        </w:rPr>
      </w:pPr>
    </w:p>
    <w:p>
      <w:pPr>
        <w:ind w:left="1140" w:right="159"/>
        <w:spacing w:after="0" w:line="264" w:lineRule="auto"/>
        <w:rPr>
          <w:sz w:val="20"/>
          <w:szCs w:val="20"/>
          <w:color w:val="auto"/>
        </w:rPr>
      </w:pPr>
      <w:r>
        <w:rPr>
          <w:rFonts w:ascii="Arial" w:cs="Arial" w:eastAsia="Arial" w:hAnsi="Arial"/>
          <w:sz w:val="18"/>
          <w:szCs w:val="18"/>
          <w:color w:val="auto"/>
        </w:rPr>
        <w:t>The agreement may be terminated when our board of directors includes less than two directors appointed by Fortissimo, and the agreement terminates automatically in the event that Fortissimo holds less than 15% of our issued share capital.</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SUBSEQUENT EVENT</w:t>
      </w:r>
    </w:p>
    <w:p>
      <w:pPr>
        <w:spacing w:after="0" w:line="229" w:lineRule="exact"/>
        <w:rPr>
          <w:sz w:val="20"/>
          <w:szCs w:val="20"/>
          <w:color w:val="auto"/>
        </w:rPr>
      </w:pPr>
    </w:p>
    <w:p>
      <w:pPr>
        <w:ind w:left="1140" w:right="139"/>
        <w:spacing w:after="0" w:line="286" w:lineRule="auto"/>
        <w:rPr>
          <w:sz w:val="20"/>
          <w:szCs w:val="20"/>
          <w:color w:val="auto"/>
        </w:rPr>
      </w:pPr>
      <w:r>
        <w:rPr>
          <w:rFonts w:ascii="Arial" w:cs="Arial" w:eastAsia="Arial" w:hAnsi="Arial"/>
          <w:sz w:val="17"/>
          <w:szCs w:val="17"/>
          <w:color w:val="auto"/>
        </w:rPr>
        <w:t>In November 2014, the Company entered into an additional credit line agreement with an Israeli bank for an amount of $2.0 million. The credit line will bear interest at a rate of 2.2%, and the Company is obligated to maintain financial covenants as defined in the agreement governing the credit line.</w:t>
      </w:r>
    </w:p>
    <w:p>
      <w:pPr>
        <w:spacing w:after="0" w:line="16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 - - - - - - - - - - -</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ind w:left="120" w:right="159" w:firstLine="216"/>
        <w:spacing w:after="0" w:line="21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998220</wp:posOffset>
            </wp:positionH>
            <wp:positionV relativeFrom="page">
              <wp:posOffset>88900</wp:posOffset>
            </wp:positionV>
            <wp:extent cx="5574030"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574030" cy="25400"/>
                    </a:xfrm>
                    <a:prstGeom prst="rect">
                      <a:avLst/>
                    </a:prstGeom>
                    <a:noFill/>
                  </pic:spPr>
                </pic:pic>
              </a:graphicData>
            </a:graphic>
          </wp:anchor>
        </w:drawing>
        <w:t>Through and including , 2015 (the 25</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day after the date of this prospectus), all dealers effecting transactions in the ordinary shares,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5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1978660</wp:posOffset>
            </wp:positionH>
            <wp:positionV relativeFrom="paragraph">
              <wp:posOffset>543560</wp:posOffset>
            </wp:positionV>
            <wp:extent cx="2332355" cy="15005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3235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Kornit Digital Ltd.</w:t>
      </w:r>
    </w:p>
    <w:p>
      <w:pPr>
        <w:spacing w:after="0" w:line="200" w:lineRule="exact"/>
        <w:rPr>
          <w:sz w:val="20"/>
          <w:szCs w:val="20"/>
          <w:color w:val="auto"/>
        </w:rPr>
      </w:pPr>
    </w:p>
    <w:p>
      <w:pPr>
        <w:spacing w:after="0" w:line="353" w:lineRule="exact"/>
        <w:rPr>
          <w:sz w:val="20"/>
          <w:szCs w:val="20"/>
          <w:color w:val="auto"/>
        </w:rPr>
      </w:pPr>
    </w:p>
    <w:p>
      <w:pPr>
        <w:jc w:val="center"/>
        <w:ind w:right="-220"/>
        <w:spacing w:after="0"/>
        <w:rPr>
          <w:sz w:val="20"/>
          <w:szCs w:val="20"/>
          <w:color w:val="auto"/>
        </w:rPr>
      </w:pPr>
      <w:r>
        <w:rPr>
          <w:rFonts w:ascii="Arial" w:cs="Arial" w:eastAsia="Arial" w:hAnsi="Arial"/>
          <w:sz w:val="25"/>
          <w:szCs w:val="25"/>
          <w:b w:val="1"/>
          <w:bCs w:val="1"/>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300355</wp:posOffset>
            </wp:positionV>
            <wp:extent cx="557403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74030" cy="26035"/>
                    </a:xfrm>
                    <a:prstGeom prst="rect">
                      <a:avLst/>
                    </a:prstGeom>
                    <a:noFill/>
                  </pic:spPr>
                </pic:pic>
              </a:graphicData>
            </a:graphic>
          </wp:anchor>
        </w:drawing>
        <w:drawing>
          <wp:anchor simplePos="0" relativeHeight="251657728" behindDoc="1" locked="0" layoutInCell="0" allowOverlap="1">
            <wp:simplePos x="0" y="0"/>
            <wp:positionH relativeFrom="column">
              <wp:posOffset>83820</wp:posOffset>
            </wp:positionH>
            <wp:positionV relativeFrom="paragraph">
              <wp:posOffset>497840</wp:posOffset>
            </wp:positionV>
            <wp:extent cx="55740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436" w:right="1440" w:bottom="1440" w:gutter="0" w:footer="0" w:header="0"/>
        </w:sectPr>
      </w:pPr>
    </w:p>
    <w:bookmarkStart w:id="151" w:name="page152"/>
    <w:bookmarkEnd w:id="151"/>
    <w:p>
      <w:pPr>
        <w:ind w:left="4180"/>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Indemnification of Directors, Officers and Employees.</w:t>
      </w:r>
    </w:p>
    <w:p>
      <w:pPr>
        <w:spacing w:after="0" w:line="211" w:lineRule="exact"/>
        <w:rPr>
          <w:sz w:val="20"/>
          <w:szCs w:val="20"/>
          <w:color w:val="auto"/>
        </w:rPr>
      </w:pPr>
    </w:p>
    <w:p>
      <w:pPr>
        <w:ind w:left="120" w:right="159" w:firstLine="216"/>
        <w:spacing w:after="0" w:line="273" w:lineRule="auto"/>
        <w:rPr>
          <w:sz w:val="20"/>
          <w:szCs w:val="20"/>
          <w:color w:val="auto"/>
        </w:rPr>
      </w:pPr>
      <w:r>
        <w:rPr>
          <w:rFonts w:ascii="Arial" w:cs="Arial" w:eastAsia="Arial" w:hAnsi="Arial"/>
          <w:sz w:val="17"/>
          <w:szCs w:val="17"/>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to be effective upon the closing of this offering include such a provision. A company may not exculpate in advance a director from liability arising out of a prohibited dividend or distribution to shareholders.</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Under the Israeli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200" w:lineRule="exact"/>
        <w:rPr>
          <w:sz w:val="20"/>
          <w:szCs w:val="20"/>
          <w:color w:val="auto"/>
        </w:rPr>
      </w:pPr>
    </w:p>
    <w:p>
      <w:pPr>
        <w:ind w:left="560" w:right="179" w:hanging="219"/>
        <w:spacing w:after="0" w:line="283" w:lineRule="auto"/>
        <w:tabs>
          <w:tab w:leader="none" w:pos="572" w:val="left"/>
        </w:tabs>
        <w:numPr>
          <w:ilvl w:val="0"/>
          <w:numId w:val="95"/>
        </w:numPr>
        <w:rPr>
          <w:rFonts w:ascii="Arial" w:cs="Arial" w:eastAsia="Arial" w:hAnsi="Arial"/>
          <w:sz w:val="19"/>
          <w:szCs w:val="19"/>
          <w:color w:val="auto"/>
        </w:rPr>
      </w:pPr>
      <w:r>
        <w:rPr>
          <w:rFonts w:ascii="Arial" w:cs="Arial" w:eastAsia="Arial" w:hAnsi="Arial"/>
          <w:sz w:val="16"/>
          <w:szCs w:val="16"/>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83" w:lineRule="exact"/>
        <w:rPr>
          <w:rFonts w:ascii="Arial" w:cs="Arial" w:eastAsia="Arial" w:hAnsi="Arial"/>
          <w:sz w:val="19"/>
          <w:szCs w:val="19"/>
          <w:color w:val="auto"/>
        </w:rPr>
      </w:pPr>
    </w:p>
    <w:p>
      <w:pPr>
        <w:ind w:left="560" w:right="139" w:hanging="219"/>
        <w:spacing w:after="0" w:line="245" w:lineRule="auto"/>
        <w:tabs>
          <w:tab w:leader="none" w:pos="572" w:val="left"/>
        </w:tabs>
        <w:numPr>
          <w:ilvl w:val="0"/>
          <w:numId w:val="95"/>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216" w:lineRule="exact"/>
        <w:rPr>
          <w:rFonts w:ascii="Arial" w:cs="Arial" w:eastAsia="Arial" w:hAnsi="Arial"/>
          <w:sz w:val="22"/>
          <w:szCs w:val="22"/>
          <w:color w:val="auto"/>
        </w:rPr>
      </w:pPr>
    </w:p>
    <w:p>
      <w:pPr>
        <w:jc w:val="both"/>
        <w:ind w:left="560" w:right="119" w:hanging="219"/>
        <w:spacing w:after="0" w:line="241" w:lineRule="auto"/>
        <w:tabs>
          <w:tab w:leader="none" w:pos="656" w:val="left"/>
        </w:tabs>
        <w:numPr>
          <w:ilvl w:val="0"/>
          <w:numId w:val="95"/>
        </w:numPr>
        <w:rPr>
          <w:rFonts w:ascii="Arial" w:cs="Arial" w:eastAsia="Arial" w:hAnsi="Arial"/>
          <w:sz w:val="22"/>
          <w:szCs w:val="22"/>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203" w:lineRule="exact"/>
        <w:rPr>
          <w:sz w:val="20"/>
          <w:szCs w:val="20"/>
          <w:color w:val="auto"/>
        </w:rPr>
      </w:pPr>
    </w:p>
    <w:p>
      <w:pPr>
        <w:ind w:left="120" w:right="179" w:firstLine="216"/>
        <w:spacing w:after="0" w:line="342"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37" w:lineRule="exact"/>
        <w:rPr>
          <w:sz w:val="20"/>
          <w:szCs w:val="20"/>
          <w:color w:val="auto"/>
        </w:rPr>
      </w:pPr>
    </w:p>
    <w:p>
      <w:pPr>
        <w:ind w:left="560" w:right="739" w:hanging="219"/>
        <w:spacing w:after="0" w:line="232" w:lineRule="auto"/>
        <w:tabs>
          <w:tab w:leader="none" w:pos="572" w:val="left"/>
        </w:tabs>
        <w:numPr>
          <w:ilvl w:val="0"/>
          <w:numId w:val="96"/>
        </w:numPr>
        <w:rPr>
          <w:rFonts w:ascii="Arial" w:cs="Arial" w:eastAsia="Arial" w:hAnsi="Arial"/>
          <w:sz w:val="22"/>
          <w:szCs w:val="22"/>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217" w:lineRule="exact"/>
        <w:rPr>
          <w:rFonts w:ascii="Arial" w:cs="Arial" w:eastAsia="Arial" w:hAnsi="Arial"/>
          <w:sz w:val="22"/>
          <w:szCs w:val="22"/>
          <w:color w:val="auto"/>
        </w:rPr>
      </w:pPr>
    </w:p>
    <w:p>
      <w:pPr>
        <w:ind w:left="560" w:right="399" w:hanging="219"/>
        <w:spacing w:after="0" w:line="232" w:lineRule="auto"/>
        <w:tabs>
          <w:tab w:leader="none" w:pos="572" w:val="left"/>
        </w:tabs>
        <w:numPr>
          <w:ilvl w:val="0"/>
          <w:numId w:val="96"/>
        </w:numPr>
        <w:rPr>
          <w:rFonts w:ascii="Arial" w:cs="Arial" w:eastAsia="Arial" w:hAnsi="Arial"/>
          <w:sz w:val="22"/>
          <w:szCs w:val="22"/>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94" w:lineRule="exact"/>
        <w:rPr>
          <w:rFonts w:ascii="Arial" w:cs="Arial" w:eastAsia="Arial" w:hAnsi="Arial"/>
          <w:sz w:val="22"/>
          <w:szCs w:val="22"/>
          <w:color w:val="auto"/>
        </w:rPr>
      </w:pPr>
    </w:p>
    <w:p>
      <w:pPr>
        <w:ind w:left="560" w:hanging="219"/>
        <w:spacing w:after="0"/>
        <w:tabs>
          <w:tab w:leader="none" w:pos="560" w:val="left"/>
        </w:tabs>
        <w:numPr>
          <w:ilvl w:val="0"/>
          <w:numId w:val="96"/>
        </w:numPr>
        <w:rPr>
          <w:rFonts w:ascii="Arial" w:cs="Arial" w:eastAsia="Arial" w:hAnsi="Arial"/>
          <w:sz w:val="22"/>
          <w:szCs w:val="22"/>
          <w:color w:val="auto"/>
        </w:rPr>
      </w:pPr>
      <w:r>
        <w:rPr>
          <w:rFonts w:ascii="Arial" w:cs="Arial" w:eastAsia="Arial" w:hAnsi="Arial"/>
          <w:sz w:val="18"/>
          <w:szCs w:val="18"/>
          <w:color w:val="auto"/>
        </w:rPr>
        <w:t>a financial liability imposed on the office holder in favor of a third party.</w:t>
      </w:r>
    </w:p>
    <w:p>
      <w:pPr>
        <w:spacing w:after="0" w:line="202" w:lineRule="exact"/>
        <w:rPr>
          <w:sz w:val="20"/>
          <w:szCs w:val="20"/>
          <w:color w:val="auto"/>
        </w:rPr>
      </w:pPr>
    </w:p>
    <w:p>
      <w:pPr>
        <w:ind w:left="120" w:right="279" w:firstLine="216"/>
        <w:spacing w:after="0" w:line="277" w:lineRule="auto"/>
        <w:rPr>
          <w:sz w:val="20"/>
          <w:szCs w:val="20"/>
          <w:color w:val="auto"/>
        </w:rPr>
      </w:pPr>
      <w:r>
        <w:rPr>
          <w:rFonts w:ascii="Arial" w:cs="Arial" w:eastAsia="Arial" w:hAnsi="Arial"/>
          <w:sz w:val="18"/>
          <w:szCs w:val="18"/>
          <w:color w:val="auto"/>
        </w:rPr>
        <w:t>Under the Israeli Companies Law, a company may not indemnify, exculpate or insure an office holder against any of the following:</w:t>
      </w:r>
    </w:p>
    <w:p>
      <w:pPr>
        <w:spacing w:after="0" w:line="184" w:lineRule="exact"/>
        <w:rPr>
          <w:sz w:val="20"/>
          <w:szCs w:val="20"/>
          <w:color w:val="auto"/>
        </w:rPr>
      </w:pPr>
    </w:p>
    <w:p>
      <w:pPr>
        <w:jc w:val="both"/>
        <w:ind w:left="560" w:right="339" w:hanging="219"/>
        <w:spacing w:after="0" w:line="238" w:lineRule="auto"/>
        <w:tabs>
          <w:tab w:leader="none" w:pos="572" w:val="left"/>
        </w:tabs>
        <w:numPr>
          <w:ilvl w:val="0"/>
          <w:numId w:val="97"/>
        </w:numPr>
        <w:rPr>
          <w:rFonts w:ascii="Arial" w:cs="Arial" w:eastAsia="Arial" w:hAnsi="Arial"/>
          <w:sz w:val="22"/>
          <w:szCs w:val="22"/>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216" w:lineRule="exact"/>
        <w:rPr>
          <w:rFonts w:ascii="Arial" w:cs="Arial" w:eastAsia="Arial" w:hAnsi="Arial"/>
          <w:sz w:val="22"/>
          <w:szCs w:val="22"/>
          <w:color w:val="auto"/>
        </w:rPr>
      </w:pPr>
    </w:p>
    <w:p>
      <w:pPr>
        <w:ind w:left="560" w:right="599" w:hanging="219"/>
        <w:spacing w:after="0" w:line="232" w:lineRule="auto"/>
        <w:tabs>
          <w:tab w:leader="none" w:pos="572" w:val="left"/>
        </w:tabs>
        <w:numPr>
          <w:ilvl w:val="0"/>
          <w:numId w:val="97"/>
        </w:numPr>
        <w:rPr>
          <w:rFonts w:ascii="Arial" w:cs="Arial" w:eastAsia="Arial" w:hAnsi="Arial"/>
          <w:sz w:val="22"/>
          <w:szCs w:val="22"/>
          <w:color w:val="auto"/>
        </w:rPr>
      </w:pPr>
      <w:r>
        <w:rPr>
          <w:rFonts w:ascii="Arial" w:cs="Arial" w:eastAsia="Arial" w:hAnsi="Arial"/>
          <w:sz w:val="18"/>
          <w:szCs w:val="18"/>
          <w:color w:val="auto"/>
        </w:rPr>
        <w:t>a breach of duty of care committed intentionally or recklessly, excluding a breach arising out of the negligent conduct of the office holder;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p>
      <w:pPr>
        <w:ind w:left="560" w:hanging="219"/>
        <w:spacing w:after="0"/>
        <w:tabs>
          <w:tab w:leader="none" w:pos="5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an act or omission committed with intent to derive illegal personal benefit; or</w:t>
      </w:r>
    </w:p>
    <w:p>
      <w:pPr>
        <w:spacing w:after="0" w:line="192" w:lineRule="exact"/>
        <w:rPr>
          <w:rFonts w:ascii="Arial" w:cs="Arial" w:eastAsia="Arial" w:hAnsi="Arial"/>
          <w:sz w:val="22"/>
          <w:szCs w:val="22"/>
          <w:color w:val="auto"/>
        </w:rPr>
      </w:pPr>
    </w:p>
    <w:p>
      <w:pPr>
        <w:ind w:left="560" w:hanging="219"/>
        <w:spacing w:after="0"/>
        <w:tabs>
          <w:tab w:leader="none" w:pos="560" w:val="left"/>
        </w:tabs>
        <w:numPr>
          <w:ilvl w:val="0"/>
          <w:numId w:val="98"/>
        </w:numPr>
        <w:rPr>
          <w:rFonts w:ascii="Arial" w:cs="Arial" w:eastAsia="Arial" w:hAnsi="Arial"/>
          <w:sz w:val="22"/>
          <w:szCs w:val="22"/>
          <w:color w:val="auto"/>
        </w:rPr>
      </w:pPr>
      <w:r>
        <w:rPr>
          <w:rFonts w:ascii="Arial" w:cs="Arial" w:eastAsia="Arial" w:hAnsi="Arial"/>
          <w:sz w:val="18"/>
          <w:szCs w:val="18"/>
          <w:color w:val="auto"/>
        </w:rPr>
        <w:t>a fine or forfeit levied against the office holder.</w:t>
      </w:r>
    </w:p>
    <w:p>
      <w:pPr>
        <w:spacing w:after="0" w:line="202" w:lineRule="exact"/>
        <w:rPr>
          <w:sz w:val="20"/>
          <w:szCs w:val="20"/>
          <w:color w:val="auto"/>
        </w:rPr>
      </w:pPr>
    </w:p>
    <w:p>
      <w:pPr>
        <w:ind w:left="120" w:right="159" w:firstLine="216"/>
        <w:spacing w:after="0" w:line="259" w:lineRule="auto"/>
        <w:rPr>
          <w:sz w:val="20"/>
          <w:szCs w:val="20"/>
          <w:color w:val="auto"/>
        </w:rPr>
      </w:pPr>
      <w:r>
        <w:rPr>
          <w:rFonts w:ascii="Arial" w:cs="Arial" w:eastAsia="Arial" w:hAnsi="Arial"/>
          <w:sz w:val="18"/>
          <w:szCs w:val="18"/>
          <w:color w:val="auto"/>
        </w:rPr>
        <w:t>Under the Israeli Companies Law, exculpation, indemnification and insurance of office holders in a public company must be approved by the compensation committee and the board of directors and, with respect to certain office holders or under certain circumstances, also by the shareholders. See “Management —Approval of Related Party Transactions under Israeli Law.”</w:t>
      </w:r>
    </w:p>
    <w:p>
      <w:pPr>
        <w:spacing w:after="0" w:line="187" w:lineRule="exact"/>
        <w:rPr>
          <w:sz w:val="20"/>
          <w:szCs w:val="20"/>
          <w:color w:val="auto"/>
        </w:rPr>
      </w:pPr>
    </w:p>
    <w:p>
      <w:pPr>
        <w:ind w:left="120" w:right="499" w:firstLine="216"/>
        <w:spacing w:after="0" w:line="264" w:lineRule="auto"/>
        <w:rPr>
          <w:sz w:val="20"/>
          <w:szCs w:val="20"/>
          <w:color w:val="auto"/>
        </w:rPr>
      </w:pPr>
      <w:r>
        <w:rPr>
          <w:rFonts w:ascii="Arial" w:cs="Arial" w:eastAsia="Arial" w:hAnsi="Arial"/>
          <w:sz w:val="18"/>
          <w:szCs w:val="18"/>
          <w:color w:val="auto"/>
        </w:rPr>
        <w:t>Our amended and restated articles of association to be effective upon completion of this offering will permit us to exculpate, indemnify and insure our office holders to the fullest extent permitted or to be permitted by the Israeli Companies Law.</w:t>
      </w:r>
    </w:p>
    <w:p>
      <w:pPr>
        <w:spacing w:after="0" w:line="181" w:lineRule="exact"/>
        <w:rPr>
          <w:sz w:val="20"/>
          <w:szCs w:val="20"/>
          <w:color w:val="auto"/>
        </w:rPr>
      </w:pPr>
    </w:p>
    <w:p>
      <w:pPr>
        <w:ind w:left="120" w:right="139" w:firstLine="216"/>
        <w:spacing w:after="0" w:line="272" w:lineRule="auto"/>
        <w:rPr>
          <w:sz w:val="20"/>
          <w:szCs w:val="20"/>
          <w:color w:val="auto"/>
        </w:rPr>
      </w:pPr>
      <w:r>
        <w:rPr>
          <w:rFonts w:ascii="Arial" w:cs="Arial" w:eastAsia="Arial" w:hAnsi="Arial"/>
          <w:sz w:val="17"/>
          <w:szCs w:val="17"/>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directors and executive officers exculpating them from liability to us for damages caused to us as a result of a breach of duty of care and undertaking to indemnify them, in each case, to the fullest extent permitted by our amended and restated articles of association to be effective upon completion of this offering and the Israeli Companies Law, including with respect to liabilities resulting from this offering to the extent that these liabilities are not covered by insurance.</w:t>
      </w:r>
    </w:p>
    <w:p>
      <w:pPr>
        <w:spacing w:after="0" w:line="178" w:lineRule="exact"/>
        <w:rPr>
          <w:sz w:val="20"/>
          <w:szCs w:val="20"/>
          <w:color w:val="auto"/>
        </w:rPr>
      </w:pPr>
    </w:p>
    <w:p>
      <w:pPr>
        <w:ind w:left="120" w:right="399" w:firstLine="216"/>
        <w:spacing w:after="0" w:line="259" w:lineRule="auto"/>
        <w:rPr>
          <w:sz w:val="20"/>
          <w:szCs w:val="20"/>
          <w:color w:val="auto"/>
        </w:rPr>
      </w:pPr>
      <w:r>
        <w:rPr>
          <w:rFonts w:ascii="Arial" w:cs="Arial" w:eastAsia="Arial" w:hAnsi="Arial"/>
          <w:sz w:val="18"/>
          <w:szCs w:val="18"/>
          <w:color w:val="auto"/>
        </w:rPr>
        <w:t>Insofar as the indemnification for liabilities arising under the Securities Act of 1933, as amended, or the Securities Act, may be permitted to directors, officers or persons controlling the registrant, we have been informed that in the opinion of the Securities and Exchange Commission, such indemnification is against public policy as expressed in the Securities Act and is therefore unenforceable.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229" w:lineRule="exact"/>
        <w:rPr>
          <w:sz w:val="20"/>
          <w:szCs w:val="20"/>
          <w:color w:val="auto"/>
        </w:rPr>
      </w:pPr>
    </w:p>
    <w:p>
      <w:pPr>
        <w:ind w:left="120" w:right="379" w:firstLine="216"/>
        <w:spacing w:after="0" w:line="342" w:lineRule="auto"/>
        <w:rPr>
          <w:sz w:val="20"/>
          <w:szCs w:val="20"/>
          <w:color w:val="auto"/>
        </w:rPr>
      </w:pPr>
      <w:r>
        <w:rPr>
          <w:rFonts w:ascii="Arial" w:cs="Arial" w:eastAsia="Arial" w:hAnsi="Arial"/>
          <w:sz w:val="16"/>
          <w:szCs w:val="16"/>
          <w:color w:val="auto"/>
        </w:rPr>
        <w:t>Set forth below are the sales of all securities of the registrant sold by the registrant within the past three years (i.e., since January 1, 2011, up to the date of this registration statement) which were not registered under the Securities Act:</w:t>
      </w:r>
    </w:p>
    <w:p>
      <w:pPr>
        <w:spacing w:after="0" w:line="115" w:lineRule="exact"/>
        <w:rPr>
          <w:sz w:val="20"/>
          <w:szCs w:val="20"/>
          <w:color w:val="auto"/>
        </w:rPr>
      </w:pPr>
    </w:p>
    <w:p>
      <w:pPr>
        <w:ind w:left="560" w:hanging="219"/>
        <w:spacing w:after="0"/>
        <w:tabs>
          <w:tab w:leader="none" w:pos="560" w:val="left"/>
        </w:tabs>
        <w:numPr>
          <w:ilvl w:val="0"/>
          <w:numId w:val="99"/>
        </w:numPr>
        <w:rPr>
          <w:rFonts w:ascii="Arial" w:cs="Arial" w:eastAsia="Arial" w:hAnsi="Arial"/>
          <w:sz w:val="22"/>
          <w:szCs w:val="22"/>
          <w:color w:val="auto"/>
        </w:rPr>
      </w:pPr>
      <w:r>
        <w:rPr>
          <w:rFonts w:ascii="Arial" w:cs="Arial" w:eastAsia="Arial" w:hAnsi="Arial"/>
          <w:sz w:val="18"/>
          <w:szCs w:val="18"/>
          <w:color w:val="auto"/>
        </w:rPr>
        <w:t>In July 2011, we issued 602,230 Series A-1 preferred shares for $5,000,000 to Fortissimo Capital.</w:t>
      </w:r>
    </w:p>
    <w:p>
      <w:pPr>
        <w:spacing w:after="0" w:line="202" w:lineRule="exact"/>
        <w:rPr>
          <w:sz w:val="20"/>
          <w:szCs w:val="20"/>
          <w:color w:val="auto"/>
        </w:rPr>
      </w:pPr>
    </w:p>
    <w:p>
      <w:pPr>
        <w:ind w:left="120" w:right="199" w:firstLine="216"/>
        <w:spacing w:after="0" w:line="259" w:lineRule="auto"/>
        <w:rPr>
          <w:sz w:val="20"/>
          <w:szCs w:val="20"/>
          <w:color w:val="auto"/>
        </w:rPr>
      </w:pPr>
      <w:r>
        <w:rPr>
          <w:rFonts w:ascii="Arial" w:cs="Arial" w:eastAsia="Arial" w:hAnsi="Arial"/>
          <w:sz w:val="18"/>
          <w:szCs w:val="18"/>
          <w:color w:val="auto"/>
        </w:rPr>
        <w:t>The sales of the above securities were deemed to be exempt from registration under the Securities Act because they were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200" w:lineRule="exact"/>
        <w:rPr>
          <w:sz w:val="20"/>
          <w:szCs w:val="20"/>
          <w:color w:val="auto"/>
        </w:rPr>
      </w:pPr>
    </w:p>
    <w:p>
      <w:pPr>
        <w:jc w:val="both"/>
        <w:ind w:left="560" w:right="119" w:hanging="219"/>
        <w:spacing w:after="0" w:line="285" w:lineRule="auto"/>
        <w:tabs>
          <w:tab w:leader="none" w:pos="595" w:val="left"/>
        </w:tabs>
        <w:numPr>
          <w:ilvl w:val="0"/>
          <w:numId w:val="100"/>
        </w:numPr>
        <w:rPr>
          <w:rFonts w:ascii="Arial" w:cs="Arial" w:eastAsia="Arial" w:hAnsi="Arial"/>
          <w:sz w:val="19"/>
          <w:szCs w:val="19"/>
          <w:color w:val="auto"/>
        </w:rPr>
      </w:pPr>
      <w:r>
        <w:rPr>
          <w:rFonts w:ascii="Arial" w:cs="Arial" w:eastAsia="Arial" w:hAnsi="Arial"/>
          <w:sz w:val="16"/>
          <w:szCs w:val="16"/>
          <w:color w:val="auto"/>
        </w:rPr>
        <w:t>We granted share options to employees, directors and consultants under our 2012 Plan and 2004 Plan covering an aggregate of 517,282 ordinary shares, with exercise prices ranging from $0.01 to $14.23 per share. As of the date of this registration statement, 64,310 of these options have been forfeited and cancelled without being exercised.</w:t>
      </w:r>
    </w:p>
    <w:p>
      <w:pPr>
        <w:spacing w:after="0" w:line="168" w:lineRule="exact"/>
        <w:rPr>
          <w:sz w:val="20"/>
          <w:szCs w:val="20"/>
          <w:color w:val="auto"/>
        </w:rPr>
      </w:pPr>
    </w:p>
    <w:p>
      <w:pPr>
        <w:ind w:left="120" w:right="319" w:firstLine="216"/>
        <w:spacing w:after="0" w:line="264" w:lineRule="auto"/>
        <w:rPr>
          <w:sz w:val="20"/>
          <w:szCs w:val="20"/>
          <w:color w:val="auto"/>
        </w:rPr>
      </w:pPr>
      <w:r>
        <w:rPr>
          <w:rFonts w:ascii="Arial" w:cs="Arial" w:eastAsia="Arial" w:hAnsi="Arial"/>
          <w:sz w:val="18"/>
          <w:szCs w:val="18"/>
          <w:color w:val="auto"/>
        </w:rPr>
        <w:t>We claimed exemption from registration under the Securities Act for these option grants described above under Section 4(a)(2), Regulation S, or under Rule 701 of the Securities Act as transactions pursuant to written compensatory plans or pursuant to a written contract relating to compensation.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underwriters were employed in connection with the securities issuances set forth in this Item 7.</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left="720" w:hanging="379"/>
        <w:spacing w:after="0"/>
        <w:tabs>
          <w:tab w:leader="none" w:pos="7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Exhibit Index is hereby incorporated herein by reference.</w:t>
      </w:r>
    </w:p>
    <w:p>
      <w:pPr>
        <w:spacing w:after="0" w:line="23" w:lineRule="exact"/>
        <w:rPr>
          <w:rFonts w:ascii="Arial" w:cs="Arial" w:eastAsia="Arial" w:hAnsi="Arial"/>
          <w:sz w:val="18"/>
          <w:szCs w:val="18"/>
          <w:color w:val="auto"/>
        </w:rPr>
      </w:pPr>
    </w:p>
    <w:p>
      <w:pPr>
        <w:ind w:left="740" w:hanging="399"/>
        <w:spacing w:after="0"/>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ind w:left="120" w:right="139" w:firstLine="216"/>
        <w:spacing w:after="0" w:line="264" w:lineRule="auto"/>
        <w:rPr>
          <w:sz w:val="20"/>
          <w:szCs w:val="20"/>
          <w:color w:val="auto"/>
        </w:rPr>
      </w:pPr>
      <w:r>
        <w:rPr>
          <w:rFonts w:ascii="Arial" w:cs="Arial" w:eastAsia="Arial" w:hAnsi="Arial"/>
          <w:sz w:val="18"/>
          <w:szCs w:val="18"/>
          <w:color w:val="auto"/>
        </w:rPr>
        <w:t>All Financial Statement Schedules have been omitted because either they are not required, are not applicable or the information required therein is otherwise set forth in the Registrant’s consolidated financial statements and related notes thereto.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332" w:right="1440" w:bottom="1440" w:gutter="0" w:footer="0" w:header="0"/>
        </w:sectPr>
      </w:pPr>
    </w:p>
    <w:bookmarkStart w:id="153" w:name="page154"/>
    <w:bookmarkEnd w:id="153"/>
    <w:p>
      <w:pPr>
        <w:ind w:left="120"/>
        <w:spacing w:after="0"/>
        <w:rPr>
          <w:sz w:val="20"/>
          <w:szCs w:val="20"/>
          <w:color w:val="auto"/>
        </w:rPr>
      </w:pPr>
      <w:r>
        <w:rPr>
          <w:rFonts w:ascii="Arial" w:cs="Arial" w:eastAsia="Arial" w:hAnsi="Arial"/>
          <w:sz w:val="18"/>
          <w:szCs w:val="18"/>
          <w:b w:val="1"/>
          <w:bCs w:val="1"/>
          <w:color w:val="auto"/>
        </w:rPr>
        <w:t>Item 9. Undertakings.</w:t>
      </w:r>
    </w:p>
    <w:p>
      <w:pPr>
        <w:spacing w:after="0" w:line="229" w:lineRule="exact"/>
        <w:rPr>
          <w:sz w:val="20"/>
          <w:szCs w:val="20"/>
          <w:color w:val="auto"/>
        </w:rPr>
      </w:pPr>
    </w:p>
    <w:p>
      <w:pPr>
        <w:ind w:left="120" w:right="299" w:firstLine="216"/>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560" w:right="539" w:hanging="219"/>
        <w:spacing w:after="0" w:line="264" w:lineRule="auto"/>
        <w:tabs>
          <w:tab w:leader="none" w:pos="5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provide the underwriters specified in the Underwriting Agreement, at the closing, certificates in such denominations and registered in such names as required by the underwriters to permit prompt delivery to each purchaser.</w:t>
      </w:r>
    </w:p>
    <w:p>
      <w:pPr>
        <w:spacing w:after="0" w:line="181" w:lineRule="exact"/>
        <w:rPr>
          <w:rFonts w:ascii="Arial" w:cs="Arial" w:eastAsia="Arial" w:hAnsi="Arial"/>
          <w:sz w:val="18"/>
          <w:szCs w:val="18"/>
          <w:color w:val="auto"/>
        </w:rPr>
      </w:pPr>
    </w:p>
    <w:p>
      <w:pPr>
        <w:ind w:left="560" w:right="379" w:hanging="219"/>
        <w:spacing w:after="0" w:line="279" w:lineRule="auto"/>
        <w:tabs>
          <w:tab w:leader="none" w:pos="52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That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1" w:lineRule="exact"/>
        <w:rPr>
          <w:rFonts w:ascii="Arial" w:cs="Arial" w:eastAsia="Arial" w:hAnsi="Arial"/>
          <w:sz w:val="17"/>
          <w:szCs w:val="17"/>
          <w:color w:val="auto"/>
        </w:rPr>
      </w:pPr>
    </w:p>
    <w:p>
      <w:pPr>
        <w:ind w:left="560" w:right="259" w:hanging="219"/>
        <w:spacing w:after="0" w:line="312" w:lineRule="auto"/>
        <w:tabs>
          <w:tab w:leader="none" w:pos="52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each post-effective amendment that contains a form of prospectus shall be deemed to be a new registration statement relating to the securities offered therein, and this offering of such securities at that time shall be deemed to be the initial bona fide offering thereof.</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3810</wp:posOffset>
            </wp:positionV>
            <wp:extent cx="557403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122"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left="120" w:right="339" w:firstLine="216"/>
        <w:spacing w:after="0" w:line="28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registration statement to be</w:t>
      </w:r>
    </w:p>
    <w:p>
      <w:pPr>
        <w:spacing w:after="0" w:line="1" w:lineRule="exact"/>
        <w:rPr>
          <w:sz w:val="20"/>
          <w:szCs w:val="20"/>
          <w:color w:val="auto"/>
        </w:rPr>
      </w:pPr>
    </w:p>
    <w:p>
      <w:pPr>
        <w:ind w:left="120" w:right="319"/>
        <w:spacing w:after="0" w:line="261" w:lineRule="auto"/>
        <w:rPr>
          <w:sz w:val="20"/>
          <w:szCs w:val="20"/>
          <w:color w:val="auto"/>
        </w:rPr>
      </w:pPr>
      <w:r>
        <w:rPr>
          <w:rFonts w:ascii="Arial" w:cs="Arial" w:eastAsia="Arial" w:hAnsi="Arial"/>
          <w:sz w:val="18"/>
          <w:szCs w:val="18"/>
          <w:color w:val="auto"/>
        </w:rPr>
        <w:t>signed on its behalf by the undersigned, thereunto duly authorized, in Rosh Ha-Ayin, Israel on this day of , 2015.</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auto"/>
        </w:rPr>
        <w:t>KORNIT DIGITAL LTD.</w:t>
      </w:r>
    </w:p>
    <w:p>
      <w:pPr>
        <w:spacing w:after="0" w:line="301"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ind w:left="120" w:right="159" w:firstLine="216"/>
        <w:spacing w:after="0" w:line="267" w:lineRule="auto"/>
        <w:rPr>
          <w:sz w:val="20"/>
          <w:szCs w:val="20"/>
          <w:color w:val="auto"/>
        </w:rPr>
      </w:pPr>
      <w:r>
        <w:rPr>
          <w:rFonts w:ascii="Arial" w:cs="Arial" w:eastAsia="Arial" w:hAnsi="Arial"/>
          <w:sz w:val="17"/>
          <w:szCs w:val="17"/>
          <w:color w:val="auto"/>
        </w:rPr>
        <w:t>KNOW ALL MEN BY THESE PRESENTED, that each director and officer of Kornit Digital Ltd. whose signature appears below hereby appoints Gabi Seligsohn and Guy Avidan, and each of them severally, acting alone and without the other, his true and lawful attorney-in-fact with full power of substitution or re-substitution, for such person and in such person’s name, place and stead, in any and all capacities, to sign on such person’s behalf, individually and in each capacity stated below, any and all amendments, including post-effective amendments to this Registration Statement, and to sign any and all additional registration statements relating to the same offering of securities of the Registration Statement that are filed pursuant to Rule 462(b) of the Securities Act of 1933, and to file the same, with all exhibits thereto, and other documents in connection therewith, with the Securities and Exchange Commission, granting unto said attorneys-in-fact, full power and authority to do and perform each and every act and thing requisite or necessary to be done in and about the premises, as fully to all intents and purposes as such person might or could do in person, hereby ratifying and confirming all that said attorneys-in-fact, or their substitute or substitutes, may lawfully do or cause to be done by virtue hereof.</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the following persons on</w:t>
            </w:r>
          </w:p>
        </w:tc>
        <w:tc>
          <w:tcPr>
            <w:tcW w:w="6360" w:type="dxa"/>
            <w:vAlign w:val="bottom"/>
          </w:tcPr>
          <w:p>
            <w:pPr>
              <w:ind w:left="620"/>
              <w:spacing w:after="0"/>
              <w:rPr>
                <w:sz w:val="20"/>
                <w:szCs w:val="20"/>
                <w:color w:val="auto"/>
              </w:rPr>
            </w:pPr>
            <w:r>
              <w:rPr>
                <w:rFonts w:ascii="Arial" w:cs="Arial" w:eastAsia="Arial" w:hAnsi="Arial"/>
                <w:sz w:val="18"/>
                <w:szCs w:val="18"/>
                <w:color w:val="auto"/>
              </w:rPr>
              <w:t>, 2015 in the capacities indicated:</w:t>
            </w:r>
          </w:p>
        </w:tc>
      </w:tr>
      <w:tr>
        <w:trPr>
          <w:trHeight w:val="524"/>
        </w:trPr>
        <w:tc>
          <w:tcPr>
            <w:tcW w:w="20" w:type="dxa"/>
            <w:vAlign w:val="bottom"/>
          </w:tcPr>
          <w:p>
            <w:pPr>
              <w:spacing w:after="0"/>
              <w:rPr>
                <w:sz w:val="24"/>
                <w:szCs w:val="24"/>
                <w:color w:val="auto"/>
              </w:rPr>
            </w:pPr>
          </w:p>
        </w:tc>
        <w:tc>
          <w:tcPr>
            <w:tcW w:w="2400" w:type="dxa"/>
            <w:vAlign w:val="bottom"/>
            <w:gridSpan w:val="2"/>
          </w:tcPr>
          <w:p>
            <w:pPr>
              <w:ind w:left="160"/>
              <w:spacing w:after="0"/>
              <w:rPr>
                <w:sz w:val="20"/>
                <w:szCs w:val="20"/>
                <w:color w:val="auto"/>
              </w:rPr>
            </w:pPr>
            <w:r>
              <w:rPr>
                <w:rFonts w:ascii="Arial" w:cs="Arial" w:eastAsia="Arial" w:hAnsi="Arial"/>
                <w:sz w:val="16"/>
                <w:szCs w:val="16"/>
                <w:b w:val="1"/>
                <w:bCs w:val="1"/>
                <w:color w:val="auto"/>
              </w:rPr>
              <w:t>Signature and Name</w:t>
            </w:r>
          </w:p>
        </w:tc>
        <w:tc>
          <w:tcPr>
            <w:tcW w:w="6360" w:type="dxa"/>
            <w:vAlign w:val="bottom"/>
          </w:tcPr>
          <w:p>
            <w:pPr>
              <w:ind w:left="2980"/>
              <w:spacing w:after="0"/>
              <w:rPr>
                <w:sz w:val="20"/>
                <w:szCs w:val="20"/>
                <w:color w:val="auto"/>
              </w:rPr>
            </w:pPr>
            <w:r>
              <w:rPr>
                <w:rFonts w:ascii="Arial" w:cs="Arial" w:eastAsia="Arial" w:hAnsi="Arial"/>
                <w:sz w:val="16"/>
                <w:szCs w:val="16"/>
                <w:b w:val="1"/>
                <w:bCs w:val="1"/>
                <w:color w:val="auto"/>
              </w:rPr>
              <w:t>Title</w:t>
            </w:r>
          </w:p>
        </w:tc>
      </w:tr>
      <w:tr>
        <w:trPr>
          <w:trHeight w:val="29"/>
        </w:trPr>
        <w:tc>
          <w:tcPr>
            <w:tcW w:w="2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3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428625</wp:posOffset>
            </wp:positionV>
            <wp:extent cx="10890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140" w:type="dxa"/>
        <w:tblCellMar>
          <w:top w:w="0" w:type="dxa"/>
          <w:left w:w="0" w:type="dxa"/>
          <w:bottom w:w="0" w:type="dxa"/>
          <w:right w:w="0" w:type="dxa"/>
        </w:tblCellMar>
      </w:tblPr>
      <w:tr>
        <w:trPr>
          <w:trHeight w:val="244"/>
        </w:trPr>
        <w:tc>
          <w:tcPr>
            <w:tcW w:w="22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Gabi Seligsohn</w:t>
            </w:r>
          </w:p>
        </w:tc>
        <w:tc>
          <w:tcPr>
            <w:tcW w:w="6820" w:type="dxa"/>
            <w:vAlign w:val="bottom"/>
          </w:tcPr>
          <w:p>
            <w:pPr>
              <w:ind w:left="500"/>
              <w:spacing w:after="0"/>
              <w:rPr>
                <w:sz w:val="20"/>
                <w:szCs w:val="20"/>
                <w:color w:val="auto"/>
              </w:rPr>
            </w:pPr>
            <w:r>
              <w:rPr>
                <w:rFonts w:ascii="Arial" w:cs="Arial" w:eastAsia="Arial" w:hAnsi="Arial"/>
                <w:sz w:val="18"/>
                <w:szCs w:val="18"/>
                <w:color w:val="auto"/>
              </w:rPr>
              <w:t>Chief Executive Officer (principal executive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Guy Avidan</w:t>
            </w:r>
          </w:p>
        </w:tc>
        <w:tc>
          <w:tcPr>
            <w:tcW w:w="6820" w:type="dxa"/>
            <w:vAlign w:val="bottom"/>
          </w:tcPr>
          <w:p>
            <w:pPr>
              <w:ind w:left="500"/>
              <w:spacing w:after="0"/>
              <w:rPr>
                <w:sz w:val="20"/>
                <w:szCs w:val="20"/>
                <w:color w:val="auto"/>
              </w:rPr>
            </w:pPr>
            <w:r>
              <w:rPr>
                <w:rFonts w:ascii="Arial" w:cs="Arial" w:eastAsia="Arial" w:hAnsi="Arial"/>
                <w:sz w:val="18"/>
                <w:szCs w:val="18"/>
                <w:color w:val="auto"/>
                <w:w w:val="98"/>
              </w:rPr>
              <w:t>Chief Financial Officer (principal financial officer and principal accounting officer)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Yuval Cohen</w:t>
            </w:r>
          </w:p>
        </w:tc>
        <w:tc>
          <w:tcPr>
            <w:tcW w:w="6820" w:type="dxa"/>
            <w:vAlign w:val="bottom"/>
          </w:tcPr>
          <w:p>
            <w:pPr>
              <w:ind w:left="500"/>
              <w:spacing w:after="0"/>
              <w:rPr>
                <w:sz w:val="20"/>
                <w:szCs w:val="20"/>
                <w:color w:val="auto"/>
              </w:rPr>
            </w:pPr>
            <w:r>
              <w:rPr>
                <w:rFonts w:ascii="Arial" w:cs="Arial" w:eastAsia="Arial" w:hAnsi="Arial"/>
                <w:sz w:val="18"/>
                <w:szCs w:val="18"/>
                <w:color w:val="auto"/>
              </w:rPr>
              <w:t>Chairman of the Board of Directors</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Ofer Ben-Zur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Marc Lesnick</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Eli Blatt</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Yoav Hineman</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3"/>
              </w:rPr>
              <w:t>Moshe Nur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405"/>
        </w:trPr>
        <w:tc>
          <w:tcPr>
            <w:tcW w:w="22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Pr>
          <w:p>
            <w:pPr>
              <w:spacing w:after="0"/>
              <w:rPr>
                <w:sz w:val="24"/>
                <w:szCs w:val="24"/>
                <w:color w:val="auto"/>
              </w:rPr>
            </w:pPr>
          </w:p>
        </w:tc>
      </w:tr>
      <w:tr>
        <w:trPr>
          <w:trHeight w:val="277"/>
        </w:trPr>
        <w:tc>
          <w:tcPr>
            <w:tcW w:w="220" w:type="dxa"/>
            <w:vAlign w:val="bottom"/>
          </w:tcPr>
          <w:p>
            <w:pPr>
              <w:spacing w:after="0"/>
              <w:rPr>
                <w:sz w:val="24"/>
                <w:szCs w:val="24"/>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90"/>
              </w:rPr>
              <w:t>Joshua Maor</w:t>
            </w:r>
          </w:p>
        </w:tc>
        <w:tc>
          <w:tcPr>
            <w:tcW w:w="6820" w:type="dxa"/>
            <w:vAlign w:val="bottom"/>
          </w:tcPr>
          <w:p>
            <w:pPr>
              <w:ind w:left="500"/>
              <w:spacing w:after="0"/>
              <w:rPr>
                <w:sz w:val="20"/>
                <w:szCs w:val="20"/>
                <w:color w:val="auto"/>
              </w:rPr>
            </w:pPr>
            <w:r>
              <w:rPr>
                <w:rFonts w:ascii="Arial" w:cs="Arial" w:eastAsia="Arial" w:hAnsi="Arial"/>
                <w:sz w:val="18"/>
                <w:szCs w:val="18"/>
                <w:color w:val="auto"/>
              </w:rPr>
              <w:t>Director</w:t>
            </w:r>
          </w:p>
        </w:tc>
      </w:tr>
      <w:tr>
        <w:trPr>
          <w:trHeight w:val="324"/>
        </w:trPr>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55" w:name="page156"/>
    <w:bookmarkEnd w:id="155"/>
    <w:p>
      <w:pPr>
        <w:jc w:val="center"/>
        <w:ind w:right="-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Pursuant to the requirements of the Securities Act of 1933, the Registrant’s duly authorized representative has signed</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this registration statement on Form F-1 in Mequon, Wisconsin, on</w:t>
            </w:r>
          </w:p>
        </w:tc>
        <w:tc>
          <w:tcPr>
            <w:tcW w:w="980" w:type="dxa"/>
            <w:vAlign w:val="bottom"/>
          </w:tcPr>
          <w:p>
            <w:pPr>
              <w:jc w:val="right"/>
              <w:spacing w:after="0"/>
              <w:rPr>
                <w:sz w:val="20"/>
                <w:szCs w:val="20"/>
                <w:color w:val="auto"/>
              </w:rPr>
            </w:pPr>
            <w:r>
              <w:rPr>
                <w:rFonts w:ascii="Arial" w:cs="Arial" w:eastAsia="Arial" w:hAnsi="Arial"/>
                <w:sz w:val="18"/>
                <w:szCs w:val="18"/>
                <w:color w:val="auto"/>
              </w:rPr>
              <w:t>, 2015.</w:t>
            </w:r>
          </w:p>
        </w:tc>
      </w:tr>
    </w:tbl>
    <w:p>
      <w:pPr>
        <w:spacing w:after="0" w:line="187" w:lineRule="exact"/>
        <w:rPr>
          <w:sz w:val="20"/>
          <w:szCs w:val="20"/>
          <w:color w:val="auto"/>
        </w:rPr>
      </w:pPr>
    </w:p>
    <w:p>
      <w:pPr>
        <w:ind w:left="4520"/>
        <w:spacing w:after="0"/>
        <w:rPr>
          <w:sz w:val="20"/>
          <w:szCs w:val="20"/>
          <w:color w:val="auto"/>
        </w:rPr>
      </w:pPr>
      <w:r>
        <w:rPr>
          <w:rFonts w:ascii="Arial" w:cs="Arial" w:eastAsia="Arial" w:hAnsi="Arial"/>
          <w:sz w:val="18"/>
          <w:szCs w:val="18"/>
          <w:i w:val="1"/>
          <w:iCs w:val="1"/>
          <w:color w:val="auto"/>
        </w:rPr>
        <w:t>KORNIT DIGITAL NORTH AMERICA INC.</w:t>
      </w:r>
    </w:p>
    <w:p>
      <w:pPr>
        <w:spacing w:after="0" w:line="25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-130175</wp:posOffset>
            </wp:positionV>
            <wp:extent cx="24523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203200</wp:posOffset>
            </wp:positionV>
            <wp:extent cx="55740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ectPr>
          <w:pgSz w:w="11900" w:h="16838" w:orient="portrait"/>
          <w:cols w:equalWidth="0" w:num="1">
            <w:col w:w="9019"/>
          </w:cols>
          <w:pgMar w:left="1440" w:top="297" w:right="1440" w:bottom="1440" w:gutter="0" w:footer="0" w:header="0"/>
        </w:sectPr>
      </w:pPr>
    </w:p>
    <w:bookmarkStart w:id="156" w:name="page157"/>
    <w:bookmarkEnd w:id="156"/>
    <w:tbl>
      <w:tblPr>
        <w:tblLayout w:type="fixed"/>
        <w:tblInd w:w="14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37"/>
        </w:trPr>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 No.</w:t>
            </w:r>
          </w:p>
        </w:tc>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Description</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0"/>
        </w:trPr>
        <w:tc>
          <w:tcPr>
            <w:tcW w:w="1120" w:type="dxa"/>
            <w:vAlign w:val="bottom"/>
            <w:tcBorders>
              <w:bottom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7360" w:type="dxa"/>
            <w:vAlign w:val="bottom"/>
            <w:tcBorders>
              <w:bottom w:val="single" w:sz="8" w:color="auto"/>
            </w:tcBorders>
            <w:gridSpan w:val="3"/>
          </w:tcPr>
          <w:p>
            <w:pPr>
              <w:spacing w:after="0"/>
              <w:rPr>
                <w:sz w:val="5"/>
                <w:szCs w:val="5"/>
                <w:color w:val="auto"/>
              </w:rPr>
            </w:pPr>
          </w:p>
        </w:tc>
      </w:tr>
      <w:tr>
        <w:trPr>
          <w:trHeight w:val="249"/>
        </w:trPr>
        <w:tc>
          <w:tcPr>
            <w:tcW w:w="1120" w:type="dxa"/>
            <w:vAlign w:val="bottom"/>
          </w:tcPr>
          <w:p>
            <w:pPr>
              <w:ind w:left="4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1"/>
                <w:szCs w:val="21"/>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6"/>
              </w:rPr>
              <w:t>Form of Underwriting Agreement by and among Kornit Digital Ltd. and the underwriters named</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therein*</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Articles of Association of the Registrant*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8"/>
              </w:rPr>
              <w:t>Form of Amended and Restated Articles of Association of the Registrant, to be effective upon</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closing of this offering*</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Specimen Share Certificate*</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2"/>
              </w:rPr>
              <w:t>Opinion of Meitar Liquornik Geva Leshem Tal, Israeli counsel to the Registrant, as to the validity of</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the ordinary shares (including consent)*</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2004 Share Option Plan*</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2012 Share Incentive Plan*</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7"/>
              </w:rPr>
              <w:t>Form of indemnification agreement by and between Kornit Digital Ltd. and each of its directors</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and executive officers*</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Sales Representative Agreement, dated April 1, 2014, between the Registrant and Hirsch</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International Corporation*†</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w w:val="96"/>
              </w:rPr>
              <w:t>Amended and Restated Original Equipment Manufacturer Agreement, dated</w:t>
            </w:r>
          </w:p>
        </w:tc>
        <w:tc>
          <w:tcPr>
            <w:tcW w:w="1400" w:type="dxa"/>
            <w:vAlign w:val="bottom"/>
          </w:tcPr>
          <w:p>
            <w:pPr>
              <w:ind w:left="400"/>
              <w:spacing w:after="0"/>
              <w:rPr>
                <w:sz w:val="20"/>
                <w:szCs w:val="20"/>
                <w:color w:val="auto"/>
              </w:rPr>
            </w:pPr>
            <w:r>
              <w:rPr>
                <w:rFonts w:ascii="Arial" w:cs="Arial" w:eastAsia="Arial" w:hAnsi="Arial"/>
                <w:sz w:val="18"/>
                <w:szCs w:val="18"/>
                <w:color w:val="auto"/>
              </w:rPr>
              <w:t>, between</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the Registrant and Spectra Printing, a division of FujiFilm Dimatix, Inc.*†</w:t>
            </w: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9"/>
              </w:rPr>
              <w:t>Supplier Agreement, dated November 19, 2014, between the Registrant and I.T.S. Industrial</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Technologic Solutions, Ltd.*∞†</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w w:val="96"/>
              </w:rPr>
              <w:t>Amended and Restated Investors’ Rights Agreement, dated</w:t>
            </w:r>
          </w:p>
        </w:tc>
        <w:tc>
          <w:tcPr>
            <w:tcW w:w="2700" w:type="dxa"/>
            <w:vAlign w:val="bottom"/>
            <w:gridSpan w:val="2"/>
          </w:tcPr>
          <w:p>
            <w:pPr>
              <w:ind w:left="340"/>
              <w:spacing w:after="0"/>
              <w:rPr>
                <w:sz w:val="20"/>
                <w:szCs w:val="20"/>
                <w:color w:val="auto"/>
              </w:rPr>
            </w:pPr>
            <w:r>
              <w:rPr>
                <w:rFonts w:ascii="Arial" w:cs="Arial" w:eastAsia="Arial" w:hAnsi="Arial"/>
                <w:sz w:val="18"/>
                <w:szCs w:val="18"/>
                <w:color w:val="auto"/>
                <w:w w:val="97"/>
              </w:rPr>
              <w:t>, by and among the Registrant</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and the other parties thereto.*</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6"/>
              </w:rPr>
              <w:t>Management Services Agreement, dated August 11, 2011, by and between the Registrant and</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Fortissimo Capital Fund II (Israel) L.P.*</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rPr>
              <w:t>Lease Agreement, dated March 25, 2010, by and between the Registrant and Benvenisti</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Engineering Ltd.∞*</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6"/>
              </w:rPr>
              <w:t>Addendum to Lease Agreement, dated November 21, 2011 by and between the Registrant and</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Benvenisti Engineering Ltd.∞*</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4"/>
                <w:szCs w:val="24"/>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List of subsidiaries of the Registrant*</w:t>
            </w: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7"/>
        </w:trPr>
        <w:tc>
          <w:tcPr>
            <w:tcW w:w="1120" w:type="dxa"/>
            <w:vAlign w:val="bottom"/>
          </w:tcPr>
          <w:p>
            <w:pPr>
              <w:ind w:left="4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4"/>
                <w:szCs w:val="24"/>
                <w:color w:val="auto"/>
              </w:rPr>
            </w:pPr>
          </w:p>
        </w:tc>
        <w:tc>
          <w:tcPr>
            <w:tcW w:w="7360" w:type="dxa"/>
            <w:vAlign w:val="bottom"/>
            <w:gridSpan w:val="3"/>
          </w:tcPr>
          <w:p>
            <w:pPr>
              <w:ind w:left="60"/>
              <w:spacing w:after="0"/>
              <w:rPr>
                <w:sz w:val="20"/>
                <w:szCs w:val="20"/>
                <w:color w:val="auto"/>
              </w:rPr>
            </w:pPr>
            <w:r>
              <w:rPr>
                <w:rFonts w:ascii="Arial" w:cs="Arial" w:eastAsia="Arial" w:hAnsi="Arial"/>
                <w:sz w:val="18"/>
                <w:szCs w:val="18"/>
                <w:color w:val="auto"/>
                <w:w w:val="96"/>
              </w:rPr>
              <w:t>Consent of Kost Forer Gabbay &amp; Kasierer, a member of Ernst &amp; Young Global, an independent</w:t>
            </w:r>
          </w:p>
        </w:tc>
      </w:tr>
      <w:tr>
        <w:trPr>
          <w:trHeight w:val="230"/>
        </w:trPr>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60" w:type="dxa"/>
            <w:vAlign w:val="bottom"/>
          </w:tcPr>
          <w:p>
            <w:pPr>
              <w:ind w:left="60"/>
              <w:spacing w:after="0"/>
              <w:rPr>
                <w:sz w:val="20"/>
                <w:szCs w:val="20"/>
                <w:color w:val="auto"/>
              </w:rPr>
            </w:pPr>
            <w:r>
              <w:rPr>
                <w:rFonts w:ascii="Arial" w:cs="Arial" w:eastAsia="Arial" w:hAnsi="Arial"/>
                <w:sz w:val="18"/>
                <w:szCs w:val="18"/>
                <w:color w:val="auto"/>
              </w:rPr>
              <w:t>registered public accounting firm*</w:t>
            </w:r>
          </w:p>
        </w:tc>
        <w:tc>
          <w:tcPr>
            <w:tcW w:w="13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4"/>
                <w:szCs w:val="24"/>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rPr>
              <w:t>Consent of Meitar Liquornik Geva Leshem Tal (included in Exhibit 5.1)*</w:t>
            </w:r>
          </w:p>
        </w:tc>
        <w:tc>
          <w:tcPr>
            <w:tcW w:w="1400" w:type="dxa"/>
            <w:vAlign w:val="bottom"/>
          </w:tcPr>
          <w:p>
            <w:pPr>
              <w:spacing w:after="0"/>
              <w:rPr>
                <w:sz w:val="24"/>
                <w:szCs w:val="24"/>
                <w:color w:val="auto"/>
              </w:rPr>
            </w:pPr>
          </w:p>
        </w:tc>
      </w:tr>
      <w:tr>
        <w:trPr>
          <w:trHeight w:val="351"/>
        </w:trPr>
        <w:tc>
          <w:tcPr>
            <w:tcW w:w="1120" w:type="dxa"/>
            <w:vAlign w:val="bottom"/>
          </w:tcPr>
          <w:p>
            <w:pPr>
              <w:ind w:left="40"/>
              <w:spacing w:after="0"/>
              <w:rPr>
                <w:sz w:val="20"/>
                <w:szCs w:val="20"/>
                <w:color w:val="auto"/>
              </w:rPr>
            </w:pPr>
            <w:r>
              <w:rPr>
                <w:rFonts w:ascii="Arial" w:cs="Arial" w:eastAsia="Arial" w:hAnsi="Arial"/>
                <w:sz w:val="18"/>
                <w:szCs w:val="18"/>
                <w:color w:val="auto"/>
              </w:rPr>
              <w:t>24.1</w:t>
            </w:r>
          </w:p>
        </w:tc>
        <w:tc>
          <w:tcPr>
            <w:tcW w:w="280" w:type="dxa"/>
            <w:vAlign w:val="bottom"/>
          </w:tcPr>
          <w:p>
            <w:pPr>
              <w:spacing w:after="0"/>
              <w:rPr>
                <w:sz w:val="24"/>
                <w:szCs w:val="24"/>
                <w:color w:val="auto"/>
              </w:rPr>
            </w:pPr>
          </w:p>
        </w:tc>
        <w:tc>
          <w:tcPr>
            <w:tcW w:w="5960" w:type="dxa"/>
            <w:vAlign w:val="bottom"/>
            <w:gridSpan w:val="2"/>
          </w:tcPr>
          <w:p>
            <w:pPr>
              <w:ind w:left="60"/>
              <w:spacing w:after="0"/>
              <w:rPr>
                <w:sz w:val="20"/>
                <w:szCs w:val="20"/>
                <w:color w:val="auto"/>
              </w:rPr>
            </w:pPr>
            <w:r>
              <w:rPr>
                <w:rFonts w:ascii="Arial" w:cs="Arial" w:eastAsia="Arial" w:hAnsi="Arial"/>
                <w:sz w:val="18"/>
                <w:szCs w:val="18"/>
                <w:color w:val="auto"/>
                <w:w w:val="98"/>
              </w:rPr>
              <w:t>Power of Attorney (included in signature pages of Registration Statement)*</w:t>
            </w:r>
          </w:p>
        </w:tc>
        <w:tc>
          <w:tcPr>
            <w:tcW w:w="1400" w:type="dxa"/>
            <w:vAlign w:val="bottom"/>
          </w:tcPr>
          <w:p>
            <w:pPr>
              <w:spacing w:after="0"/>
              <w:rPr>
                <w:sz w:val="24"/>
                <w:szCs w:val="24"/>
                <w:color w:val="auto"/>
              </w:rPr>
            </w:pPr>
          </w:p>
        </w:tc>
      </w:tr>
    </w:tbl>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____________________</w:t>
      </w:r>
    </w:p>
    <w:p>
      <w:pPr>
        <w:spacing w:after="0" w:line="23" w:lineRule="exact"/>
        <w:rPr>
          <w:sz w:val="20"/>
          <w:szCs w:val="20"/>
          <w:color w:val="auto"/>
        </w:rPr>
      </w:pPr>
    </w:p>
    <w:p>
      <w:pPr>
        <w:ind w:left="440" w:hanging="315"/>
        <w:spacing w:after="0"/>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120"/>
        <w:spacing w:after="0"/>
        <w:tabs>
          <w:tab w:leader="none" w:pos="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Confidential treatment requested.</w:t>
      </w:r>
    </w:p>
    <w:p>
      <w:pPr>
        <w:spacing w:after="0" w:line="9"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English summary of original Hebrew document.</w:t>
      </w:r>
    </w:p>
    <w:sectPr>
      <w:pgSz w:w="11900" w:h="16838" w:orient="portrait"/>
      <w:cols w:equalWidth="0" w:num="1">
        <w:col w:w="9019"/>
      </w:cols>
      <w:pgMar w:left="1440" w:top="33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1)"/>
      <w:numFmt w:val="decimal"/>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
      <w:numFmt w:val="bullet"/>
      <w:start w:val="1"/>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
      <w:numFmt w:val="bullet"/>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2"/>
    </w:lvl>
  </w:abstractNum>
  <w:abstractNum w:abstractNumId="10">
    <w:nsid w:val="1CF10FD8"/>
    <w:multiLevelType w:val="hybridMultilevel"/>
    <w:lvl w:ilvl="0">
      <w:lvlJc w:val="left"/>
      <w:lvlText w:val="(%1)"/>
      <w:numFmt w:val="decimal"/>
      <w:start w:val="5"/>
    </w:lvl>
  </w:abstractNum>
  <w:abstractNum w:abstractNumId="11">
    <w:nsid w:val="180115BE"/>
    <w:multiLevelType w:val="hybridMultilevel"/>
    <w:lvl w:ilvl="0">
      <w:lvlJc w:val="left"/>
      <w:lvlText w:val="•"/>
      <w:numFmt w:val="bullet"/>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
      <w:numFmt w:val="bullet"/>
      <w:start w:val="1"/>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1)"/>
      <w:numFmt w:val="decimal"/>
      <w:start w:val="2"/>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
      <w:numFmt w:val="bullet"/>
      <w:start w:val="1"/>
    </w:lvl>
  </w:abstractNum>
  <w:abstractNum w:abstractNumId="50">
    <w:nsid w:val="11447B73"/>
    <w:multiLevelType w:val="hybridMultilevel"/>
    <w:lvl w:ilvl="0">
      <w:lvlJc w:val="left"/>
      <w:lvlText w:val="•"/>
      <w:numFmt w:val="bullet"/>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
      <w:numFmt w:val="bullet"/>
      <w:start w:val="1"/>
    </w:lvl>
  </w:abstractNum>
  <w:abstractNum w:abstractNumId="55">
    <w:nsid w:val="3B0FD379"/>
    <w:multiLevelType w:val="hybridMultilevel"/>
    <w:lvl w:ilvl="0">
      <w:lvlJc w:val="left"/>
      <w:lvlText w:val="(%1)"/>
      <w:numFmt w:val="lowerLetter"/>
      <w:start w:val="3"/>
    </w:lvl>
    <w:lvl w:ilvl="1">
      <w:lvlJc w:val="left"/>
      <w:lvlText w:val="•"/>
      <w:numFmt w:val="bullet"/>
      <w:start w:val="1"/>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
      <w:numFmt w:val="bullet"/>
      <w:start w:val="1"/>
    </w:lvl>
  </w:abstractNum>
  <w:abstractNum w:abstractNumId="58">
    <w:nsid w:val="60B6DF70"/>
    <w:multiLevelType w:val="hybridMultilevel"/>
    <w:lvl w:ilvl="0">
      <w:lvlJc w:val="left"/>
      <w:lvlText w:val="•"/>
      <w:numFmt w:val="bullet"/>
      <w:start w:val="1"/>
    </w:lvl>
  </w:abstractNum>
  <w:abstractNum w:abstractNumId="59">
    <w:nsid w:val="6A5EE64"/>
    <w:multiLevelType w:val="hybridMultilevel"/>
    <w:lvl w:ilvl="0">
      <w:lvlJc w:val="left"/>
      <w:lvlText w:val="•"/>
      <w:numFmt w:val="bullet"/>
      <w:start w:val="1"/>
    </w:lvl>
  </w:abstractNum>
  <w:abstractNum w:abstractNumId="60">
    <w:nsid w:val="14330624"/>
    <w:multiLevelType w:val="hybridMultilevel"/>
    <w:lvl w:ilvl="0">
      <w:lvlJc w:val="left"/>
      <w:lvlText w:val="•"/>
      <w:numFmt w:val="bullet"/>
      <w:start w:val="1"/>
    </w:lvl>
  </w:abstractNum>
  <w:abstractNum w:abstractNumId="61">
    <w:nsid w:val="7FFFCA11"/>
    <w:multiLevelType w:val="hybridMultilevel"/>
    <w:lvl w:ilvl="0">
      <w:lvlJc w:val="left"/>
      <w:lvlText w:val="*"/>
      <w:numFmt w:val="bullet"/>
      <w:start w:val="1"/>
    </w:lvl>
  </w:abstractNum>
  <w:abstractNum w:abstractNumId="62">
    <w:nsid w:val="1A27709E"/>
    <w:multiLevelType w:val="hybridMultilevel"/>
    <w:lvl w:ilvl="0">
      <w:lvlJc w:val="left"/>
      <w:lvlText w:val="(%1)"/>
      <w:numFmt w:val="decimal"/>
      <w:start w:val="1"/>
    </w:lvl>
  </w:abstractNum>
  <w:abstractNum w:abstractNumId="63">
    <w:nsid w:val="71EA1109"/>
    <w:multiLevelType w:val="hybridMultilevel"/>
    <w:lvl w:ilvl="0">
      <w:lvlJc w:val="left"/>
      <w:lvlText w:val="•"/>
      <w:numFmt w:val="bullet"/>
      <w:start w:val="1"/>
    </w:lvl>
  </w:abstractNum>
  <w:abstractNum w:abstractNumId="64">
    <w:nsid w:val="100F59DC"/>
    <w:multiLevelType w:val="hybridMultilevel"/>
    <w:lvl w:ilvl="0">
      <w:lvlJc w:val="left"/>
      <w:lvlText w:val="•"/>
      <w:numFmt w:val="bullet"/>
      <w:start w:val="1"/>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
      <w:numFmt w:val="bullet"/>
      <w:start w:val="1"/>
    </w:lvl>
  </w:abstractNum>
  <w:abstractNum w:abstractNumId="67">
    <w:nsid w:val="6F6DD9AC"/>
    <w:multiLevelType w:val="hybridMultilevel"/>
    <w:lvl w:ilvl="0">
      <w:lvlJc w:val="left"/>
      <w:lvlText w:val="(%1)"/>
      <w:numFmt w:val="lowerRoman"/>
      <w:start w:val="2"/>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
      <w:numFmt w:val="bullet"/>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
      <w:numFmt w:val="bullet"/>
      <w:start w:val="1"/>
    </w:lvl>
  </w:abstractNum>
  <w:abstractNum w:abstractNumId="72">
    <w:nsid w:val="1716703B"/>
    <w:multiLevelType w:val="hybridMultilevel"/>
    <w:lvl w:ilvl="0">
      <w:lvlJc w:val="left"/>
      <w:lvlText w:val="•"/>
      <w:numFmt w:val="bullet"/>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
      <w:numFmt w:val="bullet"/>
      <w:start w:val="1"/>
    </w:lvl>
  </w:abstractNum>
  <w:abstractNum w:abstractNumId="75">
    <w:nsid w:val="74DE0EE3"/>
    <w:multiLevelType w:val="hybridMultilevel"/>
    <w:lvl w:ilvl="0">
      <w:lvlJc w:val="left"/>
      <w:lvlText w:val="•"/>
      <w:numFmt w:val="bullet"/>
      <w:start w:val="1"/>
    </w:lvl>
  </w:abstractNum>
  <w:abstractNum w:abstractNumId="76">
    <w:nsid w:val="68EBC550"/>
    <w:multiLevelType w:val="hybridMultilevel"/>
    <w:lvl w:ilvl="0">
      <w:lvlJc w:val="left"/>
      <w:lvlText w:val="•"/>
      <w:numFmt w:val="bullet"/>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
      <w:numFmt w:val="bullet"/>
      <w:start w:val="1"/>
    </w:lvl>
  </w:abstractNum>
  <w:abstractNum w:abstractNumId="79">
    <w:nsid w:val="4A2AC315"/>
    <w:multiLevelType w:val="hybridMultilevel"/>
    <w:lvl w:ilvl="0">
      <w:lvlJc w:val="left"/>
      <w:lvlText w:val="%1."/>
      <w:numFmt w:val="lowerLetter"/>
      <w:start w:val="1"/>
    </w:lvl>
  </w:abstractNum>
  <w:abstractNum w:abstractNumId="80">
    <w:nsid w:val="39EE015C"/>
    <w:multiLevelType w:val="hybridMultilevel"/>
    <w:lvl w:ilvl="0">
      <w:lvlJc w:val="left"/>
      <w:lvlText w:val="%1."/>
      <w:numFmt w:val="lowerLetter"/>
      <w:start w:val="6"/>
    </w:lvl>
  </w:abstractNum>
  <w:abstractNum w:abstractNumId="81">
    <w:nsid w:val="57FC4FBB"/>
    <w:multiLevelType w:val="hybridMultilevel"/>
    <w:lvl w:ilvl="0">
      <w:lvlJc w:val="left"/>
      <w:lvlText w:val="%1."/>
      <w:numFmt w:val="lowerRoman"/>
      <w:start w:val="1"/>
    </w:lvl>
  </w:abstractNum>
  <w:abstractNum w:abstractNumId="82">
    <w:nsid w:val="CC1016F"/>
    <w:multiLevelType w:val="hybridMultilevel"/>
    <w:lvl w:ilvl="0">
      <w:lvlJc w:val="left"/>
      <w:lvlText w:val="%1."/>
      <w:numFmt w:val="lowerLetter"/>
      <w:start w:val="9"/>
    </w:lvl>
    <w:lvl w:ilvl="1">
      <w:lvlJc w:val="left"/>
      <w:lvlText w:val="(*)"/>
      <w:numFmt w:val="bullet"/>
      <w:start w:val="1"/>
    </w:lvl>
  </w:abstractNum>
  <w:abstractNum w:abstractNumId="83">
    <w:nsid w:val="43F18422"/>
    <w:multiLevelType w:val="hybridMultilevel"/>
    <w:lvl w:ilvl="0">
      <w:lvlJc w:val="left"/>
      <w:lvlText w:val="%1."/>
      <w:numFmt w:val="lowerLetter"/>
      <w:start w:val="12"/>
    </w:lvl>
  </w:abstractNum>
  <w:abstractNum w:abstractNumId="84">
    <w:nsid w:val="60EF0119"/>
    <w:multiLevelType w:val="hybridMultilevel"/>
    <w:lvl w:ilvl="0">
      <w:lvlJc w:val="left"/>
      <w:lvlText w:val="\emdash "/>
      <w:numFmt w:val="bullet"/>
      <w:start w:val="1"/>
    </w:lvl>
  </w:abstractNum>
  <w:abstractNum w:abstractNumId="85">
    <w:nsid w:val="26F324BA"/>
    <w:multiLevelType w:val="hybridMultilevel"/>
    <w:lvl w:ilvl="0">
      <w:lvlJc w:val="left"/>
      <w:lvlText w:val="%1."/>
      <w:numFmt w:val="lowerLetter"/>
      <w:start w:val="18"/>
    </w:lvl>
  </w:abstractNum>
  <w:abstractNum w:abstractNumId="86">
    <w:nsid w:val="7F01579B"/>
    <w:multiLevelType w:val="hybridMultilevel"/>
    <w:lvl w:ilvl="0">
      <w:lvlJc w:val="left"/>
      <w:lvlText w:val="%1."/>
      <w:numFmt w:val="lowerLetter"/>
      <w:start w:val="20"/>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1."/>
      <w:numFmt w:val="lowerLetter"/>
      <w:start w:val="5"/>
    </w:lvl>
    <w:lvl w:ilvl="1">
      <w:lvlJc w:val="left"/>
      <w:lvlText w:val="%2."/>
      <w:numFmt w:val="decimal"/>
      <w:start w:val="1"/>
    </w:lvl>
  </w:abstractNum>
  <w:abstractNum w:abstractNumId="89">
    <w:nsid w:val="5FB8370B"/>
    <w:multiLevelType w:val="hybridMultilevel"/>
    <w:lvl w:ilvl="0">
      <w:lvlJc w:val="left"/>
      <w:lvlText w:val="%1."/>
      <w:numFmt w:val="decimal"/>
      <w:start w:val="2"/>
    </w:lvl>
  </w:abstractNum>
  <w:abstractNum w:abstractNumId="90">
    <w:nsid w:val="50801EE1"/>
    <w:multiLevelType w:val="hybridMultilevel"/>
    <w:lvl w:ilvl="0">
      <w:lvlJc w:val="left"/>
      <w:lvlText w:val="%1."/>
      <w:numFmt w:val="lowerLetter"/>
      <w:start w:val="3"/>
    </w:lvl>
  </w:abstractNum>
  <w:abstractNum w:abstractNumId="91">
    <w:nsid w:val="488AC1A"/>
    <w:multiLevelType w:val="hybridMultilevel"/>
    <w:lvl w:ilvl="0">
      <w:lvlJc w:val="left"/>
      <w:lvlText w:val="%1."/>
      <w:numFmt w:val="lowerLetter"/>
      <w:start w:val="5"/>
    </w:lvl>
  </w:abstractNum>
  <w:abstractNum w:abstractNumId="92">
    <w:nsid w:val="5FB8011C"/>
    <w:multiLevelType w:val="hybridMultilevel"/>
    <w:lvl w:ilvl="0">
      <w:lvlJc w:val="left"/>
      <w:lvlText w:val="%1."/>
      <w:numFmt w:val="lowerLetter"/>
      <w:start w:val="6"/>
    </w:lvl>
  </w:abstractNum>
  <w:abstractNum w:abstractNumId="93">
    <w:nsid w:val="6AA78F7F"/>
    <w:multiLevelType w:val="hybridMultilevel"/>
    <w:lvl w:ilvl="0">
      <w:lvlJc w:val="left"/>
      <w:lvlText w:val="%1."/>
      <w:numFmt w:val="lowerRoman"/>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
      <w:numFmt w:val="bullet"/>
      <w:start w:val="1"/>
    </w:lvl>
  </w:abstractNum>
  <w:abstractNum w:abstractNumId="98">
    <w:nsid w:val="5F3534A4"/>
    <w:multiLevelType w:val="hybridMultilevel"/>
    <w:lvl w:ilvl="0">
      <w:lvlJc w:val="left"/>
      <w:lvlText w:val="•"/>
      <w:numFmt w:val="bullet"/>
      <w:start w:val="1"/>
    </w:lvl>
  </w:abstractNum>
  <w:abstractNum w:abstractNumId="99">
    <w:nsid w:val="73A1821B"/>
    <w:multiLevelType w:val="hybridMultilevel"/>
    <w:lvl w:ilvl="0">
      <w:lvlJc w:val="left"/>
      <w:lvlText w:val="•"/>
      <w:numFmt w:val="bullet"/>
      <w:start w:val="1"/>
    </w:lvl>
  </w:abstractNum>
  <w:abstractNum w:abstractNumId="100">
    <w:nsid w:val="7DE67713"/>
    <w:multiLevelType w:val="hybridMultilevel"/>
    <w:lvl w:ilvl="0">
      <w:lvlJc w:val="left"/>
      <w:lvlText w:val="(%1)"/>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2019-12-08T11:31:49Z</dcterms:created>
  <dcterms:modified xsi:type="dcterms:W3CDTF">2019-12-08T11:31:49Z</dcterms:modified>
</cp:coreProperties>
</file>