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172085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24"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SECURITIES AND EXCHANGE COMMISSION</w:t>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Washington, D.C. 20549</w:t>
      </w:r>
    </w:p>
    <w:p>
      <w:pPr>
        <w:spacing w:after="0" w:line="182"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FORM 6-K</w:t>
      </w:r>
    </w:p>
    <w:p>
      <w:pPr>
        <w:spacing w:after="0" w:line="198"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REPORT OF FOREIGN PRIVATE ISSUER</w:t>
      </w:r>
    </w:p>
    <w:p>
      <w:pPr>
        <w:spacing w:after="0" w:line="24"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PURSUANT TO RULE 13a-16 OR 15d-16 OF</w:t>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THE SECURITIES EXCHANGE ACT OF 1934</w:t>
      </w:r>
    </w:p>
    <w:p>
      <w:pPr>
        <w:spacing w:after="0" w:line="182"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 xml:space="preserve">For the month of </w:t>
      </w:r>
      <w:r>
        <w:rPr>
          <w:rFonts w:ascii="Arial" w:cs="Arial" w:eastAsia="Arial" w:hAnsi="Arial"/>
          <w:sz w:val="16"/>
          <w:szCs w:val="16"/>
          <w:b w:val="1"/>
          <w:bCs w:val="1"/>
          <w:color w:val="auto"/>
        </w:rPr>
        <w:t>August 2023</w:t>
      </w:r>
    </w:p>
    <w:p>
      <w:pPr>
        <w:spacing w:after="0" w:line="198"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001-36903</w:t>
      </w:r>
    </w:p>
    <w:p>
      <w:pPr>
        <w:spacing w:after="0" w:line="178" w:lineRule="exact"/>
        <w:rPr>
          <w:sz w:val="24"/>
          <w:szCs w:val="24"/>
          <w:color w:val="auto"/>
        </w:rPr>
      </w:pPr>
    </w:p>
    <w:p>
      <w:pPr>
        <w:ind w:left="4060"/>
        <w:spacing w:after="0"/>
        <w:rPr>
          <w:sz w:val="20"/>
          <w:szCs w:val="20"/>
          <w:color w:val="auto"/>
        </w:rPr>
      </w:pPr>
      <w:r>
        <w:rPr>
          <w:rFonts w:ascii="Arial" w:cs="Arial" w:eastAsia="Arial" w:hAnsi="Arial"/>
          <w:sz w:val="29"/>
          <w:szCs w:val="29"/>
          <w:b w:val="1"/>
          <w:bCs w:val="1"/>
          <w:color w:val="auto"/>
        </w:rPr>
        <w:t>KORNIT DIGITAL LTD.</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(Translation of Registrant’s name into English)</w:t>
      </w:r>
    </w:p>
    <w:p>
      <w:pPr>
        <w:spacing w:after="0" w:line="180"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12 Ha’Amal Street</w:t>
      </w:r>
    </w:p>
    <w:p>
      <w:pPr>
        <w:spacing w:after="0" w:line="24"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Park Afek</w:t>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Rosh Ha’Ayin 4824096 Israel</w:t>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(Address of Principal Executive Office)</w:t>
      </w:r>
    </w:p>
    <w:p>
      <w:pPr>
        <w:spacing w:after="0" w:line="186"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files or will file annual reports under cover of Form 20-F or Form 40-F.</w:t>
      </w:r>
    </w:p>
    <w:p>
      <w:pPr>
        <w:spacing w:after="0" w:line="182" w:lineRule="exact"/>
        <w:rPr>
          <w:sz w:val="24"/>
          <w:szCs w:val="24"/>
          <w:color w:val="auto"/>
        </w:rPr>
      </w:pPr>
    </w:p>
    <w:p>
      <w:pPr>
        <w:ind w:left="4740"/>
        <w:spacing w:after="0" w:line="184" w:lineRule="exact"/>
        <w:rPr>
          <w:sz w:val="20"/>
          <w:szCs w:val="20"/>
          <w:color w:val="auto"/>
        </w:rPr>
      </w:pPr>
      <w:r>
        <w:rPr>
          <w:rFonts w:ascii="Arial" w:cs="Arial" w:eastAsia="Arial" w:hAnsi="Arial"/>
          <w:sz w:val="16"/>
          <w:szCs w:val="16"/>
          <w:color w:val="auto"/>
        </w:rPr>
        <w:t xml:space="preserve">Form 20-F </w:t>
      </w:r>
      <w:r>
        <w:rPr>
          <w:rFonts w:ascii="MS PGothic" w:cs="MS PGothic" w:eastAsia="MS PGothic" w:hAnsi="MS PGothic"/>
          <w:sz w:val="16"/>
          <w:szCs w:val="16"/>
          <w:color w:val="auto"/>
        </w:rPr>
        <w:t>☒</w:t>
      </w:r>
      <w:r>
        <w:rPr>
          <w:rFonts w:ascii="Arial" w:cs="Arial" w:eastAsia="Arial" w:hAnsi="Arial"/>
          <w:sz w:val="16"/>
          <w:szCs w:val="16"/>
          <w:color w:val="auto"/>
        </w:rPr>
        <w:t xml:space="preserve"> 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159385</wp:posOffset>
            </wp:positionV>
            <wp:extent cx="71481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174625</wp:posOffset>
            </wp:positionV>
            <wp:extent cx="714819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568960</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39"/>
          </w:cols>
          <w:pgMar w:left="320" w:top="458"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CONTENTS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Results of Operations and Financial Condition- Quarter and Six Months Ended June 30, 2023</w:t>
      </w:r>
    </w:p>
    <w:p>
      <w:pPr>
        <w:spacing w:after="0" w:line="194" w:lineRule="exact"/>
        <w:rPr>
          <w:sz w:val="20"/>
          <w:szCs w:val="20"/>
          <w:color w:val="auto"/>
        </w:rPr>
      </w:pPr>
    </w:p>
    <w:p>
      <w:pPr>
        <w:ind w:right="180" w:firstLine="565"/>
        <w:spacing w:after="0" w:line="315" w:lineRule="auto"/>
        <w:rPr>
          <w:sz w:val="20"/>
          <w:szCs w:val="20"/>
          <w:color w:val="auto"/>
        </w:rPr>
      </w:pPr>
      <w:r>
        <w:rPr>
          <w:rFonts w:ascii="Arial" w:cs="Arial" w:eastAsia="Arial" w:hAnsi="Arial"/>
          <w:sz w:val="15"/>
          <w:szCs w:val="15"/>
          <w:color w:val="auto"/>
        </w:rPr>
        <w:t>On August 9, 2023, Kornit Digital Ltd. (“</w:t>
      </w:r>
      <w:r>
        <w:rPr>
          <w:rFonts w:ascii="Arial" w:cs="Arial" w:eastAsia="Arial" w:hAnsi="Arial"/>
          <w:sz w:val="15"/>
          <w:szCs w:val="15"/>
          <w:b w:val="1"/>
          <w:bCs w:val="1"/>
          <w:color w:val="auto"/>
        </w:rPr>
        <w:t>Kornit</w:t>
      </w:r>
      <w:r>
        <w:rPr>
          <w:rFonts w:ascii="Arial" w:cs="Arial" w:eastAsia="Arial" w:hAnsi="Arial"/>
          <w:sz w:val="15"/>
          <w:szCs w:val="15"/>
          <w:color w:val="auto"/>
        </w:rPr>
        <w:t xml:space="preserve">”) issued a press release entitled “Kornit Digital Reports Second Quarter 2023 Results,” in which Kornit reported its results of operations for the second quarter and six months ended June 30, 2023. A copy of that press release is furnished as </w:t>
      </w:r>
      <w:r>
        <w:rPr>
          <w:rFonts w:ascii="Arial" w:cs="Arial" w:eastAsia="Arial" w:hAnsi="Arial"/>
          <w:sz w:val="15"/>
          <w:szCs w:val="15"/>
          <w:u w:val="single" w:color="auto"/>
          <w:color w:val="auto"/>
        </w:rPr>
        <w:t>Exhibit 99.1</w:t>
      </w:r>
      <w:r>
        <w:rPr>
          <w:rFonts w:ascii="Arial" w:cs="Arial" w:eastAsia="Arial" w:hAnsi="Arial"/>
          <w:sz w:val="15"/>
          <w:szCs w:val="15"/>
          <w:color w:val="auto"/>
        </w:rPr>
        <w:t xml:space="preserve"> hereto.</w:t>
      </w:r>
    </w:p>
    <w:p>
      <w:pPr>
        <w:spacing w:after="0" w:line="125" w:lineRule="exact"/>
        <w:rPr>
          <w:sz w:val="20"/>
          <w:szCs w:val="20"/>
          <w:color w:val="auto"/>
        </w:rPr>
      </w:pPr>
    </w:p>
    <w:p>
      <w:pPr>
        <w:ind w:right="60" w:firstLine="565"/>
        <w:spacing w:after="0" w:line="262" w:lineRule="auto"/>
        <w:rPr>
          <w:sz w:val="20"/>
          <w:szCs w:val="20"/>
          <w:color w:val="auto"/>
        </w:rPr>
      </w:pPr>
      <w:r>
        <w:rPr>
          <w:rFonts w:ascii="Arial" w:cs="Arial" w:eastAsia="Arial" w:hAnsi="Arial"/>
          <w:sz w:val="16"/>
          <w:szCs w:val="16"/>
          <w:color w:val="auto"/>
        </w:rPr>
        <w:t xml:space="preserve">Kornit is holding a conference call on August 9, 2023 to discuss its results for the quarter and six months ended June 30, 2023, and, in connection with that call, will make available to its investors a slide presentation to provide additional information regarding its business and its financial results. That slide presentation is attached as </w:t>
      </w:r>
      <w:r>
        <w:rPr>
          <w:rFonts w:ascii="Arial" w:cs="Arial" w:eastAsia="Arial" w:hAnsi="Arial"/>
          <w:sz w:val="16"/>
          <w:szCs w:val="16"/>
          <w:u w:val="single" w:color="auto"/>
          <w:color w:val="auto"/>
        </w:rPr>
        <w:t>Exhibit</w:t>
      </w:r>
      <w:r>
        <w:rPr>
          <w:rFonts w:ascii="Arial" w:cs="Arial" w:eastAsia="Arial" w:hAnsi="Arial"/>
          <w:sz w:val="16"/>
          <w:szCs w:val="16"/>
          <w:color w:val="auto"/>
        </w:rPr>
        <w:t xml:space="preserve"> </w:t>
      </w:r>
      <w:r>
        <w:rPr>
          <w:rFonts w:ascii="Arial" w:cs="Arial" w:eastAsia="Arial" w:hAnsi="Arial"/>
          <w:sz w:val="16"/>
          <w:szCs w:val="16"/>
          <w:u w:val="single" w:color="auto"/>
          <w:color w:val="auto"/>
        </w:rPr>
        <w:t>99.2</w:t>
      </w:r>
      <w:r>
        <w:rPr>
          <w:rFonts w:ascii="Arial" w:cs="Arial" w:eastAsia="Arial" w:hAnsi="Arial"/>
          <w:sz w:val="16"/>
          <w:szCs w:val="16"/>
          <w:color w:val="auto"/>
        </w:rPr>
        <w:t xml:space="preserve"> to this Report of Foreign Private Issuer on Form 6-K (this “</w:t>
      </w:r>
      <w:r>
        <w:rPr>
          <w:rFonts w:ascii="Arial" w:cs="Arial" w:eastAsia="Arial" w:hAnsi="Arial"/>
          <w:sz w:val="16"/>
          <w:szCs w:val="16"/>
          <w:b w:val="1"/>
          <w:bCs w:val="1"/>
          <w:color w:val="auto"/>
        </w:rPr>
        <w:t>Form 6-K</w:t>
      </w:r>
      <w:r>
        <w:rPr>
          <w:rFonts w:ascii="Arial" w:cs="Arial" w:eastAsia="Arial" w:hAnsi="Arial"/>
          <w:sz w:val="16"/>
          <w:szCs w:val="16"/>
          <w:color w:val="auto"/>
        </w:rPr>
        <w:t>”) and is incorporated herein by reference.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Incorporation by Reference</w:t>
      </w:r>
    </w:p>
    <w:p>
      <w:pPr>
        <w:spacing w:after="0" w:line="198" w:lineRule="exact"/>
        <w:rPr>
          <w:sz w:val="20"/>
          <w:szCs w:val="20"/>
          <w:color w:val="auto"/>
        </w:rPr>
      </w:pPr>
    </w:p>
    <w:p>
      <w:pPr>
        <w:ind w:right="240" w:firstLine="565"/>
        <w:spacing w:after="0" w:line="258" w:lineRule="auto"/>
        <w:rPr>
          <w:rFonts w:ascii="Arial" w:cs="Arial" w:eastAsia="Arial" w:hAnsi="Arial"/>
          <w:sz w:val="16"/>
          <w:szCs w:val="16"/>
          <w:color w:val="0000EE"/>
        </w:rPr>
      </w:pPr>
      <w:r>
        <w:rPr>
          <w:rFonts w:ascii="Arial" w:cs="Arial" w:eastAsia="Arial" w:hAnsi="Arial"/>
          <w:sz w:val="16"/>
          <w:szCs w:val="16"/>
          <w:color w:val="auto"/>
        </w:rPr>
        <w:t xml:space="preserve">The U.S. GAAP financial information contained in the (i) consolidated balance sheets, (ii) consolidated statements of operations and (iii) consolidated statements of cash flows included in the press release attached as Exhibit 99.1 to this Report of Foreign Private Issuer on Form 6-K is hereby incorporated by reference into Kornit’s </w:t>
      </w:r>
      <w:hyperlink r:id="rId13">
        <w:r>
          <w:rPr>
            <w:rFonts w:ascii="Arial" w:cs="Arial" w:eastAsia="Arial" w:hAnsi="Arial"/>
            <w:sz w:val="16"/>
            <w:szCs w:val="16"/>
            <w:color w:val="auto"/>
          </w:rPr>
          <w:t xml:space="preserve">Registration Statements on Form F-3 (File No. </w:t>
        </w:r>
        <w:r>
          <w:rPr>
            <w:rFonts w:ascii="Arial" w:cs="Arial" w:eastAsia="Arial" w:hAnsi="Arial"/>
            <w:sz w:val="16"/>
            <w:szCs w:val="16"/>
            <w:u w:val="single" w:color="auto"/>
            <w:color w:val="0000EE"/>
          </w:rPr>
          <w:t>333-248784</w:t>
        </w:r>
        <w:r>
          <w:rPr>
            <w:rFonts w:ascii="Arial" w:cs="Arial" w:eastAsia="Arial" w:hAnsi="Arial"/>
            <w:sz w:val="16"/>
            <w:szCs w:val="16"/>
            <w:color w:val="auto"/>
          </w:rPr>
          <w:t xml:space="preserve">) and Form S-8 (File No.’s </w:t>
        </w:r>
        <w:r>
          <w:rPr>
            <w:rFonts w:ascii="Arial" w:cs="Arial" w:eastAsia="Arial" w:hAnsi="Arial"/>
            <w:sz w:val="16"/>
            <w:szCs w:val="16"/>
            <w:u w:val="single" w:color="auto"/>
            <w:color w:val="0000EE"/>
          </w:rPr>
          <w:t>333-203970</w:t>
        </w:r>
        <w:r>
          <w:rPr>
            <w:rFonts w:ascii="Arial" w:cs="Arial" w:eastAsia="Arial" w:hAnsi="Arial"/>
            <w:sz w:val="16"/>
            <w:szCs w:val="16"/>
            <w:color w:val="auto"/>
          </w:rPr>
          <w:t xml:space="preserve">, </w:t>
        </w:r>
        <w:r>
          <w:rPr>
            <w:rFonts w:ascii="Arial" w:cs="Arial" w:eastAsia="Arial" w:hAnsi="Arial"/>
            <w:sz w:val="16"/>
            <w:szCs w:val="16"/>
            <w:u w:val="single" w:color="auto"/>
            <w:color w:val="0000EE"/>
          </w:rPr>
          <w:t>333-214015</w:t>
        </w:r>
        <w:r>
          <w:rPr>
            <w:rFonts w:ascii="Arial" w:cs="Arial" w:eastAsia="Arial" w:hAnsi="Arial"/>
            <w:sz w:val="16"/>
            <w:szCs w:val="16"/>
            <w:color w:val="auto"/>
          </w:rPr>
          <w:t xml:space="preserve">, </w:t>
        </w:r>
        <w:r>
          <w:rPr>
            <w:rFonts w:ascii="Arial" w:cs="Arial" w:eastAsia="Arial" w:hAnsi="Arial"/>
            <w:sz w:val="16"/>
            <w:szCs w:val="16"/>
            <w:u w:val="single" w:color="auto"/>
            <w:color w:val="0000EE"/>
          </w:rPr>
          <w:t>333-217039</w:t>
        </w:r>
        <w:r>
          <w:rPr>
            <w:rFonts w:ascii="Arial" w:cs="Arial" w:eastAsia="Arial" w:hAnsi="Arial"/>
            <w:sz w:val="16"/>
            <w:szCs w:val="16"/>
            <w:color w:val="auto"/>
          </w:rPr>
          <w:t xml:space="preserve">, </w:t>
        </w:r>
        <w:r>
          <w:rPr>
            <w:rFonts w:ascii="Arial" w:cs="Arial" w:eastAsia="Arial" w:hAnsi="Arial"/>
            <w:sz w:val="16"/>
            <w:szCs w:val="16"/>
            <w:u w:val="single" w:color="auto"/>
            <w:color w:val="0000EE"/>
          </w:rPr>
          <w:t>333-223794</w:t>
        </w:r>
        <w:r>
          <w:rPr>
            <w:rFonts w:ascii="Arial" w:cs="Arial" w:eastAsia="Arial" w:hAnsi="Arial"/>
            <w:sz w:val="16"/>
            <w:szCs w:val="16"/>
            <w:color w:val="auto"/>
          </w:rPr>
          <w:t xml:space="preserve">, </w:t>
        </w:r>
        <w:r>
          <w:rPr>
            <w:rFonts w:ascii="Arial" w:cs="Arial" w:eastAsia="Arial" w:hAnsi="Arial"/>
            <w:sz w:val="16"/>
            <w:szCs w:val="16"/>
            <w:u w:val="single" w:color="auto"/>
            <w:color w:val="0000EE"/>
          </w:rPr>
          <w:t>333-230567</w:t>
        </w:r>
        <w:r>
          <w:rPr>
            <w:rFonts w:ascii="Arial" w:cs="Arial" w:eastAsia="Arial" w:hAnsi="Arial"/>
            <w:sz w:val="16"/>
            <w:szCs w:val="16"/>
            <w:color w:val="auto"/>
          </w:rPr>
          <w:t xml:space="preserve">, </w:t>
        </w:r>
        <w:r>
          <w:rPr>
            <w:rFonts w:ascii="Arial" w:cs="Arial" w:eastAsia="Arial" w:hAnsi="Arial"/>
            <w:sz w:val="16"/>
            <w:szCs w:val="16"/>
            <w:u w:val="single" w:color="auto"/>
            <w:color w:val="0000EE"/>
          </w:rPr>
          <w:t>333-237346</w:t>
        </w:r>
        <w:r>
          <w:rPr>
            <w:rFonts w:ascii="Arial" w:cs="Arial" w:eastAsia="Arial" w:hAnsi="Arial"/>
            <w:sz w:val="16"/>
            <w:szCs w:val="16"/>
            <w:color w:val="auto"/>
          </w:rPr>
          <w:t xml:space="preserve">, </w:t>
        </w:r>
        <w:r>
          <w:rPr>
            <w:rFonts w:ascii="Arial" w:cs="Arial" w:eastAsia="Arial" w:hAnsi="Arial"/>
            <w:sz w:val="16"/>
            <w:szCs w:val="16"/>
            <w:color w:val="0000EE"/>
          </w:rPr>
          <w:t>333-</w:t>
        </w:r>
      </w:hyperlink>
      <w:hyperlink r:id="rId13">
        <w:r>
          <w:rPr>
            <w:rFonts w:ascii="Arial" w:cs="Arial" w:eastAsia="Arial" w:hAnsi="Arial"/>
            <w:sz w:val="16"/>
            <w:szCs w:val="16"/>
            <w:u w:val="single" w:color="auto"/>
            <w:color w:val="0000EE"/>
          </w:rPr>
          <w:t>254749</w:t>
        </w:r>
        <w:r>
          <w:rPr>
            <w:rFonts w:ascii="Arial" w:cs="Arial" w:eastAsia="Arial" w:hAnsi="Arial"/>
            <w:sz w:val="16"/>
            <w:szCs w:val="16"/>
            <w:color w:val="000000"/>
          </w:rPr>
          <w:t>, and</w:t>
        </w:r>
        <w:r>
          <w:rPr>
            <w:rFonts w:ascii="Arial" w:cs="Arial" w:eastAsia="Arial" w:hAnsi="Arial"/>
            <w:sz w:val="16"/>
            <w:szCs w:val="16"/>
            <w:color w:val="0000EE"/>
          </w:rPr>
          <w:t xml:space="preserve"> </w:t>
        </w:r>
      </w:hyperlink>
      <w:hyperlink r:id="rId14">
        <w:r>
          <w:rPr>
            <w:rFonts w:ascii="Arial" w:cs="Arial" w:eastAsia="Arial" w:hAnsi="Arial"/>
            <w:sz w:val="16"/>
            <w:szCs w:val="16"/>
            <w:u w:val="single" w:color="auto"/>
            <w:color w:val="0000EE"/>
          </w:rPr>
          <w:t>333-263975</w:t>
        </w:r>
      </w:hyperlink>
      <w:hyperlink r:id="rId13">
        <w:r>
          <w:rPr>
            <w:rFonts w:ascii="Arial" w:cs="Arial" w:eastAsia="Arial" w:hAnsi="Arial"/>
            <w:sz w:val="16"/>
            <w:szCs w:val="16"/>
            <w:color w:val="000000"/>
          </w:rPr>
          <w:t>).</w:t>
        </w:r>
      </w:hyperlink>
    </w:p>
    <w:p>
      <w:pPr>
        <w:spacing w:after="0" w:line="20" w:lineRule="exact"/>
        <w:rPr>
          <w:rFonts w:ascii="Arial" w:cs="Arial" w:eastAsia="Arial" w:hAnsi="Arial"/>
          <w:sz w:val="16"/>
          <w:szCs w:val="16"/>
          <w:color w:val="0000EE"/>
        </w:rPr>
      </w:pPr>
      <w:r>
        <w:rPr>
          <w:rFonts w:ascii="Arial" w:cs="Arial" w:eastAsia="Arial" w:hAnsi="Arial"/>
          <w:sz w:val="16"/>
          <w:szCs w:val="16"/>
          <w:color w:val="0000EE"/>
        </w:rPr>
        <w:drawing>
          <wp:anchor simplePos="0" relativeHeight="251657728" behindDoc="1" locked="0" layoutInCell="0" allowOverlap="1">
            <wp:simplePos x="0" y="0"/>
            <wp:positionH relativeFrom="column">
              <wp:posOffset>6711950</wp:posOffset>
            </wp:positionH>
            <wp:positionV relativeFrom="paragraph">
              <wp:posOffset>-152400</wp:posOffset>
            </wp:positionV>
            <wp:extent cx="21082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10820" cy="7620"/>
                    </a:xfrm>
                    <a:prstGeom prst="rect">
                      <a:avLst/>
                    </a:prstGeom>
                    <a:noFill/>
                  </pic:spPr>
                </pic:pic>
              </a:graphicData>
            </a:graphic>
          </wp:anchor>
        </w:drawing>
      </w:r>
    </w:p>
    <w:p>
      <w:pPr>
        <w:spacing w:after="0" w:line="145" w:lineRule="exact"/>
        <w:rPr>
          <w:rFonts w:ascii="Arial" w:cs="Arial" w:eastAsia="Arial" w:hAnsi="Arial"/>
          <w:sz w:val="16"/>
          <w:szCs w:val="16"/>
          <w:color w:val="0000EE"/>
        </w:rPr>
      </w:pPr>
    </w:p>
    <w:tbl>
      <w:tblPr>
        <w:tblLayout w:type="fixed"/>
        <w:tblInd w:w="0" w:type="dxa"/>
        <w:tblCellMar>
          <w:top w:w="0" w:type="dxa"/>
          <w:left w:w="0" w:type="dxa"/>
          <w:bottom w:w="0" w:type="dxa"/>
          <w:right w:w="0" w:type="dxa"/>
        </w:tblCellMar>
      </w:tblPr>
      <w:tr>
        <w:trPr>
          <w:trHeight w:val="204"/>
        </w:trPr>
        <w:tc>
          <w:tcPr>
            <w:tcW w:w="1020" w:type="dxa"/>
            <w:vAlign w:val="bottom"/>
          </w:tcPr>
          <w:p>
            <w:pPr>
              <w:spacing w:after="0"/>
              <w:rPr>
                <w:sz w:val="20"/>
                <w:szCs w:val="20"/>
                <w:color w:val="auto"/>
              </w:rPr>
            </w:pPr>
            <w:r>
              <w:rPr>
                <w:rFonts w:ascii="Arial" w:cs="Arial" w:eastAsia="Arial" w:hAnsi="Arial"/>
                <w:sz w:val="16"/>
                <w:szCs w:val="16"/>
                <w:b w:val="1"/>
                <w:bCs w:val="1"/>
                <w:i w:val="1"/>
                <w:iCs w:val="1"/>
                <w:color w:val="auto"/>
              </w:rPr>
              <w:t>Exhibits</w:t>
            </w:r>
          </w:p>
        </w:tc>
        <w:tc>
          <w:tcPr>
            <w:tcW w:w="100" w:type="dxa"/>
            <w:vAlign w:val="bottom"/>
          </w:tcPr>
          <w:p>
            <w:pPr>
              <w:spacing w:after="0"/>
              <w:rPr>
                <w:sz w:val="17"/>
                <w:szCs w:val="17"/>
                <w:color w:val="auto"/>
              </w:rPr>
            </w:pPr>
          </w:p>
        </w:tc>
        <w:tc>
          <w:tcPr>
            <w:tcW w:w="618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86"/>
        </w:trPr>
        <w:tc>
          <w:tcPr>
            <w:tcW w:w="10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Exhibit No.</w:t>
            </w:r>
          </w:p>
        </w:tc>
        <w:tc>
          <w:tcPr>
            <w:tcW w:w="100" w:type="dxa"/>
            <w:vAlign w:val="bottom"/>
            <w:tcBorders>
              <w:bottom w:val="single" w:sz="8" w:color="CCEEFF"/>
            </w:tcBorders>
          </w:tcPr>
          <w:p>
            <w:pPr>
              <w:spacing w:after="0"/>
              <w:rPr>
                <w:sz w:val="24"/>
                <w:szCs w:val="24"/>
                <w:color w:val="auto"/>
              </w:rPr>
            </w:pPr>
          </w:p>
        </w:tc>
        <w:tc>
          <w:tcPr>
            <w:tcW w:w="10140" w:type="dxa"/>
            <w:vAlign w:val="bottom"/>
            <w:tcBorders>
              <w:bottom w:val="single" w:sz="8" w:color="auto"/>
            </w:tcBorders>
            <w:gridSpan w:val="3"/>
          </w:tcPr>
          <w:p>
            <w:pPr>
              <w:ind w:left="4680"/>
              <w:spacing w:after="0"/>
              <w:rPr>
                <w:sz w:val="20"/>
                <w:szCs w:val="20"/>
                <w:color w:val="auto"/>
              </w:rPr>
            </w:pPr>
            <w:r>
              <w:rPr>
                <w:rFonts w:ascii="Arial" w:cs="Arial" w:eastAsia="Arial" w:hAnsi="Arial"/>
                <w:sz w:val="16"/>
                <w:szCs w:val="16"/>
                <w:b w:val="1"/>
                <w:bCs w:val="1"/>
                <w:color w:val="auto"/>
              </w:rPr>
              <w:t>Description</w:t>
            </w:r>
          </w:p>
        </w:tc>
      </w:tr>
      <w:tr>
        <w:trPr>
          <w:trHeight w:val="171"/>
        </w:trPr>
        <w:tc>
          <w:tcPr>
            <w:tcW w:w="102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99.1</w:t>
            </w:r>
          </w:p>
        </w:tc>
        <w:tc>
          <w:tcPr>
            <w:tcW w:w="100" w:type="dxa"/>
            <w:vAlign w:val="bottom"/>
            <w:shd w:val="clear" w:color="auto" w:fill="CCEEFF"/>
          </w:tcPr>
          <w:p>
            <w:pPr>
              <w:spacing w:after="0"/>
              <w:rPr>
                <w:sz w:val="14"/>
                <w:szCs w:val="14"/>
                <w:color w:val="auto"/>
              </w:rPr>
            </w:pPr>
          </w:p>
        </w:tc>
        <w:tc>
          <w:tcPr>
            <w:tcW w:w="10140" w:type="dxa"/>
            <w:vAlign w:val="bottom"/>
            <w:gridSpan w:val="3"/>
            <w:shd w:val="clear" w:color="auto" w:fill="CCEEFF"/>
          </w:tcPr>
          <w:p>
            <w:pPr>
              <w:spacing w:after="0" w:line="155" w:lineRule="exact"/>
              <w:rPr>
                <w:sz w:val="20"/>
                <w:szCs w:val="20"/>
                <w:color w:val="auto"/>
              </w:rPr>
            </w:pPr>
            <w:r>
              <w:rPr>
                <w:rFonts w:ascii="Arial" w:cs="Arial" w:eastAsia="Arial" w:hAnsi="Arial"/>
                <w:sz w:val="16"/>
                <w:szCs w:val="16"/>
                <w:color w:val="0000EE"/>
              </w:rPr>
              <w:t>Press release, dated August 9, 2023, titled “Kornit Digital Reports Second Quarter 2023 Results”</w:t>
            </w:r>
          </w:p>
        </w:tc>
      </w:tr>
      <w:tr>
        <w:trPr>
          <w:trHeight w:val="191"/>
        </w:trPr>
        <w:tc>
          <w:tcPr>
            <w:tcW w:w="10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6180" w:type="dxa"/>
            <w:vAlign w:val="bottom"/>
            <w:tcBorders>
              <w:top w:val="single" w:sz="8" w:color="0000EE"/>
            </w:tcBorders>
          </w:tcPr>
          <w:p>
            <w:pPr>
              <w:spacing w:after="0"/>
              <w:rPr>
                <w:sz w:val="16"/>
                <w:szCs w:val="16"/>
                <w:color w:val="auto"/>
              </w:rPr>
            </w:pPr>
          </w:p>
        </w:tc>
        <w:tc>
          <w:tcPr>
            <w:tcW w:w="390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r>
      <w:tr>
        <w:trPr>
          <w:trHeight w:val="171"/>
        </w:trPr>
        <w:tc>
          <w:tcPr>
            <w:tcW w:w="102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99.2</w:t>
            </w:r>
          </w:p>
        </w:tc>
        <w:tc>
          <w:tcPr>
            <w:tcW w:w="100" w:type="dxa"/>
            <w:vAlign w:val="bottom"/>
            <w:tcBorders>
              <w:bottom w:val="single" w:sz="8" w:color="CCEEFF"/>
            </w:tcBorders>
            <w:shd w:val="clear" w:color="auto" w:fill="CCEEFF"/>
          </w:tcPr>
          <w:p>
            <w:pPr>
              <w:spacing w:after="0"/>
              <w:rPr>
                <w:sz w:val="14"/>
                <w:szCs w:val="14"/>
                <w:color w:val="auto"/>
              </w:rPr>
            </w:pPr>
          </w:p>
        </w:tc>
        <w:tc>
          <w:tcPr>
            <w:tcW w:w="10080" w:type="dxa"/>
            <w:vAlign w:val="bottom"/>
            <w:tcBorders>
              <w:bottom w:val="single" w:sz="8" w:color="0000EE"/>
            </w:tcBorders>
            <w:gridSpan w:val="2"/>
            <w:shd w:val="clear" w:color="auto" w:fill="CCEEFF"/>
          </w:tcPr>
          <w:p>
            <w:pPr>
              <w:spacing w:after="0" w:line="155" w:lineRule="exact"/>
              <w:rPr>
                <w:sz w:val="20"/>
                <w:szCs w:val="20"/>
                <w:color w:val="auto"/>
              </w:rPr>
            </w:pPr>
            <w:r>
              <w:rPr>
                <w:rFonts w:ascii="Arial" w:cs="Arial" w:eastAsia="Arial" w:hAnsi="Arial"/>
                <w:sz w:val="16"/>
                <w:szCs w:val="16"/>
                <w:color w:val="0000EE"/>
                <w:w w:val="89"/>
              </w:rPr>
              <w:t>Slide presentation for conference call of Kornit held on August 9, 2023 discussing financial results for the second quarter and six months ended June 30, 2023</w:t>
            </w:r>
          </w:p>
        </w:tc>
        <w:tc>
          <w:tcPr>
            <w:tcW w:w="60" w:type="dxa"/>
            <w:vAlign w:val="bottom"/>
            <w:tcBorders>
              <w:bottom w:val="single" w:sz="8" w:color="CCEEFF"/>
            </w:tcBorders>
            <w:shd w:val="clear" w:color="auto" w:fill="CCEEFF"/>
          </w:tcPr>
          <w:p>
            <w:pPr>
              <w:spacing w:after="0"/>
              <w:rPr>
                <w:sz w:val="14"/>
                <w:szCs w:val="14"/>
                <w:color w:val="auto"/>
              </w:rPr>
            </w:pPr>
          </w:p>
        </w:tc>
      </w:tr>
      <w:tr>
        <w:trPr>
          <w:trHeight w:val="577"/>
        </w:trPr>
        <w:tc>
          <w:tcPr>
            <w:tcW w:w="1020" w:type="dxa"/>
            <w:vAlign w:val="bottom"/>
            <w:tcBorders>
              <w:bottom w:val="single" w:sz="8" w:color="auto"/>
            </w:tcBorders>
          </w:tcPr>
          <w:p>
            <w:pPr>
              <w:spacing w:after="0"/>
              <w:rPr>
                <w:sz w:val="24"/>
                <w:szCs w:val="24"/>
                <w:color w:val="auto"/>
              </w:rPr>
            </w:pPr>
          </w:p>
        </w:tc>
        <w:tc>
          <w:tcPr>
            <w:tcW w:w="6280" w:type="dxa"/>
            <w:vAlign w:val="bottom"/>
            <w:tcBorders>
              <w:bottom w:val="single" w:sz="8" w:color="auto"/>
            </w:tcBorders>
            <w:gridSpan w:val="2"/>
          </w:tcPr>
          <w:p>
            <w:pPr>
              <w:jc w:val="right"/>
              <w:ind w:right="1560"/>
              <w:spacing w:after="0"/>
              <w:rPr>
                <w:sz w:val="20"/>
                <w:szCs w:val="20"/>
                <w:color w:val="auto"/>
              </w:rPr>
            </w:pPr>
            <w:r>
              <w:rPr>
                <w:rFonts w:ascii="Arial" w:cs="Arial" w:eastAsia="Arial" w:hAnsi="Arial"/>
                <w:sz w:val="16"/>
                <w:szCs w:val="16"/>
                <w:color w:val="auto"/>
              </w:rPr>
              <w:t>1</w:t>
            </w:r>
          </w:p>
        </w:tc>
        <w:tc>
          <w:tcPr>
            <w:tcW w:w="3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16"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SIGNATURES</w:t>
      </w:r>
    </w:p>
    <w:p>
      <w:pPr>
        <w:spacing w:after="0" w:line="202" w:lineRule="exact"/>
        <w:rPr>
          <w:sz w:val="20"/>
          <w:szCs w:val="20"/>
          <w:color w:val="auto"/>
        </w:rPr>
      </w:pPr>
    </w:p>
    <w:p>
      <w:pPr>
        <w:ind w:right="120" w:firstLine="565"/>
        <w:spacing w:after="0" w:line="275"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60" w:type="dxa"/>
            <w:vAlign w:val="bottom"/>
          </w:tcPr>
          <w:p>
            <w:pPr>
              <w:spacing w:after="0"/>
              <w:rPr>
                <w:sz w:val="17"/>
                <w:szCs w:val="17"/>
                <w:color w:val="auto"/>
              </w:rPr>
            </w:pPr>
          </w:p>
        </w:tc>
        <w:tc>
          <w:tcPr>
            <w:tcW w:w="7800" w:type="dxa"/>
            <w:vAlign w:val="bottom"/>
            <w:gridSpan w:val="2"/>
          </w:tcPr>
          <w:p>
            <w:pPr>
              <w:ind w:left="3280"/>
              <w:spacing w:after="0"/>
              <w:rPr>
                <w:sz w:val="20"/>
                <w:szCs w:val="20"/>
                <w:color w:val="auto"/>
              </w:rPr>
            </w:pPr>
            <w:r>
              <w:rPr>
                <w:rFonts w:ascii="Arial" w:cs="Arial" w:eastAsia="Arial" w:hAnsi="Arial"/>
                <w:sz w:val="16"/>
                <w:szCs w:val="16"/>
                <w:color w:val="auto"/>
              </w:rPr>
              <w:t>KORNIT DIGITAL LTD.</w:t>
            </w:r>
          </w:p>
        </w:tc>
      </w:tr>
      <w:tr>
        <w:trPr>
          <w:trHeight w:val="386"/>
        </w:trPr>
        <w:tc>
          <w:tcPr>
            <w:tcW w:w="3460" w:type="dxa"/>
            <w:vAlign w:val="bottom"/>
          </w:tcPr>
          <w:p>
            <w:pPr>
              <w:spacing w:after="0"/>
              <w:rPr>
                <w:sz w:val="20"/>
                <w:szCs w:val="20"/>
                <w:color w:val="auto"/>
              </w:rPr>
            </w:pPr>
            <w:r>
              <w:rPr>
                <w:rFonts w:ascii="Arial" w:cs="Arial" w:eastAsia="Arial" w:hAnsi="Arial"/>
                <w:sz w:val="16"/>
                <w:szCs w:val="16"/>
                <w:color w:val="auto"/>
              </w:rPr>
              <w:t>Date: August 9, 2023</w:t>
            </w:r>
          </w:p>
        </w:tc>
        <w:tc>
          <w:tcPr>
            <w:tcW w:w="3840" w:type="dxa"/>
            <w:vAlign w:val="bottom"/>
          </w:tcPr>
          <w:p>
            <w:pPr>
              <w:ind w:left="3280"/>
              <w:spacing w:after="0"/>
              <w:rPr>
                <w:sz w:val="20"/>
                <w:szCs w:val="20"/>
                <w:color w:val="auto"/>
              </w:rPr>
            </w:pPr>
            <w:r>
              <w:rPr>
                <w:rFonts w:ascii="Arial" w:cs="Arial" w:eastAsia="Arial" w:hAnsi="Arial"/>
                <w:sz w:val="16"/>
                <w:szCs w:val="16"/>
                <w:color w:val="auto"/>
              </w:rPr>
              <w:t>By:</w:t>
            </w:r>
          </w:p>
        </w:tc>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Lauri Hanover</w:t>
            </w:r>
          </w:p>
        </w:tc>
      </w:tr>
      <w:tr>
        <w:trPr>
          <w:trHeight w:val="179"/>
        </w:trPr>
        <w:tc>
          <w:tcPr>
            <w:tcW w:w="3460" w:type="dxa"/>
            <w:vAlign w:val="bottom"/>
          </w:tcPr>
          <w:p>
            <w:pPr>
              <w:spacing w:after="0"/>
              <w:rPr>
                <w:sz w:val="15"/>
                <w:szCs w:val="15"/>
                <w:color w:val="auto"/>
              </w:rPr>
            </w:pPr>
          </w:p>
        </w:tc>
        <w:tc>
          <w:tcPr>
            <w:tcW w:w="3840" w:type="dxa"/>
            <w:vAlign w:val="bottom"/>
          </w:tcPr>
          <w:p>
            <w:pPr>
              <w:ind w:left="3280"/>
              <w:spacing w:after="0" w:line="179" w:lineRule="exact"/>
              <w:rPr>
                <w:sz w:val="20"/>
                <w:szCs w:val="20"/>
                <w:color w:val="auto"/>
              </w:rPr>
            </w:pPr>
            <w:r>
              <w:rPr>
                <w:rFonts w:ascii="Arial" w:cs="Arial" w:eastAsia="Arial" w:hAnsi="Arial"/>
                <w:sz w:val="16"/>
                <w:szCs w:val="16"/>
                <w:color w:val="auto"/>
              </w:rPr>
              <w:t>Name:</w:t>
            </w:r>
          </w:p>
        </w:tc>
        <w:tc>
          <w:tcPr>
            <w:tcW w:w="3960" w:type="dxa"/>
            <w:vAlign w:val="bottom"/>
          </w:tcPr>
          <w:p>
            <w:pPr>
              <w:ind w:left="20"/>
              <w:spacing w:after="0" w:line="179" w:lineRule="exact"/>
              <w:rPr>
                <w:sz w:val="20"/>
                <w:szCs w:val="20"/>
                <w:color w:val="auto"/>
              </w:rPr>
            </w:pPr>
            <w:r>
              <w:rPr>
                <w:rFonts w:ascii="Arial" w:cs="Arial" w:eastAsia="Arial" w:hAnsi="Arial"/>
                <w:sz w:val="16"/>
                <w:szCs w:val="16"/>
                <w:color w:val="auto"/>
              </w:rPr>
              <w:t>Lauri Hanover</w:t>
            </w:r>
          </w:p>
        </w:tc>
      </w:tr>
      <w:tr>
        <w:trPr>
          <w:trHeight w:val="204"/>
        </w:trPr>
        <w:tc>
          <w:tcPr>
            <w:tcW w:w="3460" w:type="dxa"/>
            <w:vAlign w:val="bottom"/>
          </w:tcPr>
          <w:p>
            <w:pPr>
              <w:spacing w:after="0"/>
              <w:rPr>
                <w:sz w:val="17"/>
                <w:szCs w:val="17"/>
                <w:color w:val="auto"/>
              </w:rPr>
            </w:pPr>
          </w:p>
        </w:tc>
        <w:tc>
          <w:tcPr>
            <w:tcW w:w="3840" w:type="dxa"/>
            <w:vAlign w:val="bottom"/>
          </w:tcPr>
          <w:p>
            <w:pPr>
              <w:ind w:left="3280"/>
              <w:spacing w:after="0"/>
              <w:rPr>
                <w:sz w:val="20"/>
                <w:szCs w:val="20"/>
                <w:color w:val="auto"/>
              </w:rPr>
            </w:pPr>
            <w:r>
              <w:rPr>
                <w:rFonts w:ascii="Arial" w:cs="Arial" w:eastAsia="Arial" w:hAnsi="Arial"/>
                <w:sz w:val="16"/>
                <w:szCs w:val="16"/>
                <w:color w:val="auto"/>
              </w:rPr>
              <w:t>Title:</w:t>
            </w:r>
          </w:p>
        </w:tc>
        <w:tc>
          <w:tcPr>
            <w:tcW w:w="3960" w:type="dxa"/>
            <w:vAlign w:val="bottom"/>
          </w:tcPr>
          <w:p>
            <w:pPr>
              <w:ind w:left="20"/>
              <w:spacing w:after="0"/>
              <w:rPr>
                <w:sz w:val="20"/>
                <w:szCs w:val="20"/>
                <w:color w:val="auto"/>
              </w:rPr>
            </w:pPr>
            <w:r>
              <w:rPr>
                <w:rFonts w:ascii="Arial" w:cs="Arial" w:eastAsia="Arial" w:hAnsi="Arial"/>
                <w:sz w:val="16"/>
                <w:szCs w:val="16"/>
                <w:color w:val="auto"/>
              </w:rPr>
              <w:t>Chief Financial Officer</w:t>
            </w:r>
          </w:p>
        </w:tc>
      </w:tr>
      <w:tr>
        <w:trPr>
          <w:trHeight w:val="577"/>
        </w:trPr>
        <w:tc>
          <w:tcPr>
            <w:tcW w:w="346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ind w:left="2120"/>
              <w:spacing w:after="0"/>
              <w:rPr>
                <w:sz w:val="20"/>
                <w:szCs w:val="20"/>
                <w:color w:val="auto"/>
              </w:rPr>
            </w:pPr>
            <w:r>
              <w:rPr>
                <w:rFonts w:ascii="Arial" w:cs="Arial" w:eastAsia="Arial" w:hAnsi="Arial"/>
                <w:sz w:val="16"/>
                <w:szCs w:val="16"/>
                <w:color w:val="auto"/>
              </w:rPr>
              <w:t>2</w:t>
            </w:r>
          </w:p>
        </w:tc>
        <w:tc>
          <w:tcPr>
            <w:tcW w:w="3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16" w:right="31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Investor Contact:</w:t>
      </w:r>
    </w:p>
    <w:p>
      <w:pPr>
        <w:spacing w:after="0" w:line="24" w:lineRule="exact"/>
        <w:rPr>
          <w:sz w:val="20"/>
          <w:szCs w:val="20"/>
          <w:color w:val="auto"/>
        </w:rPr>
      </w:pPr>
    </w:p>
    <w:p>
      <w:pPr>
        <w:ind w:left="4"/>
        <w:spacing w:after="0"/>
        <w:rPr>
          <w:sz w:val="20"/>
          <w:szCs w:val="20"/>
          <w:color w:val="auto"/>
        </w:rPr>
      </w:pPr>
      <w:r>
        <w:rPr>
          <w:rFonts w:ascii="Arial" w:cs="Arial" w:eastAsia="Arial" w:hAnsi="Arial"/>
          <w:sz w:val="16"/>
          <w:szCs w:val="16"/>
          <w:color w:val="auto"/>
        </w:rPr>
        <w:t>Andrew G. Backman</w:t>
      </w:r>
    </w:p>
    <w:p>
      <w:pPr>
        <w:spacing w:after="0" w:line="7" w:lineRule="exact"/>
        <w:rPr>
          <w:sz w:val="20"/>
          <w:szCs w:val="20"/>
          <w:color w:val="auto"/>
        </w:rPr>
      </w:pPr>
    </w:p>
    <w:p>
      <w:pPr>
        <w:ind w:left="4"/>
        <w:spacing w:after="0"/>
        <w:rPr>
          <w:sz w:val="20"/>
          <w:szCs w:val="20"/>
          <w:color w:val="auto"/>
        </w:rPr>
      </w:pPr>
      <w:r>
        <w:rPr>
          <w:rFonts w:ascii="Arial" w:cs="Arial" w:eastAsia="Arial" w:hAnsi="Arial"/>
          <w:sz w:val="16"/>
          <w:szCs w:val="16"/>
          <w:color w:val="auto"/>
        </w:rPr>
        <w:t>Global Head of Investor Relations</w:t>
      </w:r>
    </w:p>
    <w:p>
      <w:pPr>
        <w:spacing w:after="0" w:line="7" w:lineRule="exact"/>
        <w:rPr>
          <w:sz w:val="20"/>
          <w:szCs w:val="20"/>
          <w:color w:val="auto"/>
        </w:rPr>
      </w:pPr>
    </w:p>
    <w:p>
      <w:pPr>
        <w:ind w:left="4"/>
        <w:spacing w:after="0"/>
        <w:rPr>
          <w:sz w:val="20"/>
          <w:szCs w:val="20"/>
          <w:color w:val="auto"/>
        </w:rPr>
      </w:pPr>
      <w:r>
        <w:rPr>
          <w:rFonts w:ascii="Arial" w:cs="Arial" w:eastAsia="Arial" w:hAnsi="Arial"/>
          <w:sz w:val="16"/>
          <w:szCs w:val="16"/>
          <w:color w:val="auto"/>
        </w:rPr>
        <w:t>andrew.backman@kornit.com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1069975" cy="645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69975" cy="645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Kornit Digital Reports Second Quarter 2023 Results</w:t>
      </w:r>
    </w:p>
    <w:p>
      <w:pPr>
        <w:spacing w:after="0" w:line="202" w:lineRule="exact"/>
        <w:rPr>
          <w:sz w:val="20"/>
          <w:szCs w:val="20"/>
          <w:color w:val="auto"/>
        </w:rPr>
      </w:pPr>
    </w:p>
    <w:p>
      <w:pPr>
        <w:ind w:left="284" w:hanging="284"/>
        <w:spacing w:after="0"/>
        <w:tabs>
          <w:tab w:leader="none" w:pos="284" w:val="left"/>
        </w:tabs>
        <w:numPr>
          <w:ilvl w:val="0"/>
          <w:numId w:val="1"/>
        </w:numPr>
        <w:rPr>
          <w:rFonts w:ascii="Arial" w:cs="Arial" w:eastAsia="Arial" w:hAnsi="Arial"/>
          <w:sz w:val="16"/>
          <w:szCs w:val="16"/>
          <w:color w:val="auto"/>
        </w:rPr>
      </w:pPr>
      <w:r>
        <w:rPr>
          <w:rFonts w:ascii="Arial" w:cs="Arial" w:eastAsia="Arial" w:hAnsi="Arial"/>
          <w:sz w:val="16"/>
          <w:szCs w:val="16"/>
          <w:color w:val="auto"/>
        </w:rPr>
        <w:t>Second quarter revenues of $56.2 million, in line with previous guidance</w:t>
      </w:r>
    </w:p>
    <w:p>
      <w:pPr>
        <w:spacing w:after="0" w:line="198" w:lineRule="exact"/>
        <w:rPr>
          <w:rFonts w:ascii="Arial" w:cs="Arial" w:eastAsia="Arial" w:hAnsi="Arial"/>
          <w:sz w:val="16"/>
          <w:szCs w:val="16"/>
          <w:color w:val="auto"/>
        </w:rPr>
      </w:pPr>
    </w:p>
    <w:p>
      <w:pPr>
        <w:ind w:left="284" w:hanging="284"/>
        <w:spacing w:after="0"/>
        <w:tabs>
          <w:tab w:leader="none" w:pos="284" w:val="left"/>
        </w:tabs>
        <w:numPr>
          <w:ilvl w:val="0"/>
          <w:numId w:val="1"/>
        </w:numPr>
        <w:rPr>
          <w:rFonts w:ascii="Arial" w:cs="Arial" w:eastAsia="Arial" w:hAnsi="Arial"/>
          <w:sz w:val="16"/>
          <w:szCs w:val="16"/>
          <w:color w:val="auto"/>
        </w:rPr>
      </w:pPr>
      <w:r>
        <w:rPr>
          <w:rFonts w:ascii="Arial" w:cs="Arial" w:eastAsia="Arial" w:hAnsi="Arial"/>
          <w:sz w:val="16"/>
          <w:szCs w:val="16"/>
          <w:color w:val="auto"/>
        </w:rPr>
        <w:t>Second quarter GAAP net loss of $14.3 million; non-GAAP net loss of $7.4 million</w:t>
      </w:r>
    </w:p>
    <w:p>
      <w:pPr>
        <w:spacing w:after="0" w:line="198" w:lineRule="exact"/>
        <w:rPr>
          <w:rFonts w:ascii="Arial" w:cs="Arial" w:eastAsia="Arial" w:hAnsi="Arial"/>
          <w:sz w:val="16"/>
          <w:szCs w:val="16"/>
          <w:color w:val="auto"/>
        </w:rPr>
      </w:pPr>
    </w:p>
    <w:p>
      <w:pPr>
        <w:ind w:left="284" w:hanging="284"/>
        <w:spacing w:after="0"/>
        <w:tabs>
          <w:tab w:leader="none" w:pos="284" w:val="left"/>
        </w:tabs>
        <w:numPr>
          <w:ilvl w:val="0"/>
          <w:numId w:val="1"/>
        </w:numPr>
        <w:rPr>
          <w:rFonts w:ascii="Arial" w:cs="Arial" w:eastAsia="Arial" w:hAnsi="Arial"/>
          <w:sz w:val="16"/>
          <w:szCs w:val="16"/>
          <w:color w:val="auto"/>
        </w:rPr>
      </w:pPr>
      <w:r>
        <w:rPr>
          <w:rFonts w:ascii="Arial" w:cs="Arial" w:eastAsia="Arial" w:hAnsi="Arial"/>
          <w:sz w:val="16"/>
          <w:szCs w:val="16"/>
          <w:color w:val="auto"/>
        </w:rPr>
        <w:t>Double-digit year-over-year impressions and consumables growth across all regions</w:t>
      </w:r>
    </w:p>
    <w:p>
      <w:pPr>
        <w:spacing w:after="0" w:line="198" w:lineRule="exact"/>
        <w:rPr>
          <w:rFonts w:ascii="Arial" w:cs="Arial" w:eastAsia="Arial" w:hAnsi="Arial"/>
          <w:sz w:val="16"/>
          <w:szCs w:val="16"/>
          <w:color w:val="auto"/>
        </w:rPr>
      </w:pPr>
    </w:p>
    <w:p>
      <w:pPr>
        <w:ind w:left="284" w:hanging="284"/>
        <w:spacing w:after="0"/>
        <w:tabs>
          <w:tab w:leader="none" w:pos="284" w:val="left"/>
        </w:tabs>
        <w:numPr>
          <w:ilvl w:val="0"/>
          <w:numId w:val="1"/>
        </w:numPr>
        <w:rPr>
          <w:rFonts w:ascii="Arial" w:cs="Arial" w:eastAsia="Arial" w:hAnsi="Arial"/>
          <w:sz w:val="16"/>
          <w:szCs w:val="16"/>
          <w:color w:val="auto"/>
        </w:rPr>
      </w:pPr>
      <w:r>
        <w:rPr>
          <w:rFonts w:ascii="Arial" w:cs="Arial" w:eastAsia="Arial" w:hAnsi="Arial"/>
          <w:sz w:val="16"/>
          <w:szCs w:val="16"/>
          <w:color w:val="auto"/>
        </w:rPr>
        <w:t>Successful ITMA tradeshow in Milan, Italy, securing high-quality leads and providing a healthy pipeline for 2024 and beyond</w:t>
      </w:r>
    </w:p>
    <w:p>
      <w:pPr>
        <w:spacing w:after="0" w:line="198" w:lineRule="exact"/>
        <w:rPr>
          <w:rFonts w:ascii="Arial" w:cs="Arial" w:eastAsia="Arial" w:hAnsi="Arial"/>
          <w:sz w:val="16"/>
          <w:szCs w:val="16"/>
          <w:color w:val="auto"/>
        </w:rPr>
      </w:pPr>
    </w:p>
    <w:p>
      <w:pPr>
        <w:ind w:left="284" w:right="140" w:hanging="284"/>
        <w:spacing w:after="0" w:line="275" w:lineRule="auto"/>
        <w:tabs>
          <w:tab w:leader="none" w:pos="284" w:val="left"/>
        </w:tabs>
        <w:numPr>
          <w:ilvl w:val="0"/>
          <w:numId w:val="1"/>
        </w:numPr>
        <w:rPr>
          <w:rFonts w:ascii="Arial" w:cs="Arial" w:eastAsia="Arial" w:hAnsi="Arial"/>
          <w:sz w:val="16"/>
          <w:szCs w:val="16"/>
          <w:color w:val="auto"/>
        </w:rPr>
      </w:pPr>
      <w:r>
        <w:rPr>
          <w:rFonts w:ascii="Arial" w:cs="Arial" w:eastAsia="Arial" w:hAnsi="Arial"/>
          <w:sz w:val="16"/>
          <w:szCs w:val="16"/>
          <w:color w:val="auto"/>
        </w:rPr>
        <w:t>Company issues third-annual Impact Report highlighting progress on its long-term impact strategy and reaffirming commitment to a more sustainable fashion and textiles industry</w:t>
      </w:r>
    </w:p>
    <w:p>
      <w:pPr>
        <w:spacing w:after="0" w:line="148" w:lineRule="exact"/>
        <w:rPr>
          <w:sz w:val="20"/>
          <w:szCs w:val="20"/>
          <w:color w:val="auto"/>
        </w:rPr>
      </w:pPr>
    </w:p>
    <w:p>
      <w:pPr>
        <w:ind w:left="4" w:right="280"/>
        <w:spacing w:after="0" w:line="285" w:lineRule="auto"/>
        <w:rPr>
          <w:sz w:val="20"/>
          <w:szCs w:val="20"/>
          <w:color w:val="auto"/>
        </w:rPr>
      </w:pPr>
      <w:r>
        <w:rPr>
          <w:rFonts w:ascii="Arial" w:cs="Arial" w:eastAsia="Arial" w:hAnsi="Arial"/>
          <w:sz w:val="16"/>
          <w:szCs w:val="16"/>
          <w:b w:val="1"/>
          <w:bCs w:val="1"/>
          <w:color w:val="auto"/>
        </w:rPr>
        <w:t xml:space="preserve">Rosh-Ha’Ayin, Israel – August 9, 2023 </w:t>
      </w:r>
      <w:r>
        <w:rPr>
          <w:rFonts w:ascii="Arial" w:cs="Arial" w:eastAsia="Arial" w:hAnsi="Arial"/>
          <w:sz w:val="16"/>
          <w:szCs w:val="16"/>
          <w:color w:val="auto"/>
        </w:rPr>
        <w:t>– Kornit Digital Ltd. (“Kornit” or “the Company”) (Nasdaq: KRNT), a worldwide market leader in sustainable, on-demand, digital</w:t>
      </w:r>
      <w:r>
        <w:rPr>
          <w:rFonts w:ascii="Arial" w:cs="Arial" w:eastAsia="Arial" w:hAnsi="Arial"/>
          <w:sz w:val="16"/>
          <w:szCs w:val="16"/>
          <w:b w:val="1"/>
          <w:bCs w:val="1"/>
          <w:color w:val="auto"/>
        </w:rPr>
        <w:t xml:space="preserve"> </w:t>
      </w:r>
      <w:r>
        <w:rPr>
          <w:rFonts w:ascii="Arial" w:cs="Arial" w:eastAsia="Arial" w:hAnsi="Arial"/>
          <w:sz w:val="16"/>
          <w:szCs w:val="16"/>
          <w:color w:val="auto"/>
        </w:rPr>
        <w:t>fashion</w:t>
      </w:r>
      <w:r>
        <w:rPr>
          <w:rFonts w:ascii="Arial" w:cs="Arial" w:eastAsia="Arial" w:hAnsi="Arial"/>
          <w:sz w:val="26"/>
          <w:szCs w:val="26"/>
          <w:color w:val="auto"/>
          <w:vertAlign w:val="superscript"/>
        </w:rPr>
        <w:t>X</w:t>
      </w:r>
      <w:r>
        <w:rPr>
          <w:rFonts w:ascii="Arial" w:cs="Arial" w:eastAsia="Arial" w:hAnsi="Arial"/>
          <w:sz w:val="16"/>
          <w:szCs w:val="16"/>
          <w:color w:val="auto"/>
        </w:rPr>
        <w:t xml:space="preserve"> and textile production technologies, reported today its results for the second quarter ended June 30, 2023.</w:t>
      </w:r>
    </w:p>
    <w:p>
      <w:pPr>
        <w:spacing w:after="0" w:line="40" w:lineRule="exact"/>
        <w:rPr>
          <w:sz w:val="20"/>
          <w:szCs w:val="20"/>
          <w:color w:val="auto"/>
        </w:rPr>
      </w:pPr>
    </w:p>
    <w:p>
      <w:pPr>
        <w:ind w:left="4" w:right="100"/>
        <w:spacing w:after="0" w:line="276" w:lineRule="auto"/>
        <w:rPr>
          <w:sz w:val="20"/>
          <w:szCs w:val="20"/>
          <w:color w:val="auto"/>
        </w:rPr>
      </w:pPr>
      <w:r>
        <w:rPr>
          <w:rFonts w:ascii="Arial" w:cs="Arial" w:eastAsia="Arial" w:hAnsi="Arial"/>
          <w:sz w:val="15"/>
          <w:szCs w:val="15"/>
          <w:color w:val="auto"/>
        </w:rPr>
        <w:t>“During the quarter, impressions grew at a double-digit pace year-over-year for the second consecutive quarter, driving a steady improvement in capacity utilization and strong double-digit consumables revenue growth across our customer segments and throughout all our operating regions,” said Ronen Samuel, Kornit’s Chief Executive Officer. “Services revenues again demonstrated exceptional growth, as it has during the past year, with customers upgrading to our new MAX technology. While system sales volumes are expected to remain modest in the near-term due to continued softness in capital equipment spending and lengthening sales cycles, we have taken actions through various initiatives to diversify our customer base, increase operating efficiencies, and build a healthy pipeline for 2024 and beyond.”</w:t>
      </w:r>
    </w:p>
    <w:p>
      <w:pPr>
        <w:spacing w:after="0" w:line="155" w:lineRule="exact"/>
        <w:rPr>
          <w:sz w:val="20"/>
          <w:szCs w:val="20"/>
          <w:color w:val="auto"/>
        </w:rPr>
      </w:pPr>
    </w:p>
    <w:p>
      <w:pPr>
        <w:ind w:left="4" w:right="140"/>
        <w:spacing w:after="0" w:line="258" w:lineRule="auto"/>
        <w:rPr>
          <w:sz w:val="20"/>
          <w:szCs w:val="20"/>
          <w:color w:val="auto"/>
        </w:rPr>
      </w:pPr>
      <w:r>
        <w:rPr>
          <w:rFonts w:ascii="Arial" w:cs="Arial" w:eastAsia="Arial" w:hAnsi="Arial"/>
          <w:sz w:val="16"/>
          <w:szCs w:val="16"/>
          <w:color w:val="auto"/>
        </w:rPr>
        <w:t>Mr. Samuel concluded, “We were pleased with our successful participation in the recent ITMA trade show in Milan, where exceptional customer interest in our innovative solutions generated numerous high-quality leads and sales orders. We remain confident that our strategy, product roadmap, and solid balance sheet position us well to generate meaningful, long-term, profitable growth and continue to expect to approach break-even on an adjusted EBITDA basis for the fourth quarter of this year, and aim to deliver profitable growth for the full year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370840</wp:posOffset>
            </wp:positionV>
            <wp:extent cx="714819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3" w:right="319" w:bottom="1440" w:gutter="0" w:footer="0" w:header="0"/>
        </w:sectPr>
      </w:pPr>
    </w:p>
    <w:bookmarkStart w:id="4" w:name="page5"/>
    <w:bookmarkEnd w:id="4"/>
    <w:p>
      <w:pPr>
        <w:ind w:left="4"/>
        <w:spacing w:after="0"/>
        <w:rPr>
          <w:sz w:val="20"/>
          <w:szCs w:val="20"/>
          <w:color w:val="auto"/>
        </w:rPr>
      </w:pPr>
      <w:r>
        <w:rPr>
          <w:rFonts w:ascii="Arial" w:cs="Arial" w:eastAsia="Arial" w:hAnsi="Arial"/>
          <w:sz w:val="16"/>
          <w:szCs w:val="16"/>
          <w:b w:val="1"/>
          <w:bCs w:val="1"/>
          <w:color w:val="auto"/>
        </w:rPr>
        <w:t>Second Quarter 2023 Results of Operations</w:t>
      </w:r>
    </w:p>
    <w:p>
      <w:pPr>
        <w:spacing w:after="0" w:line="202" w:lineRule="exact"/>
        <w:rPr>
          <w:sz w:val="20"/>
          <w:szCs w:val="20"/>
          <w:color w:val="auto"/>
        </w:rPr>
      </w:pPr>
    </w:p>
    <w:p>
      <w:pPr>
        <w:ind w:left="284" w:hanging="284"/>
        <w:spacing w:after="0"/>
        <w:tabs>
          <w:tab w:leader="none" w:pos="284" w:val="left"/>
        </w:tabs>
        <w:numPr>
          <w:ilvl w:val="0"/>
          <w:numId w:val="2"/>
        </w:numPr>
        <w:rPr>
          <w:rFonts w:ascii="Arial" w:cs="Arial" w:eastAsia="Arial" w:hAnsi="Arial"/>
          <w:sz w:val="15"/>
          <w:szCs w:val="15"/>
          <w:color w:val="auto"/>
        </w:rPr>
      </w:pPr>
      <w:r>
        <w:rPr>
          <w:rFonts w:ascii="Arial" w:cs="Arial" w:eastAsia="Arial" w:hAnsi="Arial"/>
          <w:sz w:val="15"/>
          <w:szCs w:val="15"/>
          <w:color w:val="auto"/>
        </w:rPr>
        <w:t>Total revenue for the second quarter of 2023 was $56.2 million compared with $58.1 million in the prior year period, due primarily to lower systems revenues.</w:t>
      </w:r>
    </w:p>
    <w:p>
      <w:pPr>
        <w:spacing w:after="0" w:line="209" w:lineRule="exact"/>
        <w:rPr>
          <w:rFonts w:ascii="Arial" w:cs="Arial" w:eastAsia="Arial" w:hAnsi="Arial"/>
          <w:sz w:val="15"/>
          <w:szCs w:val="15"/>
          <w:color w:val="auto"/>
        </w:rPr>
      </w:pPr>
    </w:p>
    <w:p>
      <w:pPr>
        <w:ind w:left="284" w:right="40" w:hanging="284"/>
        <w:spacing w:after="0" w:line="275" w:lineRule="auto"/>
        <w:tabs>
          <w:tab w:leader="none" w:pos="284" w:val="left"/>
        </w:tabs>
        <w:numPr>
          <w:ilvl w:val="0"/>
          <w:numId w:val="2"/>
        </w:numPr>
        <w:rPr>
          <w:rFonts w:ascii="Arial" w:cs="Arial" w:eastAsia="Arial" w:hAnsi="Arial"/>
          <w:sz w:val="16"/>
          <w:szCs w:val="16"/>
          <w:color w:val="auto"/>
        </w:rPr>
      </w:pPr>
      <w:r>
        <w:rPr>
          <w:rFonts w:ascii="Arial" w:cs="Arial" w:eastAsia="Arial" w:hAnsi="Arial"/>
          <w:sz w:val="16"/>
          <w:szCs w:val="16"/>
          <w:color w:val="auto"/>
        </w:rPr>
        <w:t>GAAP gross profit margin for the second quarter of 2023 was 33.3% compared with 35.3% in the prior year period. On a non-GAAP basis, gross profit margin was 36.1% compared with 38.6% in the prior year period.</w:t>
      </w:r>
    </w:p>
    <w:p>
      <w:pPr>
        <w:spacing w:after="0" w:line="151" w:lineRule="exact"/>
        <w:rPr>
          <w:rFonts w:ascii="Arial" w:cs="Arial" w:eastAsia="Arial" w:hAnsi="Arial"/>
          <w:sz w:val="16"/>
          <w:szCs w:val="16"/>
          <w:color w:val="auto"/>
        </w:rPr>
      </w:pPr>
    </w:p>
    <w:p>
      <w:pPr>
        <w:ind w:left="284" w:right="380" w:hanging="284"/>
        <w:spacing w:after="0" w:line="275" w:lineRule="auto"/>
        <w:tabs>
          <w:tab w:leader="none" w:pos="284" w:val="left"/>
        </w:tabs>
        <w:numPr>
          <w:ilvl w:val="0"/>
          <w:numId w:val="2"/>
        </w:numPr>
        <w:rPr>
          <w:rFonts w:ascii="Arial" w:cs="Arial" w:eastAsia="Arial" w:hAnsi="Arial"/>
          <w:sz w:val="16"/>
          <w:szCs w:val="16"/>
          <w:color w:val="auto"/>
        </w:rPr>
      </w:pPr>
      <w:r>
        <w:rPr>
          <w:rFonts w:ascii="Arial" w:cs="Arial" w:eastAsia="Arial" w:hAnsi="Arial"/>
          <w:sz w:val="16"/>
          <w:szCs w:val="16"/>
          <w:color w:val="auto"/>
        </w:rPr>
        <w:t>GAAP operating expenses for the second quarter of 2023 decreased by 12.8% to $39.6 million compared with the prior year period. On a non-GAAP basis, operating expenses decreased by 16.3% to $34.1 million compared with the prior year period.</w:t>
      </w:r>
    </w:p>
    <w:p>
      <w:pPr>
        <w:spacing w:after="0" w:line="151" w:lineRule="exact"/>
        <w:rPr>
          <w:rFonts w:ascii="Arial" w:cs="Arial" w:eastAsia="Arial" w:hAnsi="Arial"/>
          <w:sz w:val="16"/>
          <w:szCs w:val="16"/>
          <w:color w:val="auto"/>
        </w:rPr>
      </w:pPr>
    </w:p>
    <w:p>
      <w:pPr>
        <w:ind w:left="284" w:right="300" w:hanging="284"/>
        <w:spacing w:after="0" w:line="275" w:lineRule="auto"/>
        <w:tabs>
          <w:tab w:leader="none" w:pos="284" w:val="left"/>
        </w:tabs>
        <w:numPr>
          <w:ilvl w:val="0"/>
          <w:numId w:val="2"/>
        </w:numPr>
        <w:rPr>
          <w:rFonts w:ascii="Arial" w:cs="Arial" w:eastAsia="Arial" w:hAnsi="Arial"/>
          <w:sz w:val="16"/>
          <w:szCs w:val="16"/>
          <w:color w:val="auto"/>
        </w:rPr>
      </w:pPr>
      <w:r>
        <w:rPr>
          <w:rFonts w:ascii="Arial" w:cs="Arial" w:eastAsia="Arial" w:hAnsi="Arial"/>
          <w:sz w:val="16"/>
          <w:szCs w:val="16"/>
          <w:color w:val="auto"/>
        </w:rPr>
        <w:t>GAAP net loss for the second quarter of 2023 was $14.3 million, or ($0.29) per basic share, compared with net loss of $19.5 million, or ($0.39) per basic share, for the second quarter of 2022.</w:t>
      </w:r>
    </w:p>
    <w:p>
      <w:pPr>
        <w:spacing w:after="0" w:line="151" w:lineRule="exact"/>
        <w:rPr>
          <w:rFonts w:ascii="Arial" w:cs="Arial" w:eastAsia="Arial" w:hAnsi="Arial"/>
          <w:sz w:val="16"/>
          <w:szCs w:val="16"/>
          <w:color w:val="auto"/>
        </w:rPr>
      </w:pPr>
    </w:p>
    <w:p>
      <w:pPr>
        <w:ind w:left="284" w:right="160" w:hanging="284"/>
        <w:spacing w:after="0" w:line="275" w:lineRule="auto"/>
        <w:tabs>
          <w:tab w:leader="none" w:pos="284" w:val="left"/>
        </w:tabs>
        <w:numPr>
          <w:ilvl w:val="0"/>
          <w:numId w:val="2"/>
        </w:numPr>
        <w:rPr>
          <w:rFonts w:ascii="Arial" w:cs="Arial" w:eastAsia="Arial" w:hAnsi="Arial"/>
          <w:sz w:val="16"/>
          <w:szCs w:val="16"/>
          <w:color w:val="auto"/>
        </w:rPr>
      </w:pPr>
      <w:r>
        <w:rPr>
          <w:rFonts w:ascii="Arial" w:cs="Arial" w:eastAsia="Arial" w:hAnsi="Arial"/>
          <w:sz w:val="16"/>
          <w:szCs w:val="16"/>
          <w:color w:val="auto"/>
        </w:rPr>
        <w:t>Non-GAAP net loss for the second quarter of 2023 was $7.4 million, or ($0.15) per basic share, compared with non-GAAP net loss of $15.6 million, or ($0.31) per basic share, for the second quarter of 2022.</w:t>
      </w:r>
    </w:p>
    <w:p>
      <w:pPr>
        <w:spacing w:after="0" w:line="151" w:lineRule="exact"/>
        <w:rPr>
          <w:rFonts w:ascii="Arial" w:cs="Arial" w:eastAsia="Arial" w:hAnsi="Arial"/>
          <w:sz w:val="16"/>
          <w:szCs w:val="16"/>
          <w:color w:val="auto"/>
        </w:rPr>
      </w:pPr>
    </w:p>
    <w:p>
      <w:pPr>
        <w:ind w:left="284" w:right="140" w:hanging="284"/>
        <w:spacing w:after="0" w:line="275" w:lineRule="auto"/>
        <w:tabs>
          <w:tab w:leader="none" w:pos="284" w:val="left"/>
        </w:tabs>
        <w:numPr>
          <w:ilvl w:val="0"/>
          <w:numId w:val="2"/>
        </w:numPr>
        <w:rPr>
          <w:rFonts w:ascii="Arial" w:cs="Arial" w:eastAsia="Arial" w:hAnsi="Arial"/>
          <w:sz w:val="16"/>
          <w:szCs w:val="16"/>
          <w:color w:val="auto"/>
        </w:rPr>
      </w:pPr>
      <w:r>
        <w:rPr>
          <w:rFonts w:ascii="Arial" w:cs="Arial" w:eastAsia="Arial" w:hAnsi="Arial"/>
          <w:sz w:val="16"/>
          <w:szCs w:val="16"/>
          <w:color w:val="auto"/>
        </w:rPr>
        <w:t>Adjusted EBITDA loss for the second quarter of 2023 was $10.7 million compared with adjusted EBITDA loss of $15.7 million for the second quarter of 2022. Adjusted EBITDA margin for the second quarter of 2023 was -19.1% compared with -27.1% for the second quarter of 2022.</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Third Quarter 2023 Guidance</w:t>
      </w:r>
    </w:p>
    <w:p>
      <w:pPr>
        <w:spacing w:after="0" w:line="202" w:lineRule="exact"/>
        <w:rPr>
          <w:sz w:val="20"/>
          <w:szCs w:val="20"/>
          <w:color w:val="auto"/>
        </w:rPr>
      </w:pPr>
    </w:p>
    <w:p>
      <w:pPr>
        <w:ind w:left="4"/>
        <w:spacing w:after="0"/>
        <w:rPr>
          <w:sz w:val="20"/>
          <w:szCs w:val="20"/>
          <w:color w:val="auto"/>
        </w:rPr>
      </w:pPr>
      <w:r>
        <w:rPr>
          <w:rFonts w:ascii="Arial" w:cs="Arial" w:eastAsia="Arial" w:hAnsi="Arial"/>
          <w:sz w:val="14"/>
          <w:szCs w:val="14"/>
          <w:color w:val="auto"/>
        </w:rPr>
        <w:t>For the third quarter of 2023, the Company expects revenues to be in the range of $58 million to $62 million and adjusted EBITDA margin between -6% to -13% of revenue.</w:t>
      </w:r>
    </w:p>
    <w:p>
      <w:pPr>
        <w:spacing w:after="0" w:line="43" w:lineRule="exact"/>
        <w:rPr>
          <w:sz w:val="20"/>
          <w:szCs w:val="20"/>
          <w:color w:val="auto"/>
        </w:rPr>
      </w:pPr>
    </w:p>
    <w:p>
      <w:pPr>
        <w:ind w:left="4"/>
        <w:spacing w:after="0"/>
        <w:rPr>
          <w:sz w:val="20"/>
          <w:szCs w:val="20"/>
          <w:color w:val="auto"/>
        </w:rPr>
      </w:pPr>
      <w:r>
        <w:rPr>
          <w:rFonts w:ascii="Arial" w:cs="Arial" w:eastAsia="Arial" w:hAnsi="Arial"/>
          <w:sz w:val="15"/>
          <w:szCs w:val="15"/>
          <w:color w:val="auto"/>
        </w:rPr>
        <w:t xml:space="preserve">The guidance for revenue and adjusted EBITDA margin </w:t>
      </w:r>
      <w:r>
        <w:rPr>
          <w:rFonts w:ascii="Arial" w:cs="Arial" w:eastAsia="Arial" w:hAnsi="Arial"/>
          <w:sz w:val="15"/>
          <w:szCs w:val="15"/>
          <w:u w:val="single" w:color="auto"/>
          <w:color w:val="auto"/>
        </w:rPr>
        <w:t>includes</w:t>
      </w:r>
      <w:r>
        <w:rPr>
          <w:rFonts w:ascii="Arial" w:cs="Arial" w:eastAsia="Arial" w:hAnsi="Arial"/>
          <w:sz w:val="15"/>
          <w:szCs w:val="15"/>
          <w:color w:val="auto"/>
        </w:rPr>
        <w:t xml:space="preserve"> the impact of the non-cash expense associated with the fair value of the Company’s warrants.</w:t>
      </w:r>
    </w:p>
    <w:p>
      <w:pPr>
        <w:spacing w:after="0" w:line="193"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Second Quarter Earnings Conference Call Information</w:t>
      </w:r>
    </w:p>
    <w:p>
      <w:pPr>
        <w:spacing w:after="0" w:line="202" w:lineRule="exact"/>
        <w:rPr>
          <w:sz w:val="20"/>
          <w:szCs w:val="20"/>
          <w:color w:val="auto"/>
        </w:rPr>
      </w:pPr>
    </w:p>
    <w:p>
      <w:pPr>
        <w:ind w:left="4" w:right="280"/>
        <w:spacing w:after="0" w:line="275" w:lineRule="auto"/>
        <w:rPr>
          <w:sz w:val="20"/>
          <w:szCs w:val="20"/>
          <w:color w:val="auto"/>
        </w:rPr>
      </w:pPr>
      <w:r>
        <w:rPr>
          <w:rFonts w:ascii="Arial" w:cs="Arial" w:eastAsia="Arial" w:hAnsi="Arial"/>
          <w:sz w:val="16"/>
          <w:szCs w:val="16"/>
          <w:color w:val="auto"/>
        </w:rPr>
        <w:t>The Company will host a conference call today at 8:30 a.m. ET, or 3:30 p.m. Israel time, to discuss the results, followed by a question-and-answer session with the investor community.</w:t>
      </w:r>
    </w:p>
    <w:p>
      <w:pPr>
        <w:spacing w:after="0" w:line="148" w:lineRule="exact"/>
        <w:rPr>
          <w:sz w:val="20"/>
          <w:szCs w:val="20"/>
          <w:color w:val="auto"/>
        </w:rPr>
      </w:pPr>
    </w:p>
    <w:p>
      <w:pPr>
        <w:ind w:left="4"/>
        <w:spacing w:after="0" w:line="280" w:lineRule="auto"/>
        <w:rPr>
          <w:sz w:val="20"/>
          <w:szCs w:val="20"/>
          <w:color w:val="auto"/>
        </w:rPr>
      </w:pPr>
      <w:r>
        <w:rPr>
          <w:rFonts w:ascii="Arial" w:cs="Arial" w:eastAsia="Arial" w:hAnsi="Arial"/>
          <w:sz w:val="16"/>
          <w:szCs w:val="16"/>
          <w:b w:val="1"/>
          <w:bCs w:val="1"/>
          <w:color w:val="auto"/>
        </w:rPr>
        <w:t xml:space="preserve">A live webcast of the call </w:t>
      </w:r>
      <w:r>
        <w:rPr>
          <w:rFonts w:ascii="Arial" w:cs="Arial" w:eastAsia="Arial" w:hAnsi="Arial"/>
          <w:sz w:val="16"/>
          <w:szCs w:val="16"/>
          <w:color w:val="auto"/>
        </w:rPr>
        <w:t>can be accessed at ir.kornit.com. To access the call, participants may dial toll-free at 1-877-407-0792 or 1-201-689-8263. The toll-free Israeli number</w:t>
      </w:r>
      <w:r>
        <w:rPr>
          <w:rFonts w:ascii="Arial" w:cs="Arial" w:eastAsia="Arial" w:hAnsi="Arial"/>
          <w:sz w:val="16"/>
          <w:szCs w:val="16"/>
          <w:b w:val="1"/>
          <w:bCs w:val="1"/>
          <w:color w:val="auto"/>
        </w:rPr>
        <w:t xml:space="preserve"> </w:t>
      </w:r>
      <w:r>
        <w:rPr>
          <w:rFonts w:ascii="Arial" w:cs="Arial" w:eastAsia="Arial" w:hAnsi="Arial"/>
          <w:sz w:val="16"/>
          <w:szCs w:val="16"/>
          <w:color w:val="auto"/>
        </w:rPr>
        <w:t>is 1 809 406 247. The conference confirmation code is 13739895.</w:t>
      </w:r>
    </w:p>
    <w:p>
      <w:pPr>
        <w:spacing w:after="0" w:line="148" w:lineRule="exact"/>
        <w:rPr>
          <w:sz w:val="20"/>
          <w:szCs w:val="20"/>
          <w:color w:val="auto"/>
        </w:rPr>
      </w:pPr>
    </w:p>
    <w:p>
      <w:pPr>
        <w:ind w:left="4"/>
        <w:spacing w:after="0" w:line="262" w:lineRule="auto"/>
        <w:rPr>
          <w:sz w:val="20"/>
          <w:szCs w:val="20"/>
          <w:color w:val="auto"/>
        </w:rPr>
      </w:pPr>
      <w:r>
        <w:rPr>
          <w:rFonts w:ascii="Arial" w:cs="Arial" w:eastAsia="Arial" w:hAnsi="Arial"/>
          <w:sz w:val="16"/>
          <w:szCs w:val="16"/>
          <w:color w:val="auto"/>
        </w:rPr>
        <w:t>To listen to a replay of the conference call, dial toll-free 1-844-512-2921 or 1-412-317-6671 (international) and enter confirmation code 13739895. The telephonic replay will be available approximately three hours after the completion of the live call until 11:59 pm ET on August 23, 2023. The call will also be available for replay via the webcast link on Kornit’s Investor Relations website.</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About Kornit Digital</w:t>
      </w:r>
    </w:p>
    <w:p>
      <w:pPr>
        <w:spacing w:after="0" w:line="201" w:lineRule="exact"/>
        <w:rPr>
          <w:sz w:val="20"/>
          <w:szCs w:val="20"/>
          <w:color w:val="auto"/>
        </w:rPr>
      </w:pPr>
    </w:p>
    <w:p>
      <w:pPr>
        <w:ind w:left="4" w:right="100"/>
        <w:spacing w:after="0" w:line="243" w:lineRule="auto"/>
        <w:rPr>
          <w:sz w:val="20"/>
          <w:szCs w:val="20"/>
          <w:color w:val="auto"/>
        </w:rPr>
      </w:pPr>
      <w:r>
        <w:rPr>
          <w:rFonts w:ascii="Arial" w:cs="Arial" w:eastAsia="Arial" w:hAnsi="Arial"/>
          <w:sz w:val="15"/>
          <w:szCs w:val="15"/>
          <w:color w:val="auto"/>
        </w:rPr>
        <w:t>Kornit Digital Ltd. (NASDAQ: KRNT) is a worldwide market leader in sustainable, on-demand, digital fashion</w:t>
      </w:r>
      <w:r>
        <w:rPr>
          <w:rFonts w:ascii="Arial" w:cs="Arial" w:eastAsia="Arial" w:hAnsi="Arial"/>
          <w:sz w:val="25"/>
          <w:szCs w:val="25"/>
          <w:color w:val="auto"/>
          <w:vertAlign w:val="superscript"/>
        </w:rPr>
        <w:t>x</w:t>
      </w:r>
      <w:r>
        <w:rPr>
          <w:rFonts w:ascii="Arial" w:cs="Arial" w:eastAsia="Arial" w:hAnsi="Arial"/>
          <w:sz w:val="15"/>
          <w:szCs w:val="15"/>
          <w:color w:val="auto"/>
        </w:rPr>
        <w:t xml:space="preserve"> and textile production technologies. The Company is writing the operating system for fashion with end-to-end solutions including digital printing systems, inks, consumables, and an entire global ecosystem that manages workflows and fulfillment. Headquartered in Israel with offices in the USA, Europe, and Asia Pacific, Kornit serves customers in more than one hundred countries and states worldwide. To learn more about how Kornit Digital is boldly transforming the world of fashion and textiles, visit www.kornit.com.</w:t>
      </w:r>
    </w:p>
    <w:p>
      <w:pPr>
        <w:spacing w:after="0" w:line="370" w:lineRule="exact"/>
        <w:rPr>
          <w:sz w:val="20"/>
          <w:szCs w:val="20"/>
          <w:color w:val="auto"/>
        </w:rPr>
      </w:pPr>
    </w:p>
    <w:p>
      <w:pPr>
        <w:jc w:val="center"/>
        <w:ind w:right="-43"/>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04"/>
          </w:cols>
          <w:pgMar w:left="316" w:top="816" w:right="37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t>Forward Looking Statements</w:t>
      </w:r>
    </w:p>
    <w:p>
      <w:pPr>
        <w:spacing w:after="0" w:line="202" w:lineRule="exact"/>
        <w:rPr>
          <w:sz w:val="20"/>
          <w:szCs w:val="20"/>
          <w:color w:val="auto"/>
        </w:rPr>
      </w:pPr>
    </w:p>
    <w:p>
      <w:pPr>
        <w:spacing w:after="0" w:line="289" w:lineRule="auto"/>
        <w:rPr>
          <w:sz w:val="20"/>
          <w:szCs w:val="20"/>
          <w:color w:val="auto"/>
        </w:rPr>
      </w:pPr>
      <w:r>
        <w:rPr>
          <w:rFonts w:ascii="Arial" w:cs="Arial" w:eastAsia="Arial" w:hAnsi="Arial"/>
          <w:sz w:val="14"/>
          <w:szCs w:val="14"/>
          <w:color w:val="auto"/>
        </w:rPr>
        <w:t>Certain statements in this press release are “forward-looking statements” within the meaning of the Private Securities Litigation Reform Act of 1995 and other U.S. securities laws. Forward-looking statements are characterized by the use of forward-looking terminology such as “will,” “expects,” “anticipates,” “continue,” “believes,” “should,” “intended,” “guidance,” “preliminary,” “future,” “planned,” or other words. These forward-looking statements include, but are not limited to, statements relating to the Company’s objectives, plans and strategies, statements of preliminary or projected results of operations or of financial condition and all statements that address activities, events, or developments that the Company intends, expects, projects, believes or anticipates will or may occur in the future. Forward-looking statements are not guarantees of future performance and are subject to risks and uncertainties. The Company has based these forward-looking statements on assumptions and assessments made by its management in light of their experience and their perception of historical trends, current conditions, expected future developments and other factors they believe to be appropriate. Important factors that could cause actual results, developments and business decisions to differ materially from those anticipated in these forward-looking statements include, among other things: the duration and severity of current adverse macro-economic headwinds being caused by inflationary pressures, rising interest rates, and supply-chain delays, which have been impacting, and may continue to impact, in an adverse manner, the Company’s operations, financial position and cash flows, in part due to the adverse impact on the Company’s customers and suppliers; the Company’s degree of success in developing, introducing and selling new or improved products and product enhancements including specifically the Company’s Poly Pro and Presto products; the extent of the Company’s ability to consummate sales to large accounts with multi-system delivery plans; the degree of the Company’s ability to fill orders for its systems; the extent of the Company’s ability to increase sales of its systems, ink and consumables; the extent of the Company’s ability to leverage its global infrastructure build-out; the development of the market for digital textile printing; the availability of alternative ink; competition; sales concentration; changes to the Company’s relationships with suppliers; the extent of the Company’s success in marketing; and those additional factors referred to under “Risk Factors” in Item 3.D of the Company’s Annual Report on Form 20-F for the year ended December 31, 2022, filed with the SEC on March 30, 2023. Any forward-looking statements in this press release are made as of the date hereof, whether as a result of new information, future events or otherwise, except as required by law.</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Discussion Disclosure</w:t>
      </w:r>
    </w:p>
    <w:p>
      <w:pPr>
        <w:spacing w:after="0" w:line="202"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The Company presents certain non-GAAP financial measures, in this press release and in the accompanying conference call to discuss the Company’s quarterly results. These non-GAAP financial measures reflect adjustments to corresponding GAAP financial measures in order to exclude the impact of the following: share-based compensation expenses; amortization of intangible assets; acquisition related expenses; restructuring expenses; foreign exchange differences associated with ASC 842; and non-cash deferred tax income.</w:t>
      </w:r>
    </w:p>
    <w:p>
      <w:pPr>
        <w:spacing w:after="0" w:line="165"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The Company defines “Adjusted EBITDA” as non-GAAP operating income (loss), which reflects the adjustments described in the preceding paragraph, as further adjusted to exclude depreciation expense.</w:t>
      </w:r>
    </w:p>
    <w:p>
      <w:pPr>
        <w:spacing w:after="0" w:line="152" w:lineRule="exact"/>
        <w:rPr>
          <w:sz w:val="20"/>
          <w:szCs w:val="20"/>
          <w:color w:val="auto"/>
        </w:rPr>
      </w:pPr>
    </w:p>
    <w:p>
      <w:pPr>
        <w:ind w:right="40"/>
        <w:spacing w:after="0" w:line="273" w:lineRule="auto"/>
        <w:rPr>
          <w:sz w:val="20"/>
          <w:szCs w:val="20"/>
          <w:color w:val="auto"/>
        </w:rPr>
      </w:pPr>
      <w:r>
        <w:rPr>
          <w:rFonts w:ascii="Arial" w:cs="Arial" w:eastAsia="Arial" w:hAnsi="Arial"/>
          <w:sz w:val="15"/>
          <w:szCs w:val="15"/>
          <w:color w:val="auto"/>
        </w:rPr>
        <w:t>The purpose of the foregoing non-GAAP financial measures is to convey the Company’s performance exclusive of non-cash charges and other items that are considered by management to be outside of the Company’s core operating results. These non-GAAP measures are among the primary factors management uses in planning for and forecasting future periods. Furthermore, the non-GAAP measures are regularly used internally to understand, manage, and evaluate the Company’s business and make operating decisions, and the Company believes that they are useful to investors as a consistent and comparable measure of the ongoing performance of the Company’s business. The Company’s non-GAAP financial measures are not meant to be considered in isolation or as a substitute for comparable GAAP measures and should be read only in conjunction with the Company’s consolidated financial statements prepared in accordance with GAAP. Additionally, these non-GAAP financial measures may differ materially from the non-GAAP financial measures used by other companies.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auto"/>
        </w:rPr>
        <w:t>The reconciliation tables included below present a reconciliation of our non-GAAP financial measures to the most directly comparable GAAP financial measures.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6"/>
          <w:szCs w:val="16"/>
          <w:b w:val="1"/>
          <w:bCs w:val="1"/>
          <w:color w:val="auto"/>
        </w:rPr>
        <w:t>KORNIT DIGITAL LTD.</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AND ITS SUBSIDIARIES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BALANCE SHEETS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(U.S. dollars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0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60"/>
              <w:spacing w:after="0"/>
              <w:rPr>
                <w:sz w:val="20"/>
                <w:szCs w:val="20"/>
                <w:color w:val="auto"/>
              </w:rPr>
            </w:pPr>
            <w:r>
              <w:rPr>
                <w:rFonts w:ascii="Arial" w:cs="Arial" w:eastAsia="Arial" w:hAnsi="Arial"/>
                <w:sz w:val="16"/>
                <w:szCs w:val="16"/>
                <w:b w:val="1"/>
                <w:bCs w:val="1"/>
                <w:color w:val="auto"/>
                <w:w w:val="87"/>
              </w:rPr>
              <w:t>June 30,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December 31,</w:t>
            </w:r>
          </w:p>
        </w:tc>
        <w:tc>
          <w:tcPr>
            <w:tcW w:w="0" w:type="dxa"/>
            <w:vAlign w:val="bottom"/>
          </w:tcPr>
          <w:p>
            <w:pPr>
              <w:spacing w:after="0"/>
              <w:rPr>
                <w:sz w:val="1"/>
                <w:szCs w:val="1"/>
                <w:color w:val="auto"/>
              </w:rPr>
            </w:pPr>
          </w:p>
        </w:tc>
      </w:tr>
      <w:tr>
        <w:trPr>
          <w:trHeight w:val="212"/>
        </w:trPr>
        <w:tc>
          <w:tcPr>
            <w:tcW w:w="45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60"/>
              <w:spacing w:after="0"/>
              <w:rPr>
                <w:sz w:val="20"/>
                <w:szCs w:val="20"/>
                <w:color w:val="auto"/>
              </w:rPr>
            </w:pPr>
            <w:r>
              <w:rPr>
                <w:rFonts w:ascii="Arial" w:cs="Arial" w:eastAsia="Arial" w:hAnsi="Arial"/>
                <w:sz w:val="16"/>
                <w:szCs w:val="16"/>
                <w:b w:val="1"/>
                <w:bCs w:val="1"/>
                <w:color w:val="auto"/>
                <w:w w:val="89"/>
              </w:rPr>
              <w:t>2023</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50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0"/>
              <w:spacing w:after="0"/>
              <w:rPr>
                <w:sz w:val="20"/>
                <w:szCs w:val="20"/>
                <w:color w:val="auto"/>
              </w:rPr>
            </w:pPr>
            <w:r>
              <w:rPr>
                <w:rFonts w:ascii="Arial" w:cs="Arial" w:eastAsia="Arial" w:hAnsi="Arial"/>
                <w:sz w:val="16"/>
                <w:szCs w:val="16"/>
                <w:b w:val="1"/>
                <w:bCs w:val="1"/>
                <w:color w:val="auto"/>
                <w:w w:val="92"/>
              </w:rPr>
              <w:t>(Unaudited)</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0"/>
              <w:spacing w:after="0"/>
              <w:rPr>
                <w:sz w:val="20"/>
                <w:szCs w:val="20"/>
                <w:color w:val="auto"/>
              </w:rPr>
            </w:pPr>
            <w:r>
              <w:rPr>
                <w:rFonts w:ascii="Arial" w:cs="Arial" w:eastAsia="Arial" w:hAnsi="Arial"/>
                <w:sz w:val="16"/>
                <w:szCs w:val="16"/>
                <w:b w:val="1"/>
                <w:bCs w:val="1"/>
                <w:color w:val="auto"/>
                <w:w w:val="93"/>
              </w:rPr>
              <w:t>(Audited)</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500" w:type="dxa"/>
            <w:vAlign w:val="bottom"/>
          </w:tcPr>
          <w:p>
            <w:pPr>
              <w:spacing w:after="0" w:line="179" w:lineRule="exact"/>
              <w:rPr>
                <w:sz w:val="20"/>
                <w:szCs w:val="20"/>
                <w:color w:val="auto"/>
              </w:rPr>
            </w:pPr>
            <w:r>
              <w:rPr>
                <w:rFonts w:ascii="Arial" w:cs="Arial" w:eastAsia="Arial" w:hAnsi="Arial"/>
                <w:sz w:val="16"/>
                <w:szCs w:val="16"/>
                <w:b w:val="1"/>
                <w:bCs w:val="1"/>
                <w:color w:val="auto"/>
              </w:rPr>
              <w:t>ASSETS</w:t>
            </w:r>
          </w:p>
        </w:tc>
        <w:tc>
          <w:tcPr>
            <w:tcW w:w="4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500" w:type="dxa"/>
            <w:vAlign w:val="bottom"/>
          </w:tcPr>
          <w:p>
            <w:pPr>
              <w:spacing w:after="0"/>
              <w:rPr>
                <w:sz w:val="20"/>
                <w:szCs w:val="20"/>
                <w:color w:val="auto"/>
              </w:rPr>
            </w:pPr>
            <w:r>
              <w:rPr>
                <w:rFonts w:ascii="Arial" w:cs="Arial" w:eastAsia="Arial" w:hAnsi="Arial"/>
                <w:sz w:val="16"/>
                <w:szCs w:val="16"/>
                <w:color w:val="auto"/>
              </w:rPr>
              <w:t>CURRENT ASSETS:</w:t>
            </w:r>
          </w:p>
        </w:tc>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5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Cash and cash equivalents</w:t>
            </w:r>
          </w:p>
        </w:tc>
        <w:tc>
          <w:tcPr>
            <w:tcW w:w="4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101,322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104,597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00" w:type="dxa"/>
            <w:vAlign w:val="bottom"/>
          </w:tcPr>
          <w:p>
            <w:pPr>
              <w:ind w:left="160"/>
              <w:spacing w:after="0"/>
              <w:rPr>
                <w:sz w:val="20"/>
                <w:szCs w:val="20"/>
                <w:color w:val="auto"/>
              </w:rPr>
            </w:pPr>
            <w:r>
              <w:rPr>
                <w:rFonts w:ascii="Arial" w:cs="Arial" w:eastAsia="Arial" w:hAnsi="Arial"/>
                <w:sz w:val="16"/>
                <w:szCs w:val="16"/>
                <w:color w:val="auto"/>
              </w:rPr>
              <w:t>Short-term bank deposit</w:t>
            </w:r>
          </w:p>
        </w:tc>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220,098</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275,033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Marketable securities</w:t>
            </w:r>
          </w:p>
        </w:tc>
        <w:tc>
          <w:tcPr>
            <w:tcW w:w="4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42,463</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20,380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00" w:type="dxa"/>
            <w:vAlign w:val="bottom"/>
          </w:tcPr>
          <w:p>
            <w:pPr>
              <w:ind w:left="160"/>
              <w:spacing w:after="0"/>
              <w:rPr>
                <w:sz w:val="20"/>
                <w:szCs w:val="20"/>
                <w:color w:val="auto"/>
              </w:rPr>
            </w:pPr>
            <w:r>
              <w:rPr>
                <w:rFonts w:ascii="Arial" w:cs="Arial" w:eastAsia="Arial" w:hAnsi="Arial"/>
                <w:sz w:val="16"/>
                <w:szCs w:val="16"/>
                <w:color w:val="auto"/>
              </w:rPr>
              <w:t>Trade receivables, net</w:t>
            </w:r>
          </w:p>
        </w:tc>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84,216</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67,360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Inventory</w:t>
            </w:r>
          </w:p>
        </w:tc>
        <w:tc>
          <w:tcPr>
            <w:tcW w:w="4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88,209</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89,415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50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Other accounts receivable and prepaid expenses</w:t>
            </w:r>
          </w:p>
        </w:tc>
        <w:tc>
          <w:tcPr>
            <w:tcW w:w="4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22,820</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22,054</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current assets</w:t>
            </w:r>
          </w:p>
        </w:tc>
        <w:tc>
          <w:tcPr>
            <w:tcW w:w="4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559,128</w:t>
            </w:r>
          </w:p>
        </w:tc>
        <w:tc>
          <w:tcPr>
            <w:tcW w:w="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578,839</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0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LONG-TERM ASSETS:</w:t>
            </w:r>
          </w:p>
        </w:tc>
        <w:tc>
          <w:tcPr>
            <w:tcW w:w="4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00" w:type="dxa"/>
            <w:vAlign w:val="bottom"/>
          </w:tcPr>
          <w:p>
            <w:pPr>
              <w:ind w:left="160"/>
              <w:spacing w:after="0"/>
              <w:rPr>
                <w:sz w:val="20"/>
                <w:szCs w:val="20"/>
                <w:color w:val="auto"/>
              </w:rPr>
            </w:pPr>
            <w:r>
              <w:rPr>
                <w:rFonts w:ascii="Arial" w:cs="Arial" w:eastAsia="Arial" w:hAnsi="Arial"/>
                <w:sz w:val="16"/>
                <w:szCs w:val="16"/>
                <w:color w:val="auto"/>
              </w:rPr>
              <w:t>Marketable securities</w:t>
            </w:r>
          </w:p>
        </w:tc>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227,798</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245,970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Deposits and other long-term assets</w:t>
            </w:r>
          </w:p>
        </w:tc>
        <w:tc>
          <w:tcPr>
            <w:tcW w:w="4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7,805</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00" w:type="dxa"/>
            <w:vAlign w:val="bottom"/>
          </w:tcPr>
          <w:p>
            <w:pPr>
              <w:ind w:left="160"/>
              <w:spacing w:after="0"/>
              <w:rPr>
                <w:sz w:val="20"/>
                <w:szCs w:val="20"/>
                <w:color w:val="auto"/>
              </w:rPr>
            </w:pPr>
            <w:r>
              <w:rPr>
                <w:rFonts w:ascii="Arial" w:cs="Arial" w:eastAsia="Arial" w:hAnsi="Arial"/>
                <w:sz w:val="16"/>
                <w:szCs w:val="16"/>
                <w:color w:val="auto"/>
              </w:rPr>
              <w:t>Severance pay fund</w:t>
            </w:r>
          </w:p>
        </w:tc>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279</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Property, plant and equipment, net</w:t>
            </w:r>
          </w:p>
        </w:tc>
        <w:tc>
          <w:tcPr>
            <w:tcW w:w="4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56,981</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60,463</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00" w:type="dxa"/>
            <w:vAlign w:val="bottom"/>
          </w:tcPr>
          <w:p>
            <w:pPr>
              <w:ind w:left="160"/>
              <w:spacing w:after="0"/>
              <w:rPr>
                <w:sz w:val="20"/>
                <w:szCs w:val="20"/>
                <w:color w:val="auto"/>
              </w:rPr>
            </w:pPr>
            <w:r>
              <w:rPr>
                <w:rFonts w:ascii="Arial" w:cs="Arial" w:eastAsia="Arial" w:hAnsi="Arial"/>
                <w:sz w:val="16"/>
                <w:szCs w:val="16"/>
                <w:color w:val="auto"/>
              </w:rPr>
              <w:t>Operating lease right-of-use assets</w:t>
            </w:r>
          </w:p>
        </w:tc>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29,921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27,139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Intangible assets, net</w:t>
            </w:r>
          </w:p>
        </w:tc>
        <w:tc>
          <w:tcPr>
            <w:tcW w:w="4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8,707</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50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Goodwill</w:t>
            </w:r>
          </w:p>
        </w:tc>
        <w:tc>
          <w:tcPr>
            <w:tcW w:w="4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29,164</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29,164</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long-term assets</w:t>
            </w:r>
          </w:p>
        </w:tc>
        <w:tc>
          <w:tcPr>
            <w:tcW w:w="4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360,655</w:t>
            </w:r>
          </w:p>
        </w:tc>
        <w:tc>
          <w:tcPr>
            <w:tcW w:w="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378,827</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0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assets</w:t>
            </w:r>
          </w:p>
        </w:tc>
        <w:tc>
          <w:tcPr>
            <w:tcW w:w="4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919,783</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957,666</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50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4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00" w:type="dxa"/>
            <w:vAlign w:val="bottom"/>
          </w:tcPr>
          <w:p>
            <w:pPr>
              <w:spacing w:after="0"/>
              <w:rPr>
                <w:sz w:val="20"/>
                <w:szCs w:val="20"/>
                <w:color w:val="auto"/>
              </w:rPr>
            </w:pPr>
            <w:r>
              <w:rPr>
                <w:rFonts w:ascii="Arial" w:cs="Arial" w:eastAsia="Arial" w:hAnsi="Arial"/>
                <w:sz w:val="16"/>
                <w:szCs w:val="16"/>
                <w:color w:val="auto"/>
              </w:rPr>
              <w:t>CURRENT LIABILITIES:</w:t>
            </w:r>
          </w:p>
        </w:tc>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Trade payables</w:t>
            </w:r>
          </w:p>
        </w:tc>
        <w:tc>
          <w:tcPr>
            <w:tcW w:w="4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11,550</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14,833</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00" w:type="dxa"/>
            <w:vAlign w:val="bottom"/>
          </w:tcPr>
          <w:p>
            <w:pPr>
              <w:ind w:left="160"/>
              <w:spacing w:after="0"/>
              <w:rPr>
                <w:sz w:val="20"/>
                <w:szCs w:val="20"/>
                <w:color w:val="auto"/>
              </w:rPr>
            </w:pPr>
            <w:r>
              <w:rPr>
                <w:rFonts w:ascii="Arial" w:cs="Arial" w:eastAsia="Arial" w:hAnsi="Arial"/>
                <w:sz w:val="16"/>
                <w:szCs w:val="16"/>
                <w:color w:val="auto"/>
              </w:rPr>
              <w:t>Employees and payroll accruals</w:t>
            </w:r>
          </w:p>
        </w:tc>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16,307</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14,255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Deferred revenues and advances from customers</w:t>
            </w:r>
          </w:p>
        </w:tc>
        <w:tc>
          <w:tcPr>
            <w:tcW w:w="4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2,464</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00" w:type="dxa"/>
            <w:vAlign w:val="bottom"/>
          </w:tcPr>
          <w:p>
            <w:pPr>
              <w:ind w:left="160"/>
              <w:spacing w:after="0"/>
              <w:rPr>
                <w:sz w:val="20"/>
                <w:szCs w:val="20"/>
                <w:color w:val="auto"/>
              </w:rPr>
            </w:pPr>
            <w:r>
              <w:rPr>
                <w:rFonts w:ascii="Arial" w:cs="Arial" w:eastAsia="Arial" w:hAnsi="Arial"/>
                <w:sz w:val="16"/>
                <w:szCs w:val="16"/>
                <w:color w:val="auto"/>
              </w:rPr>
              <w:t>Operating lease liabilities</w:t>
            </w:r>
          </w:p>
        </w:tc>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4,753</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4,989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 payables and accrued expenses</w:t>
            </w:r>
          </w:p>
        </w:tc>
        <w:tc>
          <w:tcPr>
            <w:tcW w:w="4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26,570</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25,592</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4500" w:type="dxa"/>
            <w:vAlign w:val="bottom"/>
            <w:tcBorders>
              <w:bottom w:val="single" w:sz="8" w:color="CCEEFF"/>
            </w:tcBorders>
          </w:tcPr>
          <w:p>
            <w:pPr>
              <w:spacing w:after="0" w:line="175" w:lineRule="exact"/>
              <w:rPr>
                <w:sz w:val="20"/>
                <w:szCs w:val="20"/>
                <w:color w:val="auto"/>
              </w:rPr>
            </w:pPr>
            <w:r>
              <w:rPr>
                <w:rFonts w:ascii="Arial" w:cs="Arial" w:eastAsia="Arial" w:hAnsi="Arial"/>
                <w:sz w:val="16"/>
                <w:szCs w:val="16"/>
                <w:color w:val="auto"/>
              </w:rPr>
              <w:t>Total current liabilities</w:t>
            </w:r>
          </w:p>
        </w:tc>
        <w:tc>
          <w:tcPr>
            <w:tcW w:w="4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61,644</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65,370</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500" w:type="dxa"/>
            <w:vAlign w:val="bottom"/>
            <w:shd w:val="clear" w:color="auto" w:fill="CCEEFF"/>
          </w:tcPr>
          <w:p>
            <w:pPr>
              <w:spacing w:after="0"/>
              <w:rPr>
                <w:sz w:val="16"/>
                <w:szCs w:val="16"/>
                <w:color w:val="auto"/>
              </w:rPr>
            </w:pPr>
          </w:p>
        </w:tc>
        <w:tc>
          <w:tcPr>
            <w:tcW w:w="4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00" w:type="dxa"/>
            <w:vAlign w:val="bottom"/>
          </w:tcPr>
          <w:p>
            <w:pPr>
              <w:spacing w:after="0"/>
              <w:rPr>
                <w:sz w:val="20"/>
                <w:szCs w:val="20"/>
                <w:color w:val="auto"/>
              </w:rPr>
            </w:pPr>
            <w:r>
              <w:rPr>
                <w:rFonts w:ascii="Arial" w:cs="Arial" w:eastAsia="Arial" w:hAnsi="Arial"/>
                <w:sz w:val="16"/>
                <w:szCs w:val="16"/>
                <w:color w:val="auto"/>
              </w:rPr>
              <w:t>LONG-TERM LIABILITIES:</w:t>
            </w:r>
          </w:p>
        </w:tc>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Accrued severance pay</w:t>
            </w:r>
          </w:p>
        </w:tc>
        <w:tc>
          <w:tcPr>
            <w:tcW w:w="4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1,223</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00" w:type="dxa"/>
            <w:vAlign w:val="bottom"/>
          </w:tcPr>
          <w:p>
            <w:pPr>
              <w:ind w:left="160"/>
              <w:spacing w:after="0"/>
              <w:rPr>
                <w:sz w:val="20"/>
                <w:szCs w:val="20"/>
                <w:color w:val="auto"/>
              </w:rPr>
            </w:pPr>
            <w:r>
              <w:rPr>
                <w:rFonts w:ascii="Arial" w:cs="Arial" w:eastAsia="Arial" w:hAnsi="Arial"/>
                <w:sz w:val="16"/>
                <w:szCs w:val="16"/>
                <w:color w:val="auto"/>
              </w:rPr>
              <w:t>Operating lease liabilities</w:t>
            </w:r>
          </w:p>
        </w:tc>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23,041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21,035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 long-term liabilities</w:t>
            </w:r>
          </w:p>
        </w:tc>
        <w:tc>
          <w:tcPr>
            <w:tcW w:w="4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1,216</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4500" w:type="dxa"/>
            <w:vAlign w:val="bottom"/>
            <w:tcBorders>
              <w:bottom w:val="single" w:sz="8" w:color="CCEEFF"/>
            </w:tcBorders>
          </w:tcPr>
          <w:p>
            <w:pPr>
              <w:spacing w:after="0" w:line="175" w:lineRule="exact"/>
              <w:rPr>
                <w:sz w:val="20"/>
                <w:szCs w:val="20"/>
                <w:color w:val="auto"/>
              </w:rPr>
            </w:pPr>
            <w:r>
              <w:rPr>
                <w:rFonts w:ascii="Arial" w:cs="Arial" w:eastAsia="Arial" w:hAnsi="Arial"/>
                <w:sz w:val="16"/>
                <w:szCs w:val="16"/>
                <w:color w:val="auto"/>
              </w:rPr>
              <w:t>Total long-term liabilities</w:t>
            </w:r>
          </w:p>
        </w:tc>
        <w:tc>
          <w:tcPr>
            <w:tcW w:w="4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24,733</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23,474</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500" w:type="dxa"/>
            <w:vAlign w:val="bottom"/>
            <w:shd w:val="clear" w:color="auto" w:fill="CCEEFF"/>
          </w:tcPr>
          <w:p>
            <w:pPr>
              <w:spacing w:after="0"/>
              <w:rPr>
                <w:sz w:val="16"/>
                <w:szCs w:val="16"/>
                <w:color w:val="auto"/>
              </w:rPr>
            </w:pPr>
          </w:p>
        </w:tc>
        <w:tc>
          <w:tcPr>
            <w:tcW w:w="4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5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SHAREHOLDERS’ EQUITY</w:t>
            </w:r>
          </w:p>
        </w:tc>
        <w:tc>
          <w:tcPr>
            <w:tcW w:w="4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833,406</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868,822</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500" w:type="dxa"/>
            <w:vAlign w:val="bottom"/>
            <w:shd w:val="clear" w:color="auto" w:fill="CCEEFF"/>
          </w:tcPr>
          <w:p>
            <w:pPr>
              <w:spacing w:after="0"/>
              <w:rPr>
                <w:sz w:val="16"/>
                <w:szCs w:val="16"/>
                <w:color w:val="auto"/>
              </w:rPr>
            </w:pPr>
          </w:p>
        </w:tc>
        <w:tc>
          <w:tcPr>
            <w:tcW w:w="4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500" w:type="dxa"/>
            <w:vAlign w:val="bottom"/>
          </w:tcPr>
          <w:p>
            <w:pPr>
              <w:spacing w:after="0"/>
              <w:rPr>
                <w:sz w:val="20"/>
                <w:szCs w:val="20"/>
                <w:color w:val="auto"/>
              </w:rPr>
            </w:pPr>
            <w:r>
              <w:rPr>
                <w:rFonts w:ascii="Arial" w:cs="Arial" w:eastAsia="Arial" w:hAnsi="Arial"/>
                <w:sz w:val="16"/>
                <w:szCs w:val="16"/>
                <w:b w:val="1"/>
                <w:bCs w:val="1"/>
                <w:color w:val="auto"/>
              </w:rPr>
              <w:t>Total liabilities and shareholders’ equity</w:t>
            </w:r>
          </w:p>
        </w:tc>
        <w:tc>
          <w:tcPr>
            <w:tcW w:w="4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919,783</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957,666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4160" w:type="dxa"/>
            <w:vAlign w:val="bottom"/>
            <w:vMerge w:val="restart"/>
          </w:tcPr>
          <w:p>
            <w:pPr>
              <w:jc w:val="right"/>
              <w:ind w:right="2920"/>
              <w:spacing w:after="0"/>
              <w:rPr>
                <w:sz w:val="20"/>
                <w:szCs w:val="20"/>
                <w:color w:val="auto"/>
              </w:rPr>
            </w:pPr>
            <w:r>
              <w:rPr>
                <w:rFonts w:ascii="Arial" w:cs="Arial" w:eastAsia="Arial" w:hAnsi="Arial"/>
                <w:sz w:val="16"/>
                <w:szCs w:val="16"/>
                <w:color w:val="auto"/>
              </w:rPr>
              <w:t>4</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450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16" w:right="319" w:bottom="1440" w:gutter="0" w:footer="0" w:header="0"/>
        </w:sectPr>
      </w:pPr>
    </w:p>
    <w:bookmarkStart w:id="7" w:name="page8"/>
    <w:bookmarkEnd w:id="7"/>
    <w:p>
      <w:pPr>
        <w:ind w:left="4760"/>
        <w:spacing w:after="0"/>
        <w:rPr>
          <w:sz w:val="20"/>
          <w:szCs w:val="20"/>
          <w:color w:val="auto"/>
        </w:rPr>
      </w:pPr>
      <w:r>
        <w:rPr>
          <w:rFonts w:ascii="Arial" w:cs="Arial" w:eastAsia="Arial" w:hAnsi="Arial"/>
          <w:sz w:val="16"/>
          <w:szCs w:val="16"/>
          <w:b w:val="1"/>
          <w:bCs w:val="1"/>
          <w:color w:val="auto"/>
        </w:rPr>
        <w:t>KORNIT DIGITAL LTD.</w:t>
      </w:r>
    </w:p>
    <w:p>
      <w:pPr>
        <w:spacing w:after="0" w:line="24" w:lineRule="exact"/>
        <w:rPr>
          <w:sz w:val="20"/>
          <w:szCs w:val="20"/>
          <w:color w:val="auto"/>
        </w:rPr>
      </w:pPr>
    </w:p>
    <w:p>
      <w:pPr>
        <w:ind w:left="4720"/>
        <w:spacing w:after="0"/>
        <w:rPr>
          <w:sz w:val="20"/>
          <w:szCs w:val="20"/>
          <w:color w:val="auto"/>
        </w:rPr>
      </w:pPr>
      <w:r>
        <w:rPr>
          <w:rFonts w:ascii="Arial" w:cs="Arial" w:eastAsia="Arial" w:hAnsi="Arial"/>
          <w:sz w:val="16"/>
          <w:szCs w:val="16"/>
          <w:b w:val="1"/>
          <w:bCs w:val="1"/>
          <w:color w:val="auto"/>
        </w:rPr>
        <w:t>AND ITS SUBSIDIARIES</w:t>
      </w:r>
    </w:p>
    <w:p>
      <w:pPr>
        <w:spacing w:after="0" w:line="7"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7" w:lineRule="exact"/>
        <w:rPr>
          <w:sz w:val="20"/>
          <w:szCs w:val="20"/>
          <w:color w:val="auto"/>
        </w:rPr>
      </w:pPr>
    </w:p>
    <w:p>
      <w:pPr>
        <w:ind w:left="3740"/>
        <w:spacing w:after="0"/>
        <w:rPr>
          <w:sz w:val="20"/>
          <w:szCs w:val="20"/>
          <w:color w:val="auto"/>
        </w:rPr>
      </w:pPr>
      <w:r>
        <w:rPr>
          <w:rFonts w:ascii="Arial" w:cs="Arial" w:eastAsia="Arial" w:hAnsi="Arial"/>
          <w:sz w:val="16"/>
          <w:szCs w:val="16"/>
          <w:color w:val="auto"/>
        </w:rPr>
        <w:t>(U.S. dollars in thousands, except share and per share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6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0"/>
              </w:rPr>
              <w:t>Three Months Ended</w:t>
            </w:r>
          </w:p>
        </w:tc>
        <w:tc>
          <w:tcPr>
            <w:tcW w:w="240" w:type="dxa"/>
            <w:vAlign w:val="bottom"/>
          </w:tcPr>
          <w:p>
            <w:pPr>
              <w:spacing w:after="0"/>
              <w:rPr>
                <w:sz w:val="17"/>
                <w:szCs w:val="17"/>
                <w:color w:val="auto"/>
              </w:rPr>
            </w:pPr>
          </w:p>
        </w:tc>
        <w:tc>
          <w:tcPr>
            <w:tcW w:w="236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89"/>
              </w:rPr>
              <w:t>Six Months Ended</w:t>
            </w:r>
          </w:p>
        </w:tc>
        <w:tc>
          <w:tcPr>
            <w:tcW w:w="0" w:type="dxa"/>
            <w:vAlign w:val="bottom"/>
          </w:tcPr>
          <w:p>
            <w:pPr>
              <w:spacing w:after="0"/>
              <w:rPr>
                <w:sz w:val="1"/>
                <w:szCs w:val="1"/>
                <w:color w:val="auto"/>
              </w:rPr>
            </w:pPr>
          </w:p>
        </w:tc>
      </w:tr>
      <w:tr>
        <w:trPr>
          <w:trHeight w:val="212"/>
        </w:trPr>
        <w:tc>
          <w:tcPr>
            <w:tcW w:w="5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left="461"/>
              <w:spacing w:after="0"/>
              <w:rPr>
                <w:sz w:val="20"/>
                <w:szCs w:val="20"/>
                <w:color w:val="auto"/>
              </w:rPr>
            </w:pPr>
            <w:r>
              <w:rPr>
                <w:rFonts w:ascii="Arial" w:cs="Arial" w:eastAsia="Arial" w:hAnsi="Arial"/>
                <w:sz w:val="16"/>
                <w:szCs w:val="16"/>
                <w:b w:val="1"/>
                <w:bCs w:val="1"/>
                <w:color w:val="auto"/>
                <w:w w:val="87"/>
              </w:rPr>
              <w:t>June 30,</w:t>
            </w: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left="461"/>
              <w:spacing w:after="0"/>
              <w:rPr>
                <w:sz w:val="20"/>
                <w:szCs w:val="20"/>
                <w:color w:val="auto"/>
              </w:rPr>
            </w:pPr>
            <w:r>
              <w:rPr>
                <w:rFonts w:ascii="Arial" w:cs="Arial" w:eastAsia="Arial" w:hAnsi="Arial"/>
                <w:sz w:val="16"/>
                <w:szCs w:val="16"/>
                <w:b w:val="1"/>
                <w:bCs w:val="1"/>
                <w:color w:val="auto"/>
                <w:w w:val="87"/>
              </w:rPr>
              <w:t>June 30,</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461"/>
              <w:spacing w:after="0"/>
              <w:rPr>
                <w:sz w:val="20"/>
                <w:szCs w:val="20"/>
                <w:color w:val="auto"/>
              </w:rPr>
            </w:pPr>
            <w:r>
              <w:rPr>
                <w:rFonts w:ascii="Arial" w:cs="Arial" w:eastAsia="Arial" w:hAnsi="Arial"/>
                <w:sz w:val="16"/>
                <w:szCs w:val="16"/>
                <w:b w:val="1"/>
                <w:bCs w:val="1"/>
                <w:color w:val="auto"/>
                <w:w w:val="94"/>
              </w:rPr>
              <w:t>(Unaudited)</w:t>
            </w:r>
          </w:p>
        </w:tc>
        <w:tc>
          <w:tcPr>
            <w:tcW w:w="7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461"/>
              <w:spacing w:after="0"/>
              <w:rPr>
                <w:sz w:val="20"/>
                <w:szCs w:val="20"/>
                <w:color w:val="auto"/>
              </w:rPr>
            </w:pPr>
            <w:r>
              <w:rPr>
                <w:rFonts w:ascii="Arial" w:cs="Arial" w:eastAsia="Arial" w:hAnsi="Arial"/>
                <w:sz w:val="16"/>
                <w:szCs w:val="16"/>
                <w:b w:val="1"/>
                <w:bCs w:val="1"/>
                <w:color w:val="auto"/>
                <w:w w:val="94"/>
              </w:rPr>
              <w:t>(Unaudited)</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340" w:type="dxa"/>
            <w:vAlign w:val="bottom"/>
          </w:tcPr>
          <w:p>
            <w:pPr>
              <w:spacing w:after="0"/>
              <w:rPr>
                <w:sz w:val="20"/>
                <w:szCs w:val="20"/>
                <w:color w:val="auto"/>
              </w:rPr>
            </w:pPr>
            <w:r>
              <w:rPr>
                <w:rFonts w:ascii="Arial" w:cs="Arial" w:eastAsia="Arial" w:hAnsi="Arial"/>
                <w:sz w:val="16"/>
                <w:szCs w:val="16"/>
                <w:color w:val="auto"/>
              </w:rPr>
              <w:t>Revenues</w:t>
            </w: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3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Products</w:t>
            </w:r>
          </w:p>
        </w:tc>
        <w:tc>
          <w:tcPr>
            <w:tcW w:w="860" w:type="dxa"/>
            <w:vAlign w:val="bottom"/>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40,083</w:t>
            </w: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47,566</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71,986</w:t>
            </w: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120,080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34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Services</w:t>
            </w:r>
          </w:p>
        </w:tc>
        <w:tc>
          <w:tcPr>
            <w:tcW w:w="6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16,116</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10,570</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31,991</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21,349</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rPr>
              <w:t>Total revenues</w:t>
            </w: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56,199</w:t>
            </w: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58,136</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103,977</w:t>
            </w: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141,429</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rPr>
              <w:t>Cost of revenues</w:t>
            </w: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340" w:type="dxa"/>
            <w:vAlign w:val="bottom"/>
          </w:tcPr>
          <w:p>
            <w:pPr>
              <w:ind w:left="160"/>
              <w:spacing w:after="0"/>
              <w:rPr>
                <w:sz w:val="20"/>
                <w:szCs w:val="20"/>
                <w:color w:val="auto"/>
              </w:rPr>
            </w:pPr>
            <w:r>
              <w:rPr>
                <w:rFonts w:ascii="Arial" w:cs="Arial" w:eastAsia="Arial" w:hAnsi="Arial"/>
                <w:sz w:val="16"/>
                <w:szCs w:val="16"/>
                <w:color w:val="auto"/>
              </w:rPr>
              <w:t>Products</w:t>
            </w: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22,620</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25,667</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42,999</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64,904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Services</w:t>
            </w:r>
          </w:p>
        </w:tc>
        <w:tc>
          <w:tcPr>
            <w:tcW w:w="6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14,886</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11,937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29,213</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22,591</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340" w:type="dxa"/>
            <w:vAlign w:val="bottom"/>
          </w:tcPr>
          <w:p>
            <w:pPr>
              <w:spacing w:after="0" w:line="175" w:lineRule="exact"/>
              <w:rPr>
                <w:sz w:val="20"/>
                <w:szCs w:val="20"/>
                <w:color w:val="auto"/>
              </w:rPr>
            </w:pPr>
            <w:r>
              <w:rPr>
                <w:rFonts w:ascii="Arial" w:cs="Arial" w:eastAsia="Arial" w:hAnsi="Arial"/>
                <w:sz w:val="16"/>
                <w:szCs w:val="16"/>
                <w:color w:val="auto"/>
              </w:rPr>
              <w:t>Total cost of revenues</w:t>
            </w: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line="175" w:lineRule="exact"/>
              <w:rPr>
                <w:sz w:val="20"/>
                <w:szCs w:val="20"/>
                <w:color w:val="auto"/>
              </w:rPr>
            </w:pPr>
            <w:r>
              <w:rPr>
                <w:rFonts w:ascii="Arial" w:cs="Arial" w:eastAsia="Arial" w:hAnsi="Arial"/>
                <w:sz w:val="16"/>
                <w:szCs w:val="16"/>
                <w:color w:val="auto"/>
              </w:rPr>
              <w:t>37,506</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37,604</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line="175" w:lineRule="exact"/>
              <w:rPr>
                <w:sz w:val="20"/>
                <w:szCs w:val="20"/>
                <w:color w:val="auto"/>
              </w:rPr>
            </w:pPr>
            <w:r>
              <w:rPr>
                <w:rFonts w:ascii="Arial" w:cs="Arial" w:eastAsia="Arial" w:hAnsi="Arial"/>
                <w:sz w:val="16"/>
                <w:szCs w:val="16"/>
                <w:color w:val="auto"/>
              </w:rPr>
              <w:t>72,212</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87,495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3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340" w:type="dxa"/>
            <w:vAlign w:val="bottom"/>
          </w:tcPr>
          <w:p>
            <w:pPr>
              <w:spacing w:after="0"/>
              <w:rPr>
                <w:sz w:val="20"/>
                <w:szCs w:val="20"/>
                <w:color w:val="auto"/>
              </w:rPr>
            </w:pPr>
            <w:r>
              <w:rPr>
                <w:rFonts w:ascii="Arial" w:cs="Arial" w:eastAsia="Arial" w:hAnsi="Arial"/>
                <w:sz w:val="16"/>
                <w:szCs w:val="16"/>
                <w:color w:val="auto"/>
              </w:rPr>
              <w:t>Gross profit</w:t>
            </w: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18,693</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20,532</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31,765</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53,934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3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340" w:type="dxa"/>
            <w:vAlign w:val="bottom"/>
          </w:tcPr>
          <w:p>
            <w:pPr>
              <w:spacing w:after="0"/>
              <w:rPr>
                <w:sz w:val="20"/>
                <w:szCs w:val="20"/>
                <w:color w:val="auto"/>
              </w:rPr>
            </w:pPr>
            <w:r>
              <w:rPr>
                <w:rFonts w:ascii="Arial" w:cs="Arial" w:eastAsia="Arial" w:hAnsi="Arial"/>
                <w:sz w:val="16"/>
                <w:szCs w:val="16"/>
                <w:color w:val="auto"/>
              </w:rPr>
              <w:t>Operating expenses:</w:t>
            </w: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3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Research and development, net</w:t>
            </w: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12,907</w:t>
            </w: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14,081</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25,989</w:t>
            </w: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28,091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340" w:type="dxa"/>
            <w:vAlign w:val="bottom"/>
          </w:tcPr>
          <w:p>
            <w:pPr>
              <w:ind w:left="160"/>
              <w:spacing w:after="0"/>
              <w:rPr>
                <w:sz w:val="20"/>
                <w:szCs w:val="20"/>
                <w:color w:val="auto"/>
              </w:rPr>
            </w:pPr>
            <w:r>
              <w:rPr>
                <w:rFonts w:ascii="Arial" w:cs="Arial" w:eastAsia="Arial" w:hAnsi="Arial"/>
                <w:sz w:val="16"/>
                <w:szCs w:val="16"/>
                <w:color w:val="auto"/>
              </w:rPr>
              <w:t>Sales and marketing</w:t>
            </w: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18,158</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21,100</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33,341</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37,631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3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General and administrative</w:t>
            </w: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8,541</w:t>
            </w: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10,250</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17,489</w:t>
            </w: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20,016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3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operating expenses</w:t>
            </w:r>
          </w:p>
        </w:tc>
        <w:tc>
          <w:tcPr>
            <w:tcW w:w="6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39,606</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45,431</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76,819</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85,738</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3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340" w:type="dxa"/>
            <w:vAlign w:val="bottom"/>
          </w:tcPr>
          <w:p>
            <w:pPr>
              <w:spacing w:after="0"/>
              <w:rPr>
                <w:sz w:val="20"/>
                <w:szCs w:val="20"/>
                <w:color w:val="auto"/>
              </w:rPr>
            </w:pPr>
            <w:r>
              <w:rPr>
                <w:rFonts w:ascii="Arial" w:cs="Arial" w:eastAsia="Arial" w:hAnsi="Arial"/>
                <w:sz w:val="16"/>
                <w:szCs w:val="16"/>
                <w:color w:val="auto"/>
              </w:rPr>
              <w:t>Operating loss</w:t>
            </w: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(20,913)</w:t>
            </w:r>
          </w:p>
        </w:tc>
        <w:tc>
          <w:tcPr>
            <w:tcW w:w="36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(24,899)</w:t>
            </w:r>
          </w:p>
        </w:tc>
        <w:tc>
          <w:tcPr>
            <w:tcW w:w="24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(45,054)</w:t>
            </w:r>
          </w:p>
        </w:tc>
        <w:tc>
          <w:tcPr>
            <w:tcW w:w="36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(31,804)</w:t>
            </w:r>
          </w:p>
        </w:tc>
        <w:tc>
          <w:tcPr>
            <w:tcW w:w="0" w:type="dxa"/>
            <w:vAlign w:val="bottom"/>
          </w:tcPr>
          <w:p>
            <w:pPr>
              <w:spacing w:after="0"/>
              <w:rPr>
                <w:sz w:val="1"/>
                <w:szCs w:val="1"/>
                <w:color w:val="auto"/>
              </w:rPr>
            </w:pPr>
          </w:p>
        </w:tc>
      </w:tr>
      <w:tr>
        <w:trPr>
          <w:trHeight w:val="191"/>
        </w:trPr>
        <w:tc>
          <w:tcPr>
            <w:tcW w:w="53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3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Financial income, net</w:t>
            </w:r>
          </w:p>
        </w:tc>
        <w:tc>
          <w:tcPr>
            <w:tcW w:w="6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7,018</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4,324</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12,422</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6,123</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rPr>
              <w:t>Loss before taxes on income</w:t>
            </w: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(13,895)</w:t>
            </w: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(20,575)</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(32,632)</w:t>
            </w: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(25,681)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rPr>
              <w:t>Taxes on income (tax benefit)</w:t>
            </w: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(1,099)</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(1,008)</w:t>
            </w:r>
          </w:p>
        </w:tc>
        <w:tc>
          <w:tcPr>
            <w:tcW w:w="0" w:type="dxa"/>
            <w:vAlign w:val="bottom"/>
          </w:tcPr>
          <w:p>
            <w:pPr>
              <w:spacing w:after="0"/>
              <w:rPr>
                <w:sz w:val="1"/>
                <w:szCs w:val="1"/>
                <w:color w:val="auto"/>
              </w:rPr>
            </w:pPr>
          </w:p>
        </w:tc>
      </w:tr>
      <w:tr>
        <w:trPr>
          <w:trHeight w:val="243"/>
        </w:trPr>
        <w:tc>
          <w:tcPr>
            <w:tcW w:w="534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6"/>
                <w:szCs w:val="16"/>
                <w:color w:val="auto"/>
              </w:rPr>
              <w:t>Net loss</w:t>
            </w:r>
          </w:p>
        </w:tc>
        <w:tc>
          <w:tcPr>
            <w:tcW w:w="620" w:type="dxa"/>
            <w:vAlign w:val="bottom"/>
            <w:tcBorders>
              <w:top w:val="single" w:sz="8" w:color="CCEEFF"/>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(14,325</w:t>
            </w:r>
          </w:p>
        </w:tc>
        <w:tc>
          <w:tcPr>
            <w:tcW w:w="200" w:type="dxa"/>
            <w:vAlign w:val="bottom"/>
            <w:tcBorders>
              <w:top w:val="single" w:sz="8" w:color="CCEEFF"/>
              <w:bottom w:val="single" w:sz="8" w:color="CCEEFF"/>
            </w:tcBorders>
          </w:tcPr>
          <w:p>
            <w:pPr>
              <w:jc w:val="right"/>
              <w:ind w:right="120"/>
              <w:spacing w:after="0"/>
              <w:rPr>
                <w:sz w:val="20"/>
                <w:szCs w:val="20"/>
                <w:color w:val="auto"/>
              </w:rPr>
            </w:pPr>
            <w:r>
              <w:rPr>
                <w:rFonts w:ascii="Arial" w:cs="Arial" w:eastAsia="Arial" w:hAnsi="Arial"/>
                <w:sz w:val="8"/>
                <w:szCs w:val="8"/>
                <w:color w:val="auto"/>
                <w:w w:val="73"/>
              </w:rPr>
              <w:t>)</w:t>
            </w:r>
          </w:p>
        </w:tc>
        <w:tc>
          <w:tcPr>
            <w:tcW w:w="36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(19,476</w:t>
            </w:r>
          </w:p>
        </w:tc>
        <w:tc>
          <w:tcPr>
            <w:tcW w:w="220" w:type="dxa"/>
            <w:vAlign w:val="bottom"/>
            <w:tcBorders>
              <w:top w:val="single" w:sz="8" w:color="CCEEFF"/>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(33,256</w:t>
            </w:r>
          </w:p>
        </w:tc>
        <w:tc>
          <w:tcPr>
            <w:tcW w:w="200" w:type="dxa"/>
            <w:vAlign w:val="bottom"/>
            <w:tcBorders>
              <w:top w:val="single" w:sz="8" w:color="CCEEFF"/>
              <w:bottom w:val="single" w:sz="8" w:color="CCEEFF"/>
            </w:tcBorders>
          </w:tcPr>
          <w:p>
            <w:pPr>
              <w:jc w:val="right"/>
              <w:ind w:right="120"/>
              <w:spacing w:after="0"/>
              <w:rPr>
                <w:sz w:val="20"/>
                <w:szCs w:val="20"/>
                <w:color w:val="auto"/>
              </w:rPr>
            </w:pPr>
            <w:r>
              <w:rPr>
                <w:rFonts w:ascii="Arial" w:cs="Arial" w:eastAsia="Arial" w:hAnsi="Arial"/>
                <w:sz w:val="8"/>
                <w:szCs w:val="8"/>
                <w:color w:val="auto"/>
                <w:w w:val="73"/>
              </w:rPr>
              <w:t>)</w:t>
            </w:r>
          </w:p>
        </w:tc>
        <w:tc>
          <w:tcPr>
            <w:tcW w:w="36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(24,673</w:t>
            </w:r>
          </w:p>
        </w:tc>
        <w:tc>
          <w:tcPr>
            <w:tcW w:w="12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7"/>
        </w:trPr>
        <w:tc>
          <w:tcPr>
            <w:tcW w:w="53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5340" w:type="dxa"/>
            <w:vAlign w:val="bottom"/>
          </w:tcPr>
          <w:p>
            <w:pPr>
              <w:spacing w:after="0"/>
              <w:rPr>
                <w:sz w:val="20"/>
                <w:szCs w:val="20"/>
                <w:color w:val="auto"/>
              </w:rPr>
            </w:pPr>
            <w:r>
              <w:rPr>
                <w:rFonts w:ascii="Arial" w:cs="Arial" w:eastAsia="Arial" w:hAnsi="Arial"/>
                <w:sz w:val="16"/>
                <w:szCs w:val="16"/>
                <w:color w:val="auto"/>
              </w:rPr>
              <w:t>Basic loss per share</w:t>
            </w:r>
          </w:p>
        </w:tc>
        <w:tc>
          <w:tcPr>
            <w:tcW w:w="860" w:type="dxa"/>
            <w:vAlign w:val="bottom"/>
            <w:gridSpan w:val="2"/>
          </w:tcPr>
          <w:p>
            <w:pPr>
              <w:jc w:val="right"/>
              <w:ind w:right="86"/>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20"/>
              <w:spacing w:after="0" w:line="227" w:lineRule="exact"/>
              <w:rPr>
                <w:sz w:val="20"/>
                <w:szCs w:val="20"/>
                <w:color w:val="auto"/>
              </w:rPr>
            </w:pPr>
            <w:r>
              <w:rPr>
                <w:rFonts w:ascii="Arial" w:cs="Arial" w:eastAsia="Arial" w:hAnsi="Arial"/>
                <w:sz w:val="14"/>
                <w:szCs w:val="14"/>
                <w:color w:val="auto"/>
              </w:rPr>
              <w:t>(0.29</w:t>
            </w:r>
            <w:r>
              <w:rPr>
                <w:rFonts w:ascii="Arial" w:cs="Arial" w:eastAsia="Arial" w:hAnsi="Arial"/>
                <w:sz w:val="26"/>
                <w:szCs w:val="26"/>
                <w:color w:val="auto"/>
                <w:vertAlign w:val="superscript"/>
              </w:rPr>
              <w:t>)</w:t>
            </w: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80"/>
              <w:spacing w:after="0" w:line="227" w:lineRule="exact"/>
              <w:rPr>
                <w:sz w:val="20"/>
                <w:szCs w:val="20"/>
                <w:color w:val="auto"/>
              </w:rPr>
            </w:pPr>
            <w:r>
              <w:rPr>
                <w:rFonts w:ascii="Arial" w:cs="Arial" w:eastAsia="Arial" w:hAnsi="Arial"/>
                <w:sz w:val="14"/>
                <w:szCs w:val="14"/>
                <w:color w:val="auto"/>
              </w:rPr>
              <w:t>(0.39</w:t>
            </w:r>
            <w:r>
              <w:rPr>
                <w:rFonts w:ascii="Arial" w:cs="Arial" w:eastAsia="Arial" w:hAnsi="Arial"/>
                <w:sz w:val="26"/>
                <w:szCs w:val="26"/>
                <w:color w:val="auto"/>
                <w:vertAlign w:val="superscript"/>
              </w:rPr>
              <w:t>)</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line="227" w:lineRule="exact"/>
              <w:rPr>
                <w:sz w:val="20"/>
                <w:szCs w:val="20"/>
                <w:color w:val="auto"/>
              </w:rPr>
            </w:pPr>
            <w:r>
              <w:rPr>
                <w:rFonts w:ascii="Arial" w:cs="Arial" w:eastAsia="Arial" w:hAnsi="Arial"/>
                <w:sz w:val="14"/>
                <w:szCs w:val="14"/>
                <w:color w:val="auto"/>
              </w:rPr>
              <w:t>(0.67</w:t>
            </w:r>
            <w:r>
              <w:rPr>
                <w:rFonts w:ascii="Arial" w:cs="Arial" w:eastAsia="Arial" w:hAnsi="Arial"/>
                <w:sz w:val="26"/>
                <w:szCs w:val="26"/>
                <w:color w:val="auto"/>
                <w:vertAlign w:val="superscript"/>
              </w:rPr>
              <w:t>)</w:t>
            </w: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spacing w:after="0" w:line="227" w:lineRule="exact"/>
              <w:rPr>
                <w:sz w:val="20"/>
                <w:szCs w:val="20"/>
                <w:color w:val="auto"/>
              </w:rPr>
            </w:pPr>
            <w:r>
              <w:rPr>
                <w:rFonts w:ascii="Arial" w:cs="Arial" w:eastAsia="Arial" w:hAnsi="Arial"/>
                <w:sz w:val="14"/>
                <w:szCs w:val="14"/>
                <w:color w:val="auto"/>
              </w:rPr>
              <w:t>(0.50</w:t>
            </w:r>
            <w:r>
              <w:rPr>
                <w:rFonts w:ascii="Arial" w:cs="Arial" w:eastAsia="Arial" w:hAnsi="Arial"/>
                <w:sz w:val="26"/>
                <w:szCs w:val="26"/>
                <w:color w:val="auto"/>
                <w:vertAlign w:val="superscript"/>
              </w:rPr>
              <w:t>)</w:t>
            </w:r>
          </w:p>
        </w:tc>
        <w:tc>
          <w:tcPr>
            <w:tcW w:w="0" w:type="dxa"/>
            <w:vAlign w:val="bottom"/>
          </w:tcPr>
          <w:p>
            <w:pPr>
              <w:spacing w:after="0"/>
              <w:rPr>
                <w:sz w:val="1"/>
                <w:szCs w:val="1"/>
                <w:color w:val="auto"/>
              </w:rPr>
            </w:pPr>
          </w:p>
        </w:tc>
      </w:tr>
      <w:tr>
        <w:trPr>
          <w:trHeight w:val="187"/>
        </w:trPr>
        <w:tc>
          <w:tcPr>
            <w:tcW w:w="534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340" w:type="dxa"/>
            <w:vAlign w:val="bottom"/>
          </w:tcPr>
          <w:p>
            <w:pPr>
              <w:spacing w:after="0"/>
              <w:rPr>
                <w:sz w:val="20"/>
                <w:szCs w:val="20"/>
                <w:color w:val="auto"/>
              </w:rPr>
            </w:pPr>
            <w:r>
              <w:rPr>
                <w:rFonts w:ascii="Arial" w:cs="Arial" w:eastAsia="Arial" w:hAnsi="Arial"/>
                <w:sz w:val="16"/>
                <w:szCs w:val="16"/>
                <w:color w:val="auto"/>
                <w:w w:val="93"/>
              </w:rPr>
              <w:t>Weighted average number of shares used in computing basic net loss per share</w:t>
            </w:r>
          </w:p>
        </w:tc>
        <w:tc>
          <w:tcPr>
            <w:tcW w:w="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49,554,383</w:t>
            </w: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49,756,990</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49,720,453</w:t>
            </w: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49,707,782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3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340" w:type="dxa"/>
            <w:vAlign w:val="bottom"/>
          </w:tcPr>
          <w:p>
            <w:pPr>
              <w:spacing w:after="0"/>
              <w:rPr>
                <w:sz w:val="20"/>
                <w:szCs w:val="20"/>
                <w:color w:val="auto"/>
              </w:rPr>
            </w:pPr>
            <w:r>
              <w:rPr>
                <w:rFonts w:ascii="Arial" w:cs="Arial" w:eastAsia="Arial" w:hAnsi="Arial"/>
                <w:sz w:val="16"/>
                <w:szCs w:val="16"/>
                <w:b w:val="1"/>
                <w:bCs w:val="1"/>
                <w:color w:val="auto"/>
              </w:rPr>
              <w:t>Diluted net loss per share</w:t>
            </w:r>
          </w:p>
        </w:tc>
        <w:tc>
          <w:tcPr>
            <w:tcW w:w="860" w:type="dxa"/>
            <w:vAlign w:val="bottom"/>
            <w:gridSpan w:val="2"/>
          </w:tcPr>
          <w:p>
            <w:pPr>
              <w:jc w:val="right"/>
              <w:ind w:right="86"/>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20"/>
              <w:spacing w:after="0" w:line="227" w:lineRule="exact"/>
              <w:rPr>
                <w:sz w:val="20"/>
                <w:szCs w:val="20"/>
                <w:color w:val="auto"/>
              </w:rPr>
            </w:pPr>
            <w:r>
              <w:rPr>
                <w:rFonts w:ascii="Arial" w:cs="Arial" w:eastAsia="Arial" w:hAnsi="Arial"/>
                <w:sz w:val="14"/>
                <w:szCs w:val="14"/>
                <w:color w:val="auto"/>
              </w:rPr>
              <w:t>(0.29</w:t>
            </w:r>
            <w:r>
              <w:rPr>
                <w:rFonts w:ascii="Arial" w:cs="Arial" w:eastAsia="Arial" w:hAnsi="Arial"/>
                <w:sz w:val="26"/>
                <w:szCs w:val="26"/>
                <w:color w:val="auto"/>
                <w:vertAlign w:val="superscript"/>
              </w:rPr>
              <w:t>)</w:t>
            </w: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80"/>
              <w:spacing w:after="0" w:line="227" w:lineRule="exact"/>
              <w:rPr>
                <w:sz w:val="20"/>
                <w:szCs w:val="20"/>
                <w:color w:val="auto"/>
              </w:rPr>
            </w:pPr>
            <w:r>
              <w:rPr>
                <w:rFonts w:ascii="Arial" w:cs="Arial" w:eastAsia="Arial" w:hAnsi="Arial"/>
                <w:sz w:val="14"/>
                <w:szCs w:val="14"/>
                <w:color w:val="auto"/>
              </w:rPr>
              <w:t>(0.39</w:t>
            </w:r>
            <w:r>
              <w:rPr>
                <w:rFonts w:ascii="Arial" w:cs="Arial" w:eastAsia="Arial" w:hAnsi="Arial"/>
                <w:sz w:val="26"/>
                <w:szCs w:val="26"/>
                <w:color w:val="auto"/>
                <w:vertAlign w:val="superscript"/>
              </w:rPr>
              <w:t>)</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line="227" w:lineRule="exact"/>
              <w:rPr>
                <w:sz w:val="20"/>
                <w:szCs w:val="20"/>
                <w:color w:val="auto"/>
              </w:rPr>
            </w:pPr>
            <w:r>
              <w:rPr>
                <w:rFonts w:ascii="Arial" w:cs="Arial" w:eastAsia="Arial" w:hAnsi="Arial"/>
                <w:sz w:val="14"/>
                <w:szCs w:val="14"/>
                <w:color w:val="auto"/>
              </w:rPr>
              <w:t>(0.67</w:t>
            </w:r>
            <w:r>
              <w:rPr>
                <w:rFonts w:ascii="Arial" w:cs="Arial" w:eastAsia="Arial" w:hAnsi="Arial"/>
                <w:sz w:val="26"/>
                <w:szCs w:val="26"/>
                <w:color w:val="auto"/>
                <w:vertAlign w:val="superscript"/>
              </w:rPr>
              <w:t>)</w:t>
            </w: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spacing w:after="0" w:line="227" w:lineRule="exact"/>
              <w:rPr>
                <w:sz w:val="20"/>
                <w:szCs w:val="20"/>
                <w:color w:val="auto"/>
              </w:rPr>
            </w:pPr>
            <w:r>
              <w:rPr>
                <w:rFonts w:ascii="Arial" w:cs="Arial" w:eastAsia="Arial" w:hAnsi="Arial"/>
                <w:sz w:val="14"/>
                <w:szCs w:val="14"/>
                <w:color w:val="auto"/>
              </w:rPr>
              <w:t>(0.50</w:t>
            </w:r>
            <w:r>
              <w:rPr>
                <w:rFonts w:ascii="Arial" w:cs="Arial" w:eastAsia="Arial" w:hAnsi="Arial"/>
                <w:sz w:val="26"/>
                <w:szCs w:val="26"/>
                <w:color w:val="auto"/>
                <w:vertAlign w:val="superscript"/>
              </w:rPr>
              <w:t>)</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3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340" w:type="dxa"/>
            <w:vAlign w:val="bottom"/>
          </w:tcPr>
          <w:p>
            <w:pPr>
              <w:spacing w:after="0"/>
              <w:rPr>
                <w:sz w:val="20"/>
                <w:szCs w:val="20"/>
                <w:color w:val="auto"/>
              </w:rPr>
            </w:pPr>
            <w:r>
              <w:rPr>
                <w:rFonts w:ascii="Arial" w:cs="Arial" w:eastAsia="Arial" w:hAnsi="Arial"/>
                <w:sz w:val="16"/>
                <w:szCs w:val="16"/>
                <w:color w:val="auto"/>
                <w:w w:val="92"/>
              </w:rPr>
              <w:t>Weighted average number of shares used in computing diluted net loss per share</w:t>
            </w:r>
          </w:p>
        </w:tc>
        <w:tc>
          <w:tcPr>
            <w:tcW w:w="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49,554,383</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49,756,990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49,720,453</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49,707,782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620" w:type="dxa"/>
            <w:vAlign w:val="bottom"/>
            <w:vMerge w:val="restart"/>
          </w:tcPr>
          <w:p>
            <w:pPr>
              <w:jc w:val="right"/>
              <w:ind w:right="220"/>
              <w:spacing w:after="0"/>
              <w:rPr>
                <w:sz w:val="20"/>
                <w:szCs w:val="20"/>
                <w:color w:val="auto"/>
              </w:rPr>
            </w:pPr>
            <w:r>
              <w:rPr>
                <w:rFonts w:ascii="Arial" w:cs="Arial" w:eastAsia="Arial" w:hAnsi="Arial"/>
                <w:sz w:val="16"/>
                <w:szCs w:val="16"/>
                <w:color w:val="auto"/>
              </w:rPr>
              <w:t>5</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53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16" w:right="31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6"/>
          <w:szCs w:val="16"/>
          <w:b w:val="1"/>
          <w:bCs w:val="1"/>
          <w:color w:val="auto"/>
        </w:rPr>
        <w:t>KORNIT DIGITAL LTD.</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AND ITS SUBSIDIARIES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RECONCILIATION OF GAAP TO NON-GAAP CONSOLIDATED STATEMENTS OF OPERATIONS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(U.S. dollars in thousands, except share and per share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60" w:type="dxa"/>
            <w:vAlign w:val="bottom"/>
            <w:gridSpan w:val="5"/>
          </w:tcPr>
          <w:p>
            <w:pPr>
              <w:jc w:val="center"/>
              <w:ind w:right="419"/>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6"/>
                <w:szCs w:val="16"/>
                <w:color w:val="auto"/>
              </w:rPr>
            </w:pPr>
          </w:p>
        </w:tc>
        <w:tc>
          <w:tcPr>
            <w:tcW w:w="2360" w:type="dxa"/>
            <w:vAlign w:val="bottom"/>
            <w:gridSpan w:val="5"/>
          </w:tcPr>
          <w:p>
            <w:pPr>
              <w:jc w:val="center"/>
              <w:ind w:right="319"/>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201"/>
        </w:trPr>
        <w:tc>
          <w:tcPr>
            <w:tcW w:w="5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center"/>
              <w:ind w:left="468"/>
              <w:spacing w:after="0"/>
              <w:rPr>
                <w:sz w:val="20"/>
                <w:szCs w:val="20"/>
                <w:color w:val="auto"/>
              </w:rPr>
            </w:pPr>
            <w:r>
              <w:rPr>
                <w:rFonts w:ascii="Arial" w:cs="Arial" w:eastAsia="Arial" w:hAnsi="Arial"/>
                <w:sz w:val="14"/>
                <w:szCs w:val="14"/>
                <w:b w:val="1"/>
                <w:bCs w:val="1"/>
                <w:color w:val="auto"/>
                <w:w w:val="92"/>
              </w:rPr>
              <w:t>June 30,</w:t>
            </w:r>
          </w:p>
        </w:tc>
        <w:tc>
          <w:tcPr>
            <w:tcW w:w="7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center"/>
              <w:ind w:left="468"/>
              <w:spacing w:after="0"/>
              <w:rPr>
                <w:sz w:val="20"/>
                <w:szCs w:val="20"/>
                <w:color w:val="auto"/>
              </w:rPr>
            </w:pPr>
            <w:r>
              <w:rPr>
                <w:rFonts w:ascii="Arial" w:cs="Arial" w:eastAsia="Arial" w:hAnsi="Arial"/>
                <w:sz w:val="14"/>
                <w:szCs w:val="14"/>
                <w:b w:val="1"/>
                <w:bCs w:val="1"/>
                <w:color w:val="auto"/>
                <w:w w:val="92"/>
              </w:rPr>
              <w:t>June 30,</w:t>
            </w:r>
          </w:p>
        </w:tc>
        <w:tc>
          <w:tcPr>
            <w:tcW w:w="7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center"/>
              <w:ind w:left="488"/>
              <w:spacing w:after="0"/>
              <w:rPr>
                <w:sz w:val="20"/>
                <w:szCs w:val="20"/>
                <w:color w:val="auto"/>
              </w:rPr>
            </w:pPr>
            <w:r>
              <w:rPr>
                <w:rFonts w:ascii="Arial" w:cs="Arial" w:eastAsia="Arial" w:hAnsi="Arial"/>
                <w:sz w:val="14"/>
                <w:szCs w:val="14"/>
                <w:b w:val="1"/>
                <w:bCs w:val="1"/>
                <w:color w:val="auto"/>
                <w:w w:val="95"/>
              </w:rPr>
              <w:t>(Unaudited)</w:t>
            </w: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center"/>
              <w:ind w:left="488"/>
              <w:spacing w:after="0"/>
              <w:rPr>
                <w:sz w:val="20"/>
                <w:szCs w:val="20"/>
                <w:color w:val="auto"/>
              </w:rPr>
            </w:pPr>
            <w:r>
              <w:rPr>
                <w:rFonts w:ascii="Arial" w:cs="Arial" w:eastAsia="Arial" w:hAnsi="Arial"/>
                <w:sz w:val="14"/>
                <w:szCs w:val="14"/>
                <w:b w:val="1"/>
                <w:bCs w:val="1"/>
                <w:color w:val="auto"/>
                <w:w w:val="95"/>
              </w:rPr>
              <w:t>(Unaudited)</w:t>
            </w: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spacing w:after="0"/>
              <w:rPr>
                <w:sz w:val="20"/>
                <w:szCs w:val="20"/>
                <w:color w:val="auto"/>
              </w:rPr>
            </w:pPr>
            <w:r>
              <w:rPr>
                <w:rFonts w:ascii="Arial" w:cs="Arial" w:eastAsia="Arial" w:hAnsi="Arial"/>
                <w:sz w:val="14"/>
                <w:szCs w:val="14"/>
                <w:color w:val="auto"/>
              </w:rPr>
              <w:t>Revenues</w:t>
            </w:r>
          </w:p>
        </w:tc>
        <w:tc>
          <w:tcPr>
            <w:tcW w:w="34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56,199</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58,136</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103,977</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141,429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860" w:type="dxa"/>
            <w:vAlign w:val="bottom"/>
            <w:shd w:val="clear" w:color="auto" w:fill="CCEEFF"/>
          </w:tcPr>
          <w:p>
            <w:pPr>
              <w:spacing w:after="0"/>
              <w:rPr>
                <w:sz w:val="20"/>
                <w:szCs w:val="20"/>
                <w:color w:val="auto"/>
              </w:rPr>
            </w:pPr>
            <w:r>
              <w:rPr>
                <w:rFonts w:ascii="Arial" w:cs="Arial" w:eastAsia="Arial" w:hAnsi="Arial"/>
                <w:sz w:val="14"/>
                <w:szCs w:val="14"/>
                <w:color w:val="auto"/>
              </w:rPr>
              <w:t>GAAP cost of revenues</w:t>
            </w:r>
          </w:p>
        </w:tc>
        <w:tc>
          <w:tcPr>
            <w:tcW w:w="34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37,506</w:t>
            </w: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37,604</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72,212</w:t>
            </w: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87,495</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860" w:type="dxa"/>
            <w:vAlign w:val="bottom"/>
          </w:tcPr>
          <w:p>
            <w:pPr>
              <w:spacing w:after="0"/>
              <w:rPr>
                <w:sz w:val="20"/>
                <w:szCs w:val="20"/>
                <w:color w:val="auto"/>
              </w:rPr>
            </w:pPr>
            <w:r>
              <w:rPr>
                <w:rFonts w:ascii="Arial" w:cs="Arial" w:eastAsia="Arial" w:hAnsi="Arial"/>
                <w:sz w:val="14"/>
                <w:szCs w:val="14"/>
                <w:color w:val="auto"/>
              </w:rPr>
              <w:t>Cost of product recorded for share-based compensation (1)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119"/>
              <w:spacing w:after="0"/>
              <w:rPr>
                <w:sz w:val="20"/>
                <w:szCs w:val="20"/>
                <w:color w:val="auto"/>
              </w:rPr>
            </w:pPr>
            <w:r>
              <w:rPr>
                <w:rFonts w:ascii="Arial" w:cs="Arial" w:eastAsia="Arial" w:hAnsi="Arial"/>
                <w:sz w:val="14"/>
                <w:szCs w:val="14"/>
                <w:color w:val="auto"/>
              </w:rPr>
              <w:t>(672)</w:t>
            </w:r>
          </w:p>
        </w:tc>
        <w:tc>
          <w:tcPr>
            <w:tcW w:w="360" w:type="dxa"/>
            <w:vAlign w:val="bottom"/>
          </w:tcPr>
          <w:p>
            <w:pPr>
              <w:spacing w:after="0"/>
              <w:rPr>
                <w:sz w:val="15"/>
                <w:szCs w:val="15"/>
                <w:color w:val="auto"/>
              </w:rPr>
            </w:pPr>
          </w:p>
        </w:tc>
        <w:tc>
          <w:tcPr>
            <w:tcW w:w="1000" w:type="dxa"/>
            <w:vAlign w:val="bottom"/>
            <w:gridSpan w:val="2"/>
          </w:tcPr>
          <w:p>
            <w:pPr>
              <w:jc w:val="right"/>
              <w:ind w:right="139"/>
              <w:spacing w:after="0"/>
              <w:rPr>
                <w:sz w:val="20"/>
                <w:szCs w:val="20"/>
                <w:color w:val="auto"/>
              </w:rPr>
            </w:pPr>
            <w:r>
              <w:rPr>
                <w:rFonts w:ascii="Arial" w:cs="Arial" w:eastAsia="Arial" w:hAnsi="Arial"/>
                <w:sz w:val="14"/>
                <w:szCs w:val="14"/>
                <w:color w:val="auto"/>
              </w:rPr>
              <w:t>(606)</w:t>
            </w:r>
          </w:p>
        </w:tc>
        <w:tc>
          <w:tcPr>
            <w:tcW w:w="240" w:type="dxa"/>
            <w:vAlign w:val="bottom"/>
          </w:tcPr>
          <w:p>
            <w:pPr>
              <w:spacing w:after="0"/>
              <w:rPr>
                <w:sz w:val="15"/>
                <w:szCs w:val="15"/>
                <w:color w:val="auto"/>
              </w:rPr>
            </w:pPr>
          </w:p>
        </w:tc>
        <w:tc>
          <w:tcPr>
            <w:tcW w:w="1100" w:type="dxa"/>
            <w:vAlign w:val="bottom"/>
            <w:gridSpan w:val="2"/>
          </w:tcPr>
          <w:p>
            <w:pPr>
              <w:jc w:val="right"/>
              <w:ind w:right="119"/>
              <w:spacing w:after="0"/>
              <w:rPr>
                <w:sz w:val="20"/>
                <w:szCs w:val="20"/>
                <w:color w:val="auto"/>
              </w:rPr>
            </w:pPr>
            <w:r>
              <w:rPr>
                <w:rFonts w:ascii="Arial" w:cs="Arial" w:eastAsia="Arial" w:hAnsi="Arial"/>
                <w:sz w:val="14"/>
                <w:szCs w:val="14"/>
                <w:color w:val="auto"/>
              </w:rPr>
              <w:t>(1,179)</w:t>
            </w:r>
          </w:p>
        </w:tc>
        <w:tc>
          <w:tcPr>
            <w:tcW w:w="360" w:type="dxa"/>
            <w:vAlign w:val="bottom"/>
          </w:tcPr>
          <w:p>
            <w:pPr>
              <w:spacing w:after="0"/>
              <w:rPr>
                <w:sz w:val="15"/>
                <w:szCs w:val="15"/>
                <w:color w:val="auto"/>
              </w:rPr>
            </w:pPr>
          </w:p>
        </w:tc>
        <w:tc>
          <w:tcPr>
            <w:tcW w:w="900" w:type="dxa"/>
            <w:vAlign w:val="bottom"/>
            <w:gridSpan w:val="2"/>
          </w:tcPr>
          <w:p>
            <w:pPr>
              <w:jc w:val="right"/>
              <w:ind w:right="39"/>
              <w:spacing w:after="0"/>
              <w:rPr>
                <w:sz w:val="20"/>
                <w:szCs w:val="20"/>
                <w:color w:val="auto"/>
              </w:rPr>
            </w:pPr>
            <w:r>
              <w:rPr>
                <w:rFonts w:ascii="Arial" w:cs="Arial" w:eastAsia="Arial" w:hAnsi="Arial"/>
                <w:sz w:val="14"/>
                <w:szCs w:val="14"/>
                <w:color w:val="auto"/>
              </w:rPr>
              <w:t>(1,055)</w:t>
            </w:r>
          </w:p>
        </w:tc>
        <w:tc>
          <w:tcPr>
            <w:tcW w:w="0" w:type="dxa"/>
            <w:vAlign w:val="bottom"/>
          </w:tcPr>
          <w:p>
            <w:pPr>
              <w:spacing w:after="0"/>
              <w:rPr>
                <w:sz w:val="1"/>
                <w:szCs w:val="1"/>
                <w:color w:val="auto"/>
              </w:rPr>
            </w:pPr>
          </w:p>
        </w:tc>
      </w:tr>
      <w:tr>
        <w:trPr>
          <w:trHeight w:val="179"/>
        </w:trPr>
        <w:tc>
          <w:tcPr>
            <w:tcW w:w="5860" w:type="dxa"/>
            <w:vAlign w:val="bottom"/>
            <w:shd w:val="clear" w:color="auto" w:fill="CCEEFF"/>
          </w:tcPr>
          <w:p>
            <w:pPr>
              <w:spacing w:after="0"/>
              <w:rPr>
                <w:sz w:val="20"/>
                <w:szCs w:val="20"/>
                <w:color w:val="auto"/>
              </w:rPr>
            </w:pPr>
            <w:r>
              <w:rPr>
                <w:rFonts w:ascii="Arial" w:cs="Arial" w:eastAsia="Arial" w:hAnsi="Arial"/>
                <w:sz w:val="14"/>
                <w:szCs w:val="14"/>
                <w:color w:val="auto"/>
              </w:rPr>
              <w:t>Cost of service recorded for share-based compensation (1)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(493)</w:t>
            </w:r>
          </w:p>
        </w:tc>
        <w:tc>
          <w:tcPr>
            <w:tcW w:w="3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(461)</w:t>
            </w:r>
          </w:p>
        </w:tc>
        <w:tc>
          <w:tcPr>
            <w:tcW w:w="2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(844)</w:t>
            </w:r>
          </w:p>
        </w:tc>
        <w:tc>
          <w:tcPr>
            <w:tcW w:w="3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(846)</w:t>
            </w:r>
          </w:p>
        </w:tc>
        <w:tc>
          <w:tcPr>
            <w:tcW w:w="0" w:type="dxa"/>
            <w:vAlign w:val="bottom"/>
          </w:tcPr>
          <w:p>
            <w:pPr>
              <w:spacing w:after="0"/>
              <w:rPr>
                <w:sz w:val="1"/>
                <w:szCs w:val="1"/>
                <w:color w:val="auto"/>
              </w:rPr>
            </w:pPr>
          </w:p>
        </w:tc>
      </w:tr>
      <w:tr>
        <w:trPr>
          <w:trHeight w:val="179"/>
        </w:trPr>
        <w:tc>
          <w:tcPr>
            <w:tcW w:w="5860" w:type="dxa"/>
            <w:vAlign w:val="bottom"/>
          </w:tcPr>
          <w:p>
            <w:pPr>
              <w:spacing w:after="0"/>
              <w:rPr>
                <w:sz w:val="20"/>
                <w:szCs w:val="20"/>
                <w:color w:val="auto"/>
              </w:rPr>
            </w:pPr>
            <w:r>
              <w:rPr>
                <w:rFonts w:ascii="Arial" w:cs="Arial" w:eastAsia="Arial" w:hAnsi="Arial"/>
                <w:sz w:val="14"/>
                <w:szCs w:val="14"/>
                <w:color w:val="auto"/>
              </w:rPr>
              <w:t>Intangible assets amortization on cost of product (3)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119"/>
              <w:spacing w:after="0"/>
              <w:rPr>
                <w:sz w:val="20"/>
                <w:szCs w:val="20"/>
                <w:color w:val="auto"/>
              </w:rPr>
            </w:pPr>
            <w:r>
              <w:rPr>
                <w:rFonts w:ascii="Arial" w:cs="Arial" w:eastAsia="Arial" w:hAnsi="Arial"/>
                <w:sz w:val="14"/>
                <w:szCs w:val="14"/>
                <w:color w:val="auto"/>
              </w:rPr>
              <w:t>(263)</w:t>
            </w:r>
          </w:p>
        </w:tc>
        <w:tc>
          <w:tcPr>
            <w:tcW w:w="360" w:type="dxa"/>
            <w:vAlign w:val="bottom"/>
          </w:tcPr>
          <w:p>
            <w:pPr>
              <w:spacing w:after="0"/>
              <w:rPr>
                <w:sz w:val="15"/>
                <w:szCs w:val="15"/>
                <w:color w:val="auto"/>
              </w:rPr>
            </w:pPr>
          </w:p>
        </w:tc>
        <w:tc>
          <w:tcPr>
            <w:tcW w:w="1000" w:type="dxa"/>
            <w:vAlign w:val="bottom"/>
            <w:gridSpan w:val="2"/>
          </w:tcPr>
          <w:p>
            <w:pPr>
              <w:jc w:val="right"/>
              <w:ind w:right="139"/>
              <w:spacing w:after="0"/>
              <w:rPr>
                <w:sz w:val="20"/>
                <w:szCs w:val="20"/>
                <w:color w:val="auto"/>
              </w:rPr>
            </w:pPr>
            <w:r>
              <w:rPr>
                <w:rFonts w:ascii="Arial" w:cs="Arial" w:eastAsia="Arial" w:hAnsi="Arial"/>
                <w:sz w:val="14"/>
                <w:szCs w:val="14"/>
                <w:color w:val="auto"/>
              </w:rPr>
              <w:t>(666)</w:t>
            </w:r>
          </w:p>
        </w:tc>
        <w:tc>
          <w:tcPr>
            <w:tcW w:w="240" w:type="dxa"/>
            <w:vAlign w:val="bottom"/>
          </w:tcPr>
          <w:p>
            <w:pPr>
              <w:spacing w:after="0"/>
              <w:rPr>
                <w:sz w:val="15"/>
                <w:szCs w:val="15"/>
                <w:color w:val="auto"/>
              </w:rPr>
            </w:pPr>
          </w:p>
        </w:tc>
        <w:tc>
          <w:tcPr>
            <w:tcW w:w="1100" w:type="dxa"/>
            <w:vAlign w:val="bottom"/>
            <w:gridSpan w:val="2"/>
          </w:tcPr>
          <w:p>
            <w:pPr>
              <w:jc w:val="right"/>
              <w:ind w:right="119"/>
              <w:spacing w:after="0"/>
              <w:rPr>
                <w:sz w:val="20"/>
                <w:szCs w:val="20"/>
                <w:color w:val="auto"/>
              </w:rPr>
            </w:pPr>
            <w:r>
              <w:rPr>
                <w:rFonts w:ascii="Arial" w:cs="Arial" w:eastAsia="Arial" w:hAnsi="Arial"/>
                <w:sz w:val="14"/>
                <w:szCs w:val="14"/>
                <w:color w:val="auto"/>
              </w:rPr>
              <w:t>(526)</w:t>
            </w:r>
          </w:p>
        </w:tc>
        <w:tc>
          <w:tcPr>
            <w:tcW w:w="360" w:type="dxa"/>
            <w:vAlign w:val="bottom"/>
          </w:tcPr>
          <w:p>
            <w:pPr>
              <w:spacing w:after="0"/>
              <w:rPr>
                <w:sz w:val="15"/>
                <w:szCs w:val="15"/>
                <w:color w:val="auto"/>
              </w:rPr>
            </w:pPr>
          </w:p>
        </w:tc>
        <w:tc>
          <w:tcPr>
            <w:tcW w:w="900" w:type="dxa"/>
            <w:vAlign w:val="bottom"/>
            <w:gridSpan w:val="2"/>
          </w:tcPr>
          <w:p>
            <w:pPr>
              <w:jc w:val="right"/>
              <w:ind w:right="39"/>
              <w:spacing w:after="0"/>
              <w:rPr>
                <w:sz w:val="20"/>
                <w:szCs w:val="20"/>
                <w:color w:val="auto"/>
              </w:rPr>
            </w:pPr>
            <w:r>
              <w:rPr>
                <w:rFonts w:ascii="Arial" w:cs="Arial" w:eastAsia="Arial" w:hAnsi="Arial"/>
                <w:sz w:val="14"/>
                <w:szCs w:val="14"/>
                <w:color w:val="auto"/>
              </w:rPr>
              <w:t>(839)</w:t>
            </w:r>
          </w:p>
        </w:tc>
        <w:tc>
          <w:tcPr>
            <w:tcW w:w="0" w:type="dxa"/>
            <w:vAlign w:val="bottom"/>
          </w:tcPr>
          <w:p>
            <w:pPr>
              <w:spacing w:after="0"/>
              <w:rPr>
                <w:sz w:val="1"/>
                <w:szCs w:val="1"/>
                <w:color w:val="auto"/>
              </w:rPr>
            </w:pPr>
          </w:p>
        </w:tc>
      </w:tr>
      <w:tr>
        <w:trPr>
          <w:trHeight w:val="179"/>
        </w:trPr>
        <w:tc>
          <w:tcPr>
            <w:tcW w:w="5860" w:type="dxa"/>
            <w:vAlign w:val="bottom"/>
            <w:shd w:val="clear" w:color="auto" w:fill="CCEEFF"/>
          </w:tcPr>
          <w:p>
            <w:pPr>
              <w:spacing w:after="0"/>
              <w:rPr>
                <w:sz w:val="20"/>
                <w:szCs w:val="20"/>
                <w:color w:val="auto"/>
              </w:rPr>
            </w:pPr>
            <w:r>
              <w:rPr>
                <w:rFonts w:ascii="Arial" w:cs="Arial" w:eastAsia="Arial" w:hAnsi="Arial"/>
                <w:sz w:val="14"/>
                <w:szCs w:val="14"/>
                <w:color w:val="auto"/>
              </w:rPr>
              <w:t>Intangible assets amortization on cost of service (3)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(160)</w:t>
            </w:r>
          </w:p>
        </w:tc>
        <w:tc>
          <w:tcPr>
            <w:tcW w:w="3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(160)</w:t>
            </w:r>
          </w:p>
        </w:tc>
        <w:tc>
          <w:tcPr>
            <w:tcW w:w="2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(320)</w:t>
            </w:r>
          </w:p>
        </w:tc>
        <w:tc>
          <w:tcPr>
            <w:tcW w:w="3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195"/>
        </w:trPr>
        <w:tc>
          <w:tcPr>
            <w:tcW w:w="5860" w:type="dxa"/>
            <w:vAlign w:val="bottom"/>
          </w:tcPr>
          <w:p>
            <w:pPr>
              <w:spacing w:after="0"/>
              <w:rPr>
                <w:sz w:val="20"/>
                <w:szCs w:val="20"/>
                <w:color w:val="auto"/>
              </w:rPr>
            </w:pPr>
            <w:r>
              <w:rPr>
                <w:rFonts w:ascii="Arial" w:cs="Arial" w:eastAsia="Arial" w:hAnsi="Arial"/>
                <w:sz w:val="14"/>
                <w:szCs w:val="14"/>
                <w:color w:val="auto"/>
              </w:rPr>
              <w:t>Restructuring expenses (4)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19"/>
              <w:spacing w:after="0"/>
              <w:rPr>
                <w:sz w:val="20"/>
                <w:szCs w:val="20"/>
                <w:color w:val="auto"/>
              </w:rPr>
            </w:pPr>
            <w:r>
              <w:rPr>
                <w:rFonts w:ascii="Arial" w:cs="Arial" w:eastAsia="Arial" w:hAnsi="Arial"/>
                <w:sz w:val="14"/>
                <w:szCs w:val="14"/>
                <w:color w:val="auto"/>
              </w:rPr>
              <w:t>(89)</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Non-GAAP cost of revenues</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35,918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35,711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69,254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84,435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860" w:type="dxa"/>
            <w:vAlign w:val="bottom"/>
            <w:shd w:val="clear" w:color="auto" w:fill="CCEEFF"/>
          </w:tcPr>
          <w:p>
            <w:pPr>
              <w:spacing w:after="0"/>
              <w:rPr>
                <w:sz w:val="20"/>
                <w:szCs w:val="20"/>
                <w:color w:val="auto"/>
              </w:rPr>
            </w:pPr>
            <w:r>
              <w:rPr>
                <w:rFonts w:ascii="Arial" w:cs="Arial" w:eastAsia="Arial" w:hAnsi="Arial"/>
                <w:sz w:val="14"/>
                <w:szCs w:val="14"/>
                <w:color w:val="auto"/>
              </w:rPr>
              <w:t>GAAP gross profit</w:t>
            </w:r>
          </w:p>
        </w:tc>
        <w:tc>
          <w:tcPr>
            <w:tcW w:w="34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18,693</w:t>
            </w: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20,532</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31,765</w:t>
            </w: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53,934</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8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Gross profit adjustments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1,588</w:t>
            </w:r>
          </w:p>
        </w:tc>
        <w:tc>
          <w:tcPr>
            <w:tcW w:w="2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1,893</w:t>
            </w: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2,958</w:t>
            </w:r>
          </w:p>
        </w:tc>
        <w:tc>
          <w:tcPr>
            <w:tcW w:w="2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3,060</w:t>
            </w: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860" w:type="dxa"/>
            <w:vAlign w:val="bottom"/>
            <w:shd w:val="clear" w:color="auto" w:fill="CCEEFF"/>
          </w:tcPr>
          <w:p>
            <w:pPr>
              <w:spacing w:after="0"/>
              <w:rPr>
                <w:sz w:val="20"/>
                <w:szCs w:val="20"/>
                <w:color w:val="auto"/>
              </w:rPr>
            </w:pPr>
            <w:r>
              <w:rPr>
                <w:rFonts w:ascii="Arial" w:cs="Arial" w:eastAsia="Arial" w:hAnsi="Arial"/>
                <w:sz w:val="14"/>
                <w:szCs w:val="14"/>
                <w:color w:val="auto"/>
              </w:rPr>
              <w:t>Non-GAAP gross profit</w:t>
            </w:r>
          </w:p>
        </w:tc>
        <w:tc>
          <w:tcPr>
            <w:tcW w:w="34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20,281</w:t>
            </w: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22,425</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34,723</w:t>
            </w: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56,994</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8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860" w:type="dxa"/>
            <w:vAlign w:val="bottom"/>
            <w:shd w:val="clear" w:color="auto" w:fill="CCEEFF"/>
          </w:tcPr>
          <w:p>
            <w:pPr>
              <w:spacing w:after="0"/>
              <w:rPr>
                <w:sz w:val="20"/>
                <w:szCs w:val="20"/>
                <w:color w:val="auto"/>
              </w:rPr>
            </w:pPr>
            <w:r>
              <w:rPr>
                <w:rFonts w:ascii="Arial" w:cs="Arial" w:eastAsia="Arial" w:hAnsi="Arial"/>
                <w:sz w:val="14"/>
                <w:szCs w:val="14"/>
                <w:color w:val="auto"/>
              </w:rPr>
              <w:t>GAAP operating expenses</w:t>
            </w:r>
          </w:p>
        </w:tc>
        <w:tc>
          <w:tcPr>
            <w:tcW w:w="34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39,606</w:t>
            </w: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45,431</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76,819</w:t>
            </w: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85,738</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860" w:type="dxa"/>
            <w:vAlign w:val="bottom"/>
          </w:tcPr>
          <w:p>
            <w:pPr>
              <w:spacing w:after="0"/>
              <w:rPr>
                <w:sz w:val="20"/>
                <w:szCs w:val="20"/>
                <w:color w:val="auto"/>
              </w:rPr>
            </w:pPr>
            <w:r>
              <w:rPr>
                <w:rFonts w:ascii="Arial" w:cs="Arial" w:eastAsia="Arial" w:hAnsi="Arial"/>
                <w:sz w:val="14"/>
                <w:szCs w:val="14"/>
                <w:color w:val="auto"/>
              </w:rPr>
              <w:t>Share-based compensation (1)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119"/>
              <w:spacing w:after="0"/>
              <w:rPr>
                <w:sz w:val="20"/>
                <w:szCs w:val="20"/>
                <w:color w:val="auto"/>
              </w:rPr>
            </w:pPr>
            <w:r>
              <w:rPr>
                <w:rFonts w:ascii="Arial" w:cs="Arial" w:eastAsia="Arial" w:hAnsi="Arial"/>
                <w:sz w:val="14"/>
                <w:szCs w:val="14"/>
                <w:color w:val="auto"/>
              </w:rPr>
              <w:t>(5,385)</w:t>
            </w:r>
          </w:p>
        </w:tc>
        <w:tc>
          <w:tcPr>
            <w:tcW w:w="360" w:type="dxa"/>
            <w:vAlign w:val="bottom"/>
          </w:tcPr>
          <w:p>
            <w:pPr>
              <w:spacing w:after="0"/>
              <w:rPr>
                <w:sz w:val="15"/>
                <w:szCs w:val="15"/>
                <w:color w:val="auto"/>
              </w:rPr>
            </w:pPr>
          </w:p>
        </w:tc>
        <w:tc>
          <w:tcPr>
            <w:tcW w:w="1000" w:type="dxa"/>
            <w:vAlign w:val="bottom"/>
            <w:gridSpan w:val="2"/>
          </w:tcPr>
          <w:p>
            <w:pPr>
              <w:jc w:val="right"/>
              <w:ind w:right="139"/>
              <w:spacing w:after="0"/>
              <w:rPr>
                <w:sz w:val="20"/>
                <w:szCs w:val="20"/>
                <w:color w:val="auto"/>
              </w:rPr>
            </w:pPr>
            <w:r>
              <w:rPr>
                <w:rFonts w:ascii="Arial" w:cs="Arial" w:eastAsia="Arial" w:hAnsi="Arial"/>
                <w:sz w:val="14"/>
                <w:szCs w:val="14"/>
                <w:color w:val="auto"/>
              </w:rPr>
              <w:t>(4,414)</w:t>
            </w:r>
          </w:p>
        </w:tc>
        <w:tc>
          <w:tcPr>
            <w:tcW w:w="240" w:type="dxa"/>
            <w:vAlign w:val="bottom"/>
          </w:tcPr>
          <w:p>
            <w:pPr>
              <w:spacing w:after="0"/>
              <w:rPr>
                <w:sz w:val="15"/>
                <w:szCs w:val="15"/>
                <w:color w:val="auto"/>
              </w:rPr>
            </w:pPr>
          </w:p>
        </w:tc>
        <w:tc>
          <w:tcPr>
            <w:tcW w:w="1100" w:type="dxa"/>
            <w:vAlign w:val="bottom"/>
            <w:gridSpan w:val="2"/>
          </w:tcPr>
          <w:p>
            <w:pPr>
              <w:jc w:val="right"/>
              <w:ind w:right="119"/>
              <w:spacing w:after="0"/>
              <w:rPr>
                <w:sz w:val="20"/>
                <w:szCs w:val="20"/>
                <w:color w:val="auto"/>
              </w:rPr>
            </w:pPr>
            <w:r>
              <w:rPr>
                <w:rFonts w:ascii="Arial" w:cs="Arial" w:eastAsia="Arial" w:hAnsi="Arial"/>
                <w:sz w:val="14"/>
                <w:szCs w:val="14"/>
                <w:color w:val="auto"/>
              </w:rPr>
              <w:t>(9,772)</w:t>
            </w:r>
          </w:p>
        </w:tc>
        <w:tc>
          <w:tcPr>
            <w:tcW w:w="360" w:type="dxa"/>
            <w:vAlign w:val="bottom"/>
          </w:tcPr>
          <w:p>
            <w:pPr>
              <w:spacing w:after="0"/>
              <w:rPr>
                <w:sz w:val="15"/>
                <w:szCs w:val="15"/>
                <w:color w:val="auto"/>
              </w:rPr>
            </w:pPr>
          </w:p>
        </w:tc>
        <w:tc>
          <w:tcPr>
            <w:tcW w:w="900" w:type="dxa"/>
            <w:vAlign w:val="bottom"/>
            <w:gridSpan w:val="2"/>
          </w:tcPr>
          <w:p>
            <w:pPr>
              <w:jc w:val="right"/>
              <w:ind w:right="39"/>
              <w:spacing w:after="0"/>
              <w:rPr>
                <w:sz w:val="20"/>
                <w:szCs w:val="20"/>
                <w:color w:val="auto"/>
              </w:rPr>
            </w:pPr>
            <w:r>
              <w:rPr>
                <w:rFonts w:ascii="Arial" w:cs="Arial" w:eastAsia="Arial" w:hAnsi="Arial"/>
                <w:sz w:val="14"/>
                <w:szCs w:val="14"/>
                <w:color w:val="auto"/>
              </w:rPr>
              <w:t>(8,878)</w:t>
            </w:r>
          </w:p>
        </w:tc>
        <w:tc>
          <w:tcPr>
            <w:tcW w:w="0" w:type="dxa"/>
            <w:vAlign w:val="bottom"/>
          </w:tcPr>
          <w:p>
            <w:pPr>
              <w:spacing w:after="0"/>
              <w:rPr>
                <w:sz w:val="1"/>
                <w:szCs w:val="1"/>
                <w:color w:val="auto"/>
              </w:rPr>
            </w:pPr>
          </w:p>
        </w:tc>
      </w:tr>
      <w:tr>
        <w:trPr>
          <w:trHeight w:val="179"/>
        </w:trPr>
        <w:tc>
          <w:tcPr>
            <w:tcW w:w="5860" w:type="dxa"/>
            <w:vAlign w:val="bottom"/>
            <w:shd w:val="clear" w:color="auto" w:fill="CCEEFF"/>
          </w:tcPr>
          <w:p>
            <w:pPr>
              <w:spacing w:after="0"/>
              <w:rPr>
                <w:sz w:val="20"/>
                <w:szCs w:val="20"/>
                <w:color w:val="auto"/>
              </w:rPr>
            </w:pPr>
            <w:r>
              <w:rPr>
                <w:rFonts w:ascii="Arial" w:cs="Arial" w:eastAsia="Arial" w:hAnsi="Arial"/>
                <w:sz w:val="14"/>
                <w:szCs w:val="14"/>
                <w:color w:val="auto"/>
              </w:rPr>
              <w:t>Acquisition related expenses (2)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(512)</w:t>
            </w:r>
          </w:p>
        </w:tc>
        <w:tc>
          <w:tcPr>
            <w:tcW w:w="0" w:type="dxa"/>
            <w:vAlign w:val="bottom"/>
          </w:tcPr>
          <w:p>
            <w:pPr>
              <w:spacing w:after="0"/>
              <w:rPr>
                <w:sz w:val="1"/>
                <w:szCs w:val="1"/>
                <w:color w:val="auto"/>
              </w:rPr>
            </w:pPr>
          </w:p>
        </w:tc>
      </w:tr>
      <w:tr>
        <w:trPr>
          <w:trHeight w:val="179"/>
        </w:trPr>
        <w:tc>
          <w:tcPr>
            <w:tcW w:w="5860" w:type="dxa"/>
            <w:vAlign w:val="bottom"/>
          </w:tcPr>
          <w:p>
            <w:pPr>
              <w:spacing w:after="0"/>
              <w:rPr>
                <w:sz w:val="20"/>
                <w:szCs w:val="20"/>
                <w:color w:val="auto"/>
              </w:rPr>
            </w:pPr>
            <w:r>
              <w:rPr>
                <w:rFonts w:ascii="Arial" w:cs="Arial" w:eastAsia="Arial" w:hAnsi="Arial"/>
                <w:sz w:val="14"/>
                <w:szCs w:val="14"/>
                <w:color w:val="auto"/>
              </w:rPr>
              <w:t>Intangible assets amortization (3)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119"/>
              <w:spacing w:after="0"/>
              <w:rPr>
                <w:sz w:val="20"/>
                <w:szCs w:val="20"/>
                <w:color w:val="auto"/>
              </w:rPr>
            </w:pPr>
            <w:r>
              <w:rPr>
                <w:rFonts w:ascii="Arial" w:cs="Arial" w:eastAsia="Arial" w:hAnsi="Arial"/>
                <w:sz w:val="14"/>
                <w:szCs w:val="14"/>
                <w:color w:val="auto"/>
              </w:rPr>
              <w:t>(152)</w:t>
            </w:r>
          </w:p>
        </w:tc>
        <w:tc>
          <w:tcPr>
            <w:tcW w:w="360" w:type="dxa"/>
            <w:vAlign w:val="bottom"/>
          </w:tcPr>
          <w:p>
            <w:pPr>
              <w:spacing w:after="0"/>
              <w:rPr>
                <w:sz w:val="15"/>
                <w:szCs w:val="15"/>
                <w:color w:val="auto"/>
              </w:rPr>
            </w:pPr>
          </w:p>
        </w:tc>
        <w:tc>
          <w:tcPr>
            <w:tcW w:w="1000" w:type="dxa"/>
            <w:vAlign w:val="bottom"/>
            <w:gridSpan w:val="2"/>
          </w:tcPr>
          <w:p>
            <w:pPr>
              <w:jc w:val="right"/>
              <w:ind w:right="139"/>
              <w:spacing w:after="0"/>
              <w:rPr>
                <w:sz w:val="20"/>
                <w:szCs w:val="20"/>
                <w:color w:val="auto"/>
              </w:rPr>
            </w:pPr>
            <w:r>
              <w:rPr>
                <w:rFonts w:ascii="Arial" w:cs="Arial" w:eastAsia="Arial" w:hAnsi="Arial"/>
                <w:sz w:val="14"/>
                <w:szCs w:val="14"/>
                <w:color w:val="auto"/>
              </w:rPr>
              <w:t>(333)</w:t>
            </w:r>
          </w:p>
        </w:tc>
        <w:tc>
          <w:tcPr>
            <w:tcW w:w="240" w:type="dxa"/>
            <w:vAlign w:val="bottom"/>
          </w:tcPr>
          <w:p>
            <w:pPr>
              <w:spacing w:after="0"/>
              <w:rPr>
                <w:sz w:val="15"/>
                <w:szCs w:val="15"/>
                <w:color w:val="auto"/>
              </w:rPr>
            </w:pPr>
          </w:p>
        </w:tc>
        <w:tc>
          <w:tcPr>
            <w:tcW w:w="1100" w:type="dxa"/>
            <w:vAlign w:val="bottom"/>
            <w:gridSpan w:val="2"/>
          </w:tcPr>
          <w:p>
            <w:pPr>
              <w:jc w:val="right"/>
              <w:ind w:right="119"/>
              <w:spacing w:after="0"/>
              <w:rPr>
                <w:sz w:val="20"/>
                <w:szCs w:val="20"/>
                <w:color w:val="auto"/>
              </w:rPr>
            </w:pPr>
            <w:r>
              <w:rPr>
                <w:rFonts w:ascii="Arial" w:cs="Arial" w:eastAsia="Arial" w:hAnsi="Arial"/>
                <w:sz w:val="14"/>
                <w:szCs w:val="14"/>
                <w:color w:val="auto"/>
              </w:rPr>
              <w:t>(340)</w:t>
            </w:r>
          </w:p>
        </w:tc>
        <w:tc>
          <w:tcPr>
            <w:tcW w:w="360" w:type="dxa"/>
            <w:vAlign w:val="bottom"/>
          </w:tcPr>
          <w:p>
            <w:pPr>
              <w:spacing w:after="0"/>
              <w:rPr>
                <w:sz w:val="15"/>
                <w:szCs w:val="15"/>
                <w:color w:val="auto"/>
              </w:rPr>
            </w:pPr>
          </w:p>
        </w:tc>
        <w:tc>
          <w:tcPr>
            <w:tcW w:w="900" w:type="dxa"/>
            <w:vAlign w:val="bottom"/>
            <w:gridSpan w:val="2"/>
          </w:tcPr>
          <w:p>
            <w:pPr>
              <w:jc w:val="right"/>
              <w:ind w:right="39"/>
              <w:spacing w:after="0"/>
              <w:rPr>
                <w:sz w:val="20"/>
                <w:szCs w:val="20"/>
                <w:color w:val="auto"/>
              </w:rPr>
            </w:pPr>
            <w:r>
              <w:rPr>
                <w:rFonts w:ascii="Arial" w:cs="Arial" w:eastAsia="Arial" w:hAnsi="Arial"/>
                <w:sz w:val="14"/>
                <w:szCs w:val="14"/>
                <w:color w:val="auto"/>
              </w:rPr>
              <w:t>(419)</w:t>
            </w:r>
          </w:p>
        </w:tc>
        <w:tc>
          <w:tcPr>
            <w:tcW w:w="0" w:type="dxa"/>
            <w:vAlign w:val="bottom"/>
          </w:tcPr>
          <w:p>
            <w:pPr>
              <w:spacing w:after="0"/>
              <w:rPr>
                <w:sz w:val="1"/>
                <w:szCs w:val="1"/>
                <w:color w:val="auto"/>
              </w:rPr>
            </w:pPr>
          </w:p>
        </w:tc>
      </w:tr>
      <w:tr>
        <w:trPr>
          <w:trHeight w:val="208"/>
        </w:trPr>
        <w:tc>
          <w:tcPr>
            <w:tcW w:w="5860" w:type="dxa"/>
            <w:vAlign w:val="bottom"/>
            <w:shd w:val="clear" w:color="auto" w:fill="CCEEFF"/>
          </w:tcPr>
          <w:p>
            <w:pPr>
              <w:spacing w:after="0"/>
              <w:rPr>
                <w:sz w:val="20"/>
                <w:szCs w:val="20"/>
                <w:color w:val="auto"/>
              </w:rPr>
            </w:pPr>
            <w:r>
              <w:rPr>
                <w:rFonts w:ascii="Arial" w:cs="Arial" w:eastAsia="Arial" w:hAnsi="Arial"/>
                <w:sz w:val="14"/>
                <w:szCs w:val="14"/>
                <w:color w:val="auto"/>
              </w:rPr>
              <w:t>Restructuring expenses (4)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(206)</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860" w:type="dxa"/>
            <w:vAlign w:val="bottom"/>
            <w:tcBorders>
              <w:top w:val="single" w:sz="8" w:color="CCEEFF"/>
            </w:tcBorders>
          </w:tcPr>
          <w:p>
            <w:pPr>
              <w:spacing w:after="0"/>
              <w:rPr>
                <w:sz w:val="20"/>
                <w:szCs w:val="20"/>
                <w:color w:val="auto"/>
              </w:rPr>
            </w:pPr>
            <w:r>
              <w:rPr>
                <w:rFonts w:ascii="Arial" w:cs="Arial" w:eastAsia="Arial" w:hAnsi="Arial"/>
                <w:sz w:val="14"/>
                <w:szCs w:val="14"/>
                <w:color w:val="auto"/>
              </w:rPr>
              <w:t>Non-GAAP operating expenses</w:t>
            </w: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34,069</w:t>
            </w:r>
          </w:p>
        </w:tc>
        <w:tc>
          <w:tcPr>
            <w:tcW w:w="200" w:type="dxa"/>
            <w:vAlign w:val="bottom"/>
            <w:tcBorders>
              <w:top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40,684</w:t>
            </w: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66,501</w:t>
            </w:r>
          </w:p>
        </w:tc>
        <w:tc>
          <w:tcPr>
            <w:tcW w:w="200" w:type="dxa"/>
            <w:vAlign w:val="bottom"/>
            <w:tcBorders>
              <w:top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75,929</w:t>
            </w: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860" w:type="dxa"/>
            <w:vAlign w:val="bottom"/>
          </w:tcPr>
          <w:p>
            <w:pPr>
              <w:spacing w:after="0"/>
              <w:rPr>
                <w:sz w:val="20"/>
                <w:szCs w:val="20"/>
                <w:color w:val="auto"/>
              </w:rPr>
            </w:pPr>
            <w:r>
              <w:rPr>
                <w:rFonts w:ascii="Arial" w:cs="Arial" w:eastAsia="Arial" w:hAnsi="Arial"/>
                <w:sz w:val="14"/>
                <w:szCs w:val="14"/>
                <w:color w:val="auto"/>
              </w:rPr>
              <w:t>GAAP Financial income, net</w:t>
            </w:r>
          </w:p>
        </w:tc>
        <w:tc>
          <w:tcPr>
            <w:tcW w:w="3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7,018</w:t>
            </w:r>
          </w:p>
        </w:tc>
        <w:tc>
          <w:tcPr>
            <w:tcW w:w="200" w:type="dxa"/>
            <w:vAlign w:val="bottom"/>
          </w:tcPr>
          <w:p>
            <w:pPr>
              <w:spacing w:after="0"/>
              <w:rPr>
                <w:sz w:val="15"/>
                <w:szCs w:val="15"/>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4,324</w:t>
            </w:r>
          </w:p>
        </w:tc>
        <w:tc>
          <w:tcPr>
            <w:tcW w:w="22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12,422</w:t>
            </w:r>
          </w:p>
        </w:tc>
        <w:tc>
          <w:tcPr>
            <w:tcW w:w="200" w:type="dxa"/>
            <w:vAlign w:val="bottom"/>
          </w:tcPr>
          <w:p>
            <w:pPr>
              <w:spacing w:after="0"/>
              <w:rPr>
                <w:sz w:val="15"/>
                <w:szCs w:val="15"/>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6,123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860" w:type="dxa"/>
            <w:vAlign w:val="bottom"/>
            <w:shd w:val="clear" w:color="auto" w:fill="CCEEFF"/>
          </w:tcPr>
          <w:p>
            <w:pPr>
              <w:spacing w:after="0"/>
              <w:rPr>
                <w:sz w:val="20"/>
                <w:szCs w:val="20"/>
                <w:color w:val="auto"/>
              </w:rPr>
            </w:pPr>
            <w:r>
              <w:rPr>
                <w:rFonts w:ascii="Arial" w:cs="Arial" w:eastAsia="Arial" w:hAnsi="Arial"/>
                <w:sz w:val="14"/>
                <w:szCs w:val="14"/>
                <w:color w:val="auto"/>
              </w:rPr>
              <w:t>Foreign exchange losses associated with ASC 842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(121)</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(2,480)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(497)</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(3,129)</w:t>
            </w:r>
          </w:p>
        </w:tc>
        <w:tc>
          <w:tcPr>
            <w:tcW w:w="0" w:type="dxa"/>
            <w:vAlign w:val="bottom"/>
          </w:tcPr>
          <w:p>
            <w:pPr>
              <w:spacing w:after="0"/>
              <w:rPr>
                <w:sz w:val="1"/>
                <w:szCs w:val="1"/>
                <w:color w:val="auto"/>
              </w:rPr>
            </w:pPr>
          </w:p>
        </w:tc>
      </w:tr>
      <w:tr>
        <w:trPr>
          <w:trHeight w:val="194"/>
        </w:trPr>
        <w:tc>
          <w:tcPr>
            <w:tcW w:w="5860" w:type="dxa"/>
            <w:vAlign w:val="bottom"/>
            <w:tcBorders>
              <w:top w:val="single" w:sz="8" w:color="CCEEFF"/>
            </w:tcBorders>
          </w:tcPr>
          <w:p>
            <w:pPr>
              <w:spacing w:after="0"/>
              <w:rPr>
                <w:sz w:val="20"/>
                <w:szCs w:val="20"/>
                <w:color w:val="auto"/>
              </w:rPr>
            </w:pPr>
            <w:r>
              <w:rPr>
                <w:rFonts w:ascii="Arial" w:cs="Arial" w:eastAsia="Arial" w:hAnsi="Arial"/>
                <w:sz w:val="14"/>
                <w:szCs w:val="14"/>
                <w:color w:val="auto"/>
              </w:rPr>
              <w:t>Non-GAAP Financial income , net</w:t>
            </w: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6,897</w:t>
            </w:r>
          </w:p>
        </w:tc>
        <w:tc>
          <w:tcPr>
            <w:tcW w:w="200" w:type="dxa"/>
            <w:vAlign w:val="bottom"/>
            <w:tcBorders>
              <w:top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1,844</w:t>
            </w: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11,925</w:t>
            </w:r>
          </w:p>
        </w:tc>
        <w:tc>
          <w:tcPr>
            <w:tcW w:w="200" w:type="dxa"/>
            <w:vAlign w:val="bottom"/>
            <w:tcBorders>
              <w:top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2,994</w:t>
            </w: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860" w:type="dxa"/>
            <w:vAlign w:val="bottom"/>
          </w:tcPr>
          <w:p>
            <w:pPr>
              <w:spacing w:after="0"/>
              <w:rPr>
                <w:sz w:val="20"/>
                <w:szCs w:val="20"/>
                <w:color w:val="auto"/>
              </w:rPr>
            </w:pPr>
            <w:r>
              <w:rPr>
                <w:rFonts w:ascii="Arial" w:cs="Arial" w:eastAsia="Arial" w:hAnsi="Arial"/>
                <w:sz w:val="14"/>
                <w:szCs w:val="14"/>
                <w:color w:val="auto"/>
              </w:rPr>
              <w:t>GAAP Taxes on income (tax benefit)</w:t>
            </w:r>
          </w:p>
        </w:tc>
        <w:tc>
          <w:tcPr>
            <w:tcW w:w="3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430</w:t>
            </w:r>
          </w:p>
        </w:tc>
        <w:tc>
          <w:tcPr>
            <w:tcW w:w="200" w:type="dxa"/>
            <w:vAlign w:val="bottom"/>
          </w:tcPr>
          <w:p>
            <w:pPr>
              <w:spacing w:after="0"/>
              <w:rPr>
                <w:sz w:val="15"/>
                <w:szCs w:val="15"/>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39"/>
              <w:spacing w:after="0"/>
              <w:rPr>
                <w:sz w:val="20"/>
                <w:szCs w:val="20"/>
                <w:color w:val="auto"/>
              </w:rPr>
            </w:pPr>
            <w:r>
              <w:rPr>
                <w:rFonts w:ascii="Arial" w:cs="Arial" w:eastAsia="Arial" w:hAnsi="Arial"/>
                <w:sz w:val="14"/>
                <w:szCs w:val="14"/>
                <w:color w:val="auto"/>
              </w:rPr>
              <w:t>(1,099)</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624</w:t>
            </w:r>
          </w:p>
        </w:tc>
        <w:tc>
          <w:tcPr>
            <w:tcW w:w="200" w:type="dxa"/>
            <w:vAlign w:val="bottom"/>
          </w:tcPr>
          <w:p>
            <w:pPr>
              <w:spacing w:after="0"/>
              <w:rPr>
                <w:sz w:val="15"/>
                <w:szCs w:val="15"/>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39"/>
              <w:spacing w:after="0"/>
              <w:rPr>
                <w:sz w:val="20"/>
                <w:szCs w:val="20"/>
                <w:color w:val="auto"/>
              </w:rPr>
            </w:pPr>
            <w:r>
              <w:rPr>
                <w:rFonts w:ascii="Arial" w:cs="Arial" w:eastAsia="Arial" w:hAnsi="Arial"/>
                <w:sz w:val="14"/>
                <w:szCs w:val="14"/>
                <w:color w:val="auto"/>
              </w:rPr>
              <w:t>(1,008)</w:t>
            </w:r>
          </w:p>
        </w:tc>
        <w:tc>
          <w:tcPr>
            <w:tcW w:w="0" w:type="dxa"/>
            <w:vAlign w:val="bottom"/>
          </w:tcPr>
          <w:p>
            <w:pPr>
              <w:spacing w:after="0"/>
              <w:rPr>
                <w:sz w:val="1"/>
                <w:szCs w:val="1"/>
                <w:color w:val="auto"/>
              </w:rPr>
            </w:pPr>
          </w:p>
        </w:tc>
      </w:tr>
      <w:tr>
        <w:trPr>
          <w:trHeight w:val="208"/>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Non-cash deferred tax income</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467</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60" w:type="dxa"/>
            <w:vAlign w:val="bottom"/>
          </w:tcPr>
          <w:p>
            <w:pPr>
              <w:spacing w:after="0"/>
              <w:rPr>
                <w:sz w:val="20"/>
                <w:szCs w:val="20"/>
                <w:color w:val="auto"/>
              </w:rPr>
            </w:pPr>
            <w:r>
              <w:rPr>
                <w:rFonts w:ascii="Arial" w:cs="Arial" w:eastAsia="Arial" w:hAnsi="Arial"/>
                <w:sz w:val="14"/>
                <w:szCs w:val="14"/>
                <w:color w:val="auto"/>
              </w:rPr>
              <w:t>Non-GAAP Taxes on income (tax benefit)</w:t>
            </w:r>
          </w:p>
        </w:tc>
        <w:tc>
          <w:tcPr>
            <w:tcW w:w="3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532</w:t>
            </w:r>
          </w:p>
        </w:tc>
        <w:tc>
          <w:tcPr>
            <w:tcW w:w="200" w:type="dxa"/>
            <w:vAlign w:val="bottom"/>
          </w:tcPr>
          <w:p>
            <w:pPr>
              <w:spacing w:after="0"/>
              <w:rPr>
                <w:sz w:val="20"/>
                <w:szCs w:val="20"/>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(849</w:t>
            </w:r>
          </w:p>
        </w:tc>
        <w:tc>
          <w:tcPr>
            <w:tcW w:w="220" w:type="dxa"/>
            <w:vAlign w:val="bottom"/>
          </w:tcPr>
          <w:p>
            <w:pPr>
              <w:jc w:val="right"/>
              <w:ind w:right="139"/>
              <w:spacing w:after="0"/>
              <w:rPr>
                <w:sz w:val="20"/>
                <w:szCs w:val="20"/>
                <w:color w:val="auto"/>
              </w:rPr>
            </w:pPr>
            <w:r>
              <w:rPr>
                <w:rFonts w:ascii="Arial" w:cs="Arial" w:eastAsia="Arial" w:hAnsi="Arial"/>
                <w:sz w:val="8"/>
                <w:szCs w:val="8"/>
                <w:color w:val="auto"/>
                <w:w w:val="73"/>
              </w:rPr>
              <w: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947</w:t>
            </w:r>
          </w:p>
        </w:tc>
        <w:tc>
          <w:tcPr>
            <w:tcW w:w="200" w:type="dxa"/>
            <w:vAlign w:val="bottom"/>
          </w:tcPr>
          <w:p>
            <w:pPr>
              <w:spacing w:after="0"/>
              <w:rPr>
                <w:sz w:val="20"/>
                <w:szCs w:val="20"/>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(541</w:t>
            </w:r>
          </w:p>
        </w:tc>
        <w:tc>
          <w:tcPr>
            <w:tcW w:w="120" w:type="dxa"/>
            <w:vAlign w:val="bottom"/>
          </w:tcPr>
          <w:p>
            <w:pPr>
              <w:jc w:val="right"/>
              <w:ind w:right="3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75"/>
        </w:trPr>
        <w:tc>
          <w:tcPr>
            <w:tcW w:w="58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860" w:type="dxa"/>
            <w:vAlign w:val="bottom"/>
          </w:tcPr>
          <w:p>
            <w:pPr>
              <w:spacing w:after="0"/>
              <w:rPr>
                <w:sz w:val="20"/>
                <w:szCs w:val="20"/>
                <w:color w:val="auto"/>
              </w:rPr>
            </w:pPr>
            <w:r>
              <w:rPr>
                <w:rFonts w:ascii="Arial" w:cs="Arial" w:eastAsia="Arial" w:hAnsi="Arial"/>
                <w:sz w:val="14"/>
                <w:szCs w:val="14"/>
                <w:color w:val="auto"/>
              </w:rPr>
              <w:t>GAAP net loss</w:t>
            </w:r>
          </w:p>
        </w:tc>
        <w:tc>
          <w:tcPr>
            <w:tcW w:w="3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19"/>
              <w:spacing w:after="0"/>
              <w:rPr>
                <w:sz w:val="20"/>
                <w:szCs w:val="20"/>
                <w:color w:val="auto"/>
              </w:rPr>
            </w:pPr>
            <w:r>
              <w:rPr>
                <w:rFonts w:ascii="Arial" w:cs="Arial" w:eastAsia="Arial" w:hAnsi="Arial"/>
                <w:sz w:val="14"/>
                <w:szCs w:val="14"/>
                <w:color w:val="auto"/>
              </w:rPr>
              <w:t>(14,325)</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39"/>
              <w:spacing w:after="0"/>
              <w:rPr>
                <w:sz w:val="20"/>
                <w:szCs w:val="20"/>
                <w:color w:val="auto"/>
              </w:rPr>
            </w:pPr>
            <w:r>
              <w:rPr>
                <w:rFonts w:ascii="Arial" w:cs="Arial" w:eastAsia="Arial" w:hAnsi="Arial"/>
                <w:sz w:val="14"/>
                <w:szCs w:val="14"/>
                <w:color w:val="auto"/>
              </w:rPr>
              <w:t>(19,476)</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19"/>
              <w:spacing w:after="0"/>
              <w:rPr>
                <w:sz w:val="20"/>
                <w:szCs w:val="20"/>
                <w:color w:val="auto"/>
              </w:rPr>
            </w:pPr>
            <w:r>
              <w:rPr>
                <w:rFonts w:ascii="Arial" w:cs="Arial" w:eastAsia="Arial" w:hAnsi="Arial"/>
                <w:sz w:val="14"/>
                <w:szCs w:val="14"/>
                <w:color w:val="auto"/>
              </w:rPr>
              <w:t>(33,256)</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39"/>
              <w:spacing w:after="0"/>
              <w:rPr>
                <w:sz w:val="20"/>
                <w:szCs w:val="20"/>
                <w:color w:val="auto"/>
              </w:rPr>
            </w:pPr>
            <w:r>
              <w:rPr>
                <w:rFonts w:ascii="Arial" w:cs="Arial" w:eastAsia="Arial" w:hAnsi="Arial"/>
                <w:sz w:val="14"/>
                <w:szCs w:val="14"/>
                <w:color w:val="auto"/>
              </w:rPr>
              <w:t>(24,673)</w:t>
            </w:r>
          </w:p>
        </w:tc>
        <w:tc>
          <w:tcPr>
            <w:tcW w:w="0" w:type="dxa"/>
            <w:vAlign w:val="bottom"/>
          </w:tcPr>
          <w:p>
            <w:pPr>
              <w:spacing w:after="0"/>
              <w:rPr>
                <w:sz w:val="1"/>
                <w:szCs w:val="1"/>
                <w:color w:val="auto"/>
              </w:rPr>
            </w:pPr>
          </w:p>
        </w:tc>
      </w:tr>
      <w:tr>
        <w:trPr>
          <w:trHeight w:val="179"/>
        </w:trPr>
        <w:tc>
          <w:tcPr>
            <w:tcW w:w="5860" w:type="dxa"/>
            <w:vAlign w:val="bottom"/>
            <w:shd w:val="clear" w:color="auto" w:fill="CCEEFF"/>
          </w:tcPr>
          <w:p>
            <w:pPr>
              <w:spacing w:after="0"/>
              <w:rPr>
                <w:sz w:val="20"/>
                <w:szCs w:val="20"/>
                <w:color w:val="auto"/>
              </w:rPr>
            </w:pPr>
            <w:r>
              <w:rPr>
                <w:rFonts w:ascii="Arial" w:cs="Arial" w:eastAsia="Arial" w:hAnsi="Arial"/>
                <w:sz w:val="14"/>
                <w:szCs w:val="14"/>
                <w:color w:val="auto"/>
              </w:rPr>
              <w:t>Share-based compensation (1)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6,550</w:t>
            </w: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5,481</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11,795</w:t>
            </w: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10,779</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860" w:type="dxa"/>
            <w:vAlign w:val="bottom"/>
          </w:tcPr>
          <w:p>
            <w:pPr>
              <w:spacing w:after="0"/>
              <w:rPr>
                <w:sz w:val="20"/>
                <w:szCs w:val="20"/>
                <w:color w:val="auto"/>
              </w:rPr>
            </w:pPr>
            <w:r>
              <w:rPr>
                <w:rFonts w:ascii="Arial" w:cs="Arial" w:eastAsia="Arial" w:hAnsi="Arial"/>
                <w:sz w:val="14"/>
                <w:szCs w:val="14"/>
                <w:color w:val="auto"/>
              </w:rPr>
              <w:t>Acquisition related expenses (2)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512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860" w:type="dxa"/>
            <w:vAlign w:val="bottom"/>
            <w:shd w:val="clear" w:color="auto" w:fill="CCEEFF"/>
          </w:tcPr>
          <w:p>
            <w:pPr>
              <w:spacing w:after="0"/>
              <w:rPr>
                <w:sz w:val="20"/>
                <w:szCs w:val="20"/>
                <w:color w:val="auto"/>
              </w:rPr>
            </w:pPr>
            <w:r>
              <w:rPr>
                <w:rFonts w:ascii="Arial" w:cs="Arial" w:eastAsia="Arial" w:hAnsi="Arial"/>
                <w:sz w:val="14"/>
                <w:szCs w:val="14"/>
                <w:color w:val="auto"/>
              </w:rPr>
              <w:t>Intangible assets amortization (3)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w:t>
            </w: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1,159</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1,186</w:t>
            </w: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1,578</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860" w:type="dxa"/>
            <w:vAlign w:val="bottom"/>
          </w:tcPr>
          <w:p>
            <w:pPr>
              <w:spacing w:after="0"/>
              <w:rPr>
                <w:sz w:val="20"/>
                <w:szCs w:val="20"/>
                <w:color w:val="auto"/>
              </w:rPr>
            </w:pPr>
            <w:r>
              <w:rPr>
                <w:rFonts w:ascii="Arial" w:cs="Arial" w:eastAsia="Arial" w:hAnsi="Arial"/>
                <w:sz w:val="14"/>
                <w:szCs w:val="14"/>
                <w:color w:val="auto"/>
              </w:rPr>
              <w:t>Restructuring expenses (4)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295</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860" w:type="dxa"/>
            <w:vAlign w:val="bottom"/>
            <w:shd w:val="clear" w:color="auto" w:fill="CCEEFF"/>
          </w:tcPr>
          <w:p>
            <w:pPr>
              <w:spacing w:after="0"/>
              <w:rPr>
                <w:sz w:val="20"/>
                <w:szCs w:val="20"/>
                <w:color w:val="auto"/>
              </w:rPr>
            </w:pPr>
            <w:r>
              <w:rPr>
                <w:rFonts w:ascii="Arial" w:cs="Arial" w:eastAsia="Arial" w:hAnsi="Arial"/>
                <w:sz w:val="14"/>
                <w:szCs w:val="14"/>
                <w:color w:val="auto"/>
              </w:rPr>
              <w:t>Foreign exchange losses associated with ASC 842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(121)</w:t>
            </w:r>
          </w:p>
        </w:tc>
        <w:tc>
          <w:tcPr>
            <w:tcW w:w="3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(2,480)</w:t>
            </w:r>
          </w:p>
        </w:tc>
        <w:tc>
          <w:tcPr>
            <w:tcW w:w="2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(497)</w:t>
            </w:r>
          </w:p>
        </w:tc>
        <w:tc>
          <w:tcPr>
            <w:tcW w:w="3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(3,129)</w:t>
            </w:r>
          </w:p>
        </w:tc>
        <w:tc>
          <w:tcPr>
            <w:tcW w:w="0" w:type="dxa"/>
            <w:vAlign w:val="bottom"/>
          </w:tcPr>
          <w:p>
            <w:pPr>
              <w:spacing w:after="0"/>
              <w:rPr>
                <w:sz w:val="1"/>
                <w:szCs w:val="1"/>
                <w:color w:val="auto"/>
              </w:rPr>
            </w:pPr>
          </w:p>
        </w:tc>
      </w:tr>
      <w:tr>
        <w:trPr>
          <w:trHeight w:val="195"/>
        </w:trPr>
        <w:tc>
          <w:tcPr>
            <w:tcW w:w="5860" w:type="dxa"/>
            <w:vAlign w:val="bottom"/>
          </w:tcPr>
          <w:p>
            <w:pPr>
              <w:spacing w:after="0"/>
              <w:rPr>
                <w:sz w:val="20"/>
                <w:szCs w:val="20"/>
                <w:color w:val="auto"/>
              </w:rPr>
            </w:pPr>
            <w:r>
              <w:rPr>
                <w:rFonts w:ascii="Arial" w:cs="Arial" w:eastAsia="Arial" w:hAnsi="Arial"/>
                <w:sz w:val="14"/>
                <w:szCs w:val="14"/>
                <w:color w:val="auto"/>
              </w:rPr>
              <w:t>Non-cash deferred tax income</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19"/>
              <w:spacing w:after="0"/>
              <w:rPr>
                <w:sz w:val="20"/>
                <w:szCs w:val="20"/>
                <w:color w:val="auto"/>
              </w:rPr>
            </w:pPr>
            <w:r>
              <w:rPr>
                <w:rFonts w:ascii="Arial" w:cs="Arial" w:eastAsia="Arial" w:hAnsi="Arial"/>
                <w:sz w:val="14"/>
                <w:szCs w:val="14"/>
                <w:color w:val="auto"/>
              </w:rPr>
              <w:t>(102)</w:t>
            </w:r>
          </w:p>
        </w:tc>
        <w:tc>
          <w:tcPr>
            <w:tcW w:w="360" w:type="dxa"/>
            <w:vAlign w:val="bottom"/>
          </w:tcPr>
          <w:p>
            <w:pPr>
              <w:spacing w:after="0"/>
              <w:rPr>
                <w:sz w:val="16"/>
                <w:szCs w:val="16"/>
                <w:color w:val="auto"/>
              </w:rPr>
            </w:pPr>
          </w:p>
        </w:tc>
        <w:tc>
          <w:tcPr>
            <w:tcW w:w="1000" w:type="dxa"/>
            <w:vAlign w:val="bottom"/>
            <w:gridSpan w:val="2"/>
          </w:tcPr>
          <w:p>
            <w:pPr>
              <w:jc w:val="right"/>
              <w:ind w:right="139"/>
              <w:spacing w:after="0"/>
              <w:rPr>
                <w:sz w:val="20"/>
                <w:szCs w:val="20"/>
                <w:color w:val="auto"/>
              </w:rPr>
            </w:pPr>
            <w:r>
              <w:rPr>
                <w:rFonts w:ascii="Arial" w:cs="Arial" w:eastAsia="Arial" w:hAnsi="Arial"/>
                <w:sz w:val="14"/>
                <w:szCs w:val="14"/>
                <w:color w:val="auto"/>
              </w:rPr>
              <w:t>(250)</w:t>
            </w:r>
          </w:p>
        </w:tc>
        <w:tc>
          <w:tcPr>
            <w:tcW w:w="240" w:type="dxa"/>
            <w:vAlign w:val="bottom"/>
          </w:tcPr>
          <w:p>
            <w:pPr>
              <w:spacing w:after="0"/>
              <w:rPr>
                <w:sz w:val="16"/>
                <w:szCs w:val="16"/>
                <w:color w:val="auto"/>
              </w:rPr>
            </w:pPr>
          </w:p>
        </w:tc>
        <w:tc>
          <w:tcPr>
            <w:tcW w:w="1100" w:type="dxa"/>
            <w:vAlign w:val="bottom"/>
            <w:gridSpan w:val="2"/>
          </w:tcPr>
          <w:p>
            <w:pPr>
              <w:jc w:val="right"/>
              <w:ind w:right="119"/>
              <w:spacing w:after="0"/>
              <w:rPr>
                <w:sz w:val="20"/>
                <w:szCs w:val="20"/>
                <w:color w:val="auto"/>
              </w:rPr>
            </w:pPr>
            <w:r>
              <w:rPr>
                <w:rFonts w:ascii="Arial" w:cs="Arial" w:eastAsia="Arial" w:hAnsi="Arial"/>
                <w:sz w:val="14"/>
                <w:szCs w:val="14"/>
                <w:color w:val="auto"/>
              </w:rPr>
              <w:t>(323)</w:t>
            </w:r>
          </w:p>
        </w:tc>
        <w:tc>
          <w:tcPr>
            <w:tcW w:w="360" w:type="dxa"/>
            <w:vAlign w:val="bottom"/>
          </w:tcPr>
          <w:p>
            <w:pPr>
              <w:spacing w:after="0"/>
              <w:rPr>
                <w:sz w:val="16"/>
                <w:szCs w:val="16"/>
                <w:color w:val="auto"/>
              </w:rPr>
            </w:pPr>
          </w:p>
        </w:tc>
        <w:tc>
          <w:tcPr>
            <w:tcW w:w="900" w:type="dxa"/>
            <w:vAlign w:val="bottom"/>
            <w:gridSpan w:val="2"/>
          </w:tcPr>
          <w:p>
            <w:pPr>
              <w:jc w:val="right"/>
              <w:ind w:right="39"/>
              <w:spacing w:after="0"/>
              <w:rPr>
                <w:sz w:val="20"/>
                <w:szCs w:val="20"/>
                <w:color w:val="auto"/>
              </w:rPr>
            </w:pPr>
            <w:r>
              <w:rPr>
                <w:rFonts w:ascii="Arial" w:cs="Arial" w:eastAsia="Arial" w:hAnsi="Arial"/>
                <w:sz w:val="14"/>
                <w:szCs w:val="14"/>
                <w:color w:val="auto"/>
              </w:rPr>
              <w:t>(467)</w:t>
            </w:r>
          </w:p>
        </w:tc>
        <w:tc>
          <w:tcPr>
            <w:tcW w:w="0" w:type="dxa"/>
            <w:vAlign w:val="bottom"/>
          </w:tcPr>
          <w:p>
            <w:pPr>
              <w:spacing w:after="0"/>
              <w:rPr>
                <w:sz w:val="1"/>
                <w:szCs w:val="1"/>
                <w:color w:val="auto"/>
              </w:rPr>
            </w:pPr>
          </w:p>
        </w:tc>
      </w:tr>
      <w:tr>
        <w:trPr>
          <w:trHeight w:val="207"/>
        </w:trPr>
        <w:tc>
          <w:tcPr>
            <w:tcW w:w="5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Non-GAAP net loss</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(7,423</w:t>
            </w:r>
          </w:p>
        </w:tc>
        <w:tc>
          <w:tcPr>
            <w:tcW w:w="200" w:type="dxa"/>
            <w:vAlign w:val="bottom"/>
            <w:tcBorders>
              <w:top w:val="single" w:sz="8" w:color="CCEEFF"/>
              <w:bottom w:val="single" w:sz="8" w:color="CCEEFF"/>
            </w:tcBorders>
            <w:shd w:val="clear" w:color="auto" w:fill="CCEEFF"/>
          </w:tcPr>
          <w:p>
            <w:pPr>
              <w:jc w:val="right"/>
              <w:ind w:right="119"/>
              <w:spacing w:after="0"/>
              <w:rPr>
                <w:sz w:val="20"/>
                <w:szCs w:val="20"/>
                <w:color w:val="auto"/>
              </w:rPr>
            </w:pPr>
            <w:r>
              <w:rPr>
                <w:rFonts w:ascii="Arial" w:cs="Arial" w:eastAsia="Arial" w:hAnsi="Arial"/>
                <w:sz w:val="8"/>
                <w:szCs w:val="8"/>
                <w:color w:val="auto"/>
                <w:w w:val="73"/>
              </w:rPr>
              <w:t>)</w:t>
            </w:r>
          </w:p>
        </w:tc>
        <w:tc>
          <w:tcPr>
            <w:tcW w:w="36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(15,566</w:t>
            </w:r>
          </w:p>
        </w:tc>
        <w:tc>
          <w:tcPr>
            <w:tcW w:w="220" w:type="dxa"/>
            <w:vAlign w:val="bottom"/>
            <w:tcBorders>
              <w:top w:val="single" w:sz="8" w:color="CCEEFF"/>
              <w:bottom w:val="single" w:sz="8" w:color="CCEEFF"/>
            </w:tcBorders>
            <w:shd w:val="clear" w:color="auto" w:fill="CCEEFF"/>
          </w:tcPr>
          <w:p>
            <w:pPr>
              <w:jc w:val="right"/>
              <w:ind w:right="139"/>
              <w:spacing w:after="0"/>
              <w:rPr>
                <w:sz w:val="20"/>
                <w:szCs w:val="20"/>
                <w:color w:val="auto"/>
              </w:rPr>
            </w:pPr>
            <w:r>
              <w:rPr>
                <w:rFonts w:ascii="Arial" w:cs="Arial" w:eastAsia="Arial" w:hAnsi="Arial"/>
                <w:sz w:val="8"/>
                <w:szCs w:val="8"/>
                <w:color w:val="auto"/>
                <w:w w:val="73"/>
              </w:rPr>
              <w:t>)</w:t>
            </w: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(20,800</w:t>
            </w:r>
          </w:p>
        </w:tc>
        <w:tc>
          <w:tcPr>
            <w:tcW w:w="200" w:type="dxa"/>
            <w:vAlign w:val="bottom"/>
            <w:tcBorders>
              <w:top w:val="single" w:sz="8" w:color="CCEEFF"/>
              <w:bottom w:val="single" w:sz="8" w:color="CCEEFF"/>
            </w:tcBorders>
            <w:shd w:val="clear" w:color="auto" w:fill="CCEEFF"/>
          </w:tcPr>
          <w:p>
            <w:pPr>
              <w:jc w:val="right"/>
              <w:ind w:right="119"/>
              <w:spacing w:after="0"/>
              <w:rPr>
                <w:sz w:val="20"/>
                <w:szCs w:val="20"/>
                <w:color w:val="auto"/>
              </w:rPr>
            </w:pPr>
            <w:r>
              <w:rPr>
                <w:rFonts w:ascii="Arial" w:cs="Arial" w:eastAsia="Arial" w:hAnsi="Arial"/>
                <w:sz w:val="8"/>
                <w:szCs w:val="8"/>
                <w:color w:val="auto"/>
                <w:w w:val="73"/>
              </w:rPr>
              <w:t>)</w:t>
            </w:r>
          </w:p>
        </w:tc>
        <w:tc>
          <w:tcPr>
            <w:tcW w:w="36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(15,400</w:t>
            </w:r>
          </w:p>
        </w:tc>
        <w:tc>
          <w:tcPr>
            <w:tcW w:w="12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5860" w:type="dxa"/>
            <w:vAlign w:val="bottom"/>
            <w:shd w:val="clear" w:color="auto" w:fill="CCEEFF"/>
          </w:tcPr>
          <w:p>
            <w:pPr>
              <w:spacing w:after="0"/>
              <w:rPr>
                <w:sz w:val="20"/>
                <w:szCs w:val="20"/>
                <w:color w:val="auto"/>
              </w:rPr>
            </w:pPr>
            <w:r>
              <w:rPr>
                <w:rFonts w:ascii="Arial" w:cs="Arial" w:eastAsia="Arial" w:hAnsi="Arial"/>
                <w:sz w:val="14"/>
                <w:szCs w:val="14"/>
                <w:color w:val="auto"/>
              </w:rPr>
              <w:t>GAAP diluted loss per share</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19"/>
              <w:spacing w:after="0" w:line="216" w:lineRule="exact"/>
              <w:rPr>
                <w:sz w:val="20"/>
                <w:szCs w:val="20"/>
                <w:color w:val="auto"/>
              </w:rPr>
            </w:pPr>
            <w:r>
              <w:rPr>
                <w:rFonts w:ascii="Arial" w:cs="Arial" w:eastAsia="Arial" w:hAnsi="Arial"/>
                <w:sz w:val="13"/>
                <w:szCs w:val="13"/>
                <w:color w:val="auto"/>
              </w:rPr>
              <w:t>(0.29</w:t>
            </w:r>
            <w:r>
              <w:rPr>
                <w:rFonts w:ascii="Arial" w:cs="Arial" w:eastAsia="Arial" w:hAnsi="Arial"/>
                <w:sz w:val="24"/>
                <w:szCs w:val="24"/>
                <w:color w:val="auto"/>
                <w:vertAlign w:val="superscript"/>
              </w:rPr>
              <w:t>)</w:t>
            </w: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39"/>
              <w:spacing w:after="0" w:line="216" w:lineRule="exact"/>
              <w:rPr>
                <w:sz w:val="20"/>
                <w:szCs w:val="20"/>
                <w:color w:val="auto"/>
              </w:rPr>
            </w:pPr>
            <w:r>
              <w:rPr>
                <w:rFonts w:ascii="Arial" w:cs="Arial" w:eastAsia="Arial" w:hAnsi="Arial"/>
                <w:sz w:val="13"/>
                <w:szCs w:val="13"/>
                <w:color w:val="auto"/>
              </w:rPr>
              <w:t>(0.39</w:t>
            </w:r>
            <w:r>
              <w:rPr>
                <w:rFonts w:ascii="Arial" w:cs="Arial" w:eastAsia="Arial" w:hAnsi="Arial"/>
                <w:sz w:val="24"/>
                <w:szCs w:val="24"/>
                <w:color w:val="auto"/>
                <w:vertAlign w:val="superscript"/>
              </w:rPr>
              <w:t>)</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19"/>
              <w:spacing w:after="0" w:line="216" w:lineRule="exact"/>
              <w:rPr>
                <w:sz w:val="20"/>
                <w:szCs w:val="20"/>
                <w:color w:val="auto"/>
              </w:rPr>
            </w:pPr>
            <w:r>
              <w:rPr>
                <w:rFonts w:ascii="Arial" w:cs="Arial" w:eastAsia="Arial" w:hAnsi="Arial"/>
                <w:sz w:val="13"/>
                <w:szCs w:val="13"/>
                <w:color w:val="auto"/>
              </w:rPr>
              <w:t>(0.67</w:t>
            </w:r>
            <w:r>
              <w:rPr>
                <w:rFonts w:ascii="Arial" w:cs="Arial" w:eastAsia="Arial" w:hAnsi="Arial"/>
                <w:sz w:val="24"/>
                <w:szCs w:val="24"/>
                <w:color w:val="auto"/>
                <w:vertAlign w:val="superscript"/>
              </w:rPr>
              <w:t>)</w:t>
            </w: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39"/>
              <w:spacing w:after="0" w:line="216" w:lineRule="exact"/>
              <w:rPr>
                <w:sz w:val="20"/>
                <w:szCs w:val="20"/>
                <w:color w:val="auto"/>
              </w:rPr>
            </w:pPr>
            <w:r>
              <w:rPr>
                <w:rFonts w:ascii="Arial" w:cs="Arial" w:eastAsia="Arial" w:hAnsi="Arial"/>
                <w:sz w:val="13"/>
                <w:szCs w:val="13"/>
                <w:color w:val="auto"/>
              </w:rPr>
              <w:t>(0.50</w:t>
            </w:r>
            <w:r>
              <w:rPr>
                <w:rFonts w:ascii="Arial" w:cs="Arial" w:eastAsia="Arial" w:hAnsi="Arial"/>
                <w:sz w:val="24"/>
                <w:szCs w:val="24"/>
                <w:color w:val="auto"/>
                <w:vertAlign w:val="superscript"/>
              </w:rPr>
              <w:t>)</w:t>
            </w:r>
          </w:p>
        </w:tc>
        <w:tc>
          <w:tcPr>
            <w:tcW w:w="0" w:type="dxa"/>
            <w:vAlign w:val="bottom"/>
          </w:tcPr>
          <w:p>
            <w:pPr>
              <w:spacing w:after="0"/>
              <w:rPr>
                <w:sz w:val="1"/>
                <w:szCs w:val="1"/>
                <w:color w:val="auto"/>
              </w:rPr>
            </w:pPr>
          </w:p>
        </w:tc>
      </w:tr>
      <w:tr>
        <w:trPr>
          <w:trHeight w:val="179"/>
        </w:trPr>
        <w:tc>
          <w:tcPr>
            <w:tcW w:w="586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Arial" w:cs="Arial" w:eastAsia="Arial" w:hAnsi="Arial"/>
                <w:sz w:val="14"/>
                <w:szCs w:val="14"/>
                <w:color w:val="auto"/>
              </w:rPr>
              <w:t>Non-GAAP diluted loss per share</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(0.15</w:t>
            </w:r>
          </w:p>
        </w:tc>
        <w:tc>
          <w:tcPr>
            <w:tcW w:w="200" w:type="dxa"/>
            <w:vAlign w:val="bottom"/>
            <w:tcBorders>
              <w:top w:val="single" w:sz="8" w:color="CCEEFF"/>
              <w:bottom w:val="single" w:sz="8" w:color="CCEEFF"/>
            </w:tcBorders>
            <w:shd w:val="clear" w:color="auto" w:fill="CCEEFF"/>
          </w:tcPr>
          <w:p>
            <w:pPr>
              <w:jc w:val="right"/>
              <w:ind w:right="119"/>
              <w:spacing w:after="0"/>
              <w:rPr>
                <w:sz w:val="20"/>
                <w:szCs w:val="20"/>
                <w:color w:val="auto"/>
              </w:rPr>
            </w:pPr>
            <w:r>
              <w:rPr>
                <w:rFonts w:ascii="Arial" w:cs="Arial" w:eastAsia="Arial" w:hAnsi="Arial"/>
                <w:sz w:val="8"/>
                <w:szCs w:val="8"/>
                <w:color w:val="auto"/>
                <w:w w:val="73"/>
              </w:rPr>
              <w:t>)</w:t>
            </w:r>
          </w:p>
        </w:tc>
        <w:tc>
          <w:tcPr>
            <w:tcW w:w="36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(0.31</w:t>
            </w:r>
          </w:p>
        </w:tc>
        <w:tc>
          <w:tcPr>
            <w:tcW w:w="220" w:type="dxa"/>
            <w:vAlign w:val="bottom"/>
            <w:tcBorders>
              <w:top w:val="single" w:sz="8" w:color="CCEEFF"/>
              <w:bottom w:val="single" w:sz="8" w:color="CCEEFF"/>
            </w:tcBorders>
            <w:shd w:val="clear" w:color="auto" w:fill="CCEEFF"/>
          </w:tcPr>
          <w:p>
            <w:pPr>
              <w:jc w:val="right"/>
              <w:ind w:right="139"/>
              <w:spacing w:after="0"/>
              <w:rPr>
                <w:sz w:val="20"/>
                <w:szCs w:val="20"/>
                <w:color w:val="auto"/>
              </w:rPr>
            </w:pPr>
            <w:r>
              <w:rPr>
                <w:rFonts w:ascii="Arial" w:cs="Arial" w:eastAsia="Arial" w:hAnsi="Arial"/>
                <w:sz w:val="8"/>
                <w:szCs w:val="8"/>
                <w:color w:val="auto"/>
                <w:w w:val="73"/>
              </w:rPr>
              <w:t>)</w:t>
            </w: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(0.42</w:t>
            </w:r>
          </w:p>
        </w:tc>
        <w:tc>
          <w:tcPr>
            <w:tcW w:w="200" w:type="dxa"/>
            <w:vAlign w:val="bottom"/>
            <w:tcBorders>
              <w:top w:val="single" w:sz="8" w:color="CCEEFF"/>
              <w:bottom w:val="single" w:sz="8" w:color="CCEEFF"/>
            </w:tcBorders>
            <w:shd w:val="clear" w:color="auto" w:fill="CCEEFF"/>
          </w:tcPr>
          <w:p>
            <w:pPr>
              <w:jc w:val="right"/>
              <w:ind w:right="119"/>
              <w:spacing w:after="0"/>
              <w:rPr>
                <w:sz w:val="20"/>
                <w:szCs w:val="20"/>
                <w:color w:val="auto"/>
              </w:rPr>
            </w:pPr>
            <w:r>
              <w:rPr>
                <w:rFonts w:ascii="Arial" w:cs="Arial" w:eastAsia="Arial" w:hAnsi="Arial"/>
                <w:sz w:val="8"/>
                <w:szCs w:val="8"/>
                <w:color w:val="auto"/>
                <w:w w:val="73"/>
              </w:rPr>
              <w:t>)</w:t>
            </w:r>
          </w:p>
        </w:tc>
        <w:tc>
          <w:tcPr>
            <w:tcW w:w="36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(0.31</w:t>
            </w:r>
          </w:p>
        </w:tc>
        <w:tc>
          <w:tcPr>
            <w:tcW w:w="12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860" w:type="dxa"/>
            <w:vAlign w:val="bottom"/>
            <w:shd w:val="clear" w:color="auto" w:fill="CCEEFF"/>
          </w:tcPr>
          <w:p>
            <w:pPr>
              <w:spacing w:after="0"/>
              <w:rPr>
                <w:sz w:val="20"/>
                <w:szCs w:val="20"/>
                <w:color w:val="auto"/>
              </w:rPr>
            </w:pPr>
            <w:r>
              <w:rPr>
                <w:rFonts w:ascii="Arial" w:cs="Arial" w:eastAsia="Arial" w:hAnsi="Arial"/>
                <w:sz w:val="14"/>
                <w:szCs w:val="14"/>
                <w:color w:val="auto"/>
              </w:rPr>
              <w:t>Weighted average number of shares</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Shares used in computing GAAP diluted net loss per share</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49,554,383</w:t>
            </w: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49,756,990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49,720,453</w:t>
            </w: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49,707,782</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5860" w:type="dxa"/>
            <w:vAlign w:val="bottom"/>
            <w:tcBorders>
              <w:bottom w:val="single" w:sz="8" w:color="CCEEFF"/>
            </w:tcBorders>
            <w:shd w:val="clear" w:color="auto" w:fill="CCEEFF"/>
          </w:tcPr>
          <w:p>
            <w:pPr>
              <w:spacing w:after="0" w:line="133" w:lineRule="exact"/>
              <w:rPr>
                <w:sz w:val="20"/>
                <w:szCs w:val="20"/>
                <w:color w:val="auto"/>
              </w:rPr>
            </w:pPr>
            <w:r>
              <w:rPr>
                <w:rFonts w:ascii="Arial" w:cs="Arial" w:eastAsia="Arial" w:hAnsi="Arial"/>
                <w:sz w:val="14"/>
                <w:szCs w:val="14"/>
                <w:color w:val="auto"/>
              </w:rPr>
              <w:t>Shares used in computing Non-GAAP diluted net loss per share</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49,554,383</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49,756,990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49,720,453</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49,707,782</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860" w:type="dxa"/>
            <w:vAlign w:val="bottom"/>
            <w:shd w:val="clear" w:color="auto" w:fill="CCEEFF"/>
          </w:tcPr>
          <w:p>
            <w:pPr>
              <w:spacing w:after="0"/>
              <w:rPr>
                <w:sz w:val="20"/>
                <w:szCs w:val="20"/>
                <w:color w:val="auto"/>
              </w:rPr>
            </w:pPr>
            <w:r>
              <w:rPr>
                <w:rFonts w:ascii="Arial" w:cs="Arial" w:eastAsia="Arial" w:hAnsi="Arial"/>
                <w:sz w:val="14"/>
                <w:szCs w:val="14"/>
                <w:color w:val="auto"/>
              </w:rPr>
              <w:t>(1) Share-based compensation</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860" w:type="dxa"/>
            <w:vAlign w:val="bottom"/>
          </w:tcPr>
          <w:p>
            <w:pPr>
              <w:ind w:left="260"/>
              <w:spacing w:after="0"/>
              <w:rPr>
                <w:sz w:val="20"/>
                <w:szCs w:val="20"/>
                <w:color w:val="auto"/>
              </w:rPr>
            </w:pPr>
            <w:r>
              <w:rPr>
                <w:rFonts w:ascii="Arial" w:cs="Arial" w:eastAsia="Arial" w:hAnsi="Arial"/>
                <w:sz w:val="14"/>
                <w:szCs w:val="14"/>
                <w:color w:val="auto"/>
              </w:rPr>
              <w:t>Cost of product revenues</w:t>
            </w:r>
          </w:p>
        </w:tc>
        <w:tc>
          <w:tcPr>
            <w:tcW w:w="3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672</w:t>
            </w:r>
          </w:p>
        </w:tc>
        <w:tc>
          <w:tcPr>
            <w:tcW w:w="200" w:type="dxa"/>
            <w:vAlign w:val="bottom"/>
          </w:tcPr>
          <w:p>
            <w:pPr>
              <w:spacing w:after="0"/>
              <w:rPr>
                <w:sz w:val="15"/>
                <w:szCs w:val="15"/>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606</w:t>
            </w:r>
          </w:p>
        </w:tc>
        <w:tc>
          <w:tcPr>
            <w:tcW w:w="22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1,179</w:t>
            </w:r>
          </w:p>
        </w:tc>
        <w:tc>
          <w:tcPr>
            <w:tcW w:w="200" w:type="dxa"/>
            <w:vAlign w:val="bottom"/>
          </w:tcPr>
          <w:p>
            <w:pPr>
              <w:spacing w:after="0"/>
              <w:rPr>
                <w:sz w:val="15"/>
                <w:szCs w:val="15"/>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1,055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8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Cost of service revenues</w:t>
            </w:r>
          </w:p>
        </w:tc>
        <w:tc>
          <w:tcPr>
            <w:tcW w:w="34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w:t>
            </w: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844</w:t>
            </w: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846</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860" w:type="dxa"/>
            <w:vAlign w:val="bottom"/>
          </w:tcPr>
          <w:p>
            <w:pPr>
              <w:ind w:left="260"/>
              <w:spacing w:after="0"/>
              <w:rPr>
                <w:sz w:val="20"/>
                <w:szCs w:val="20"/>
                <w:color w:val="auto"/>
              </w:rPr>
            </w:pPr>
            <w:r>
              <w:rPr>
                <w:rFonts w:ascii="Arial" w:cs="Arial" w:eastAsia="Arial" w:hAnsi="Arial"/>
                <w:sz w:val="14"/>
                <w:szCs w:val="14"/>
                <w:color w:val="auto"/>
              </w:rPr>
              <w:t>Research and development</w:t>
            </w:r>
          </w:p>
        </w:tc>
        <w:tc>
          <w:tcPr>
            <w:tcW w:w="3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1,601</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1,268</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2,952</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2,457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8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Sales and marketing</w:t>
            </w:r>
          </w:p>
        </w:tc>
        <w:tc>
          <w:tcPr>
            <w:tcW w:w="34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1,944</w:t>
            </w: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1,491</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3,307</w:t>
            </w: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86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General and administrative</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1,840</w:t>
            </w:r>
          </w:p>
        </w:tc>
        <w:tc>
          <w:tcPr>
            <w:tcW w:w="2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1,655</w:t>
            </w: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3,513</w:t>
            </w:r>
          </w:p>
        </w:tc>
        <w:tc>
          <w:tcPr>
            <w:tcW w:w="2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3,121</w:t>
            </w: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8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11,795</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(2) Acquisition related expenses</w:t>
            </w: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5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General and administrative</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512</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5860" w:type="dxa"/>
            <w:vAlign w:val="bottom"/>
          </w:tcPr>
          <w:p>
            <w:pPr>
              <w:spacing w:after="0"/>
              <w:rPr>
                <w:sz w:val="21"/>
                <w:szCs w:val="21"/>
                <w:color w:val="auto"/>
              </w:rPr>
            </w:pPr>
          </w:p>
        </w:tc>
        <w:tc>
          <w:tcPr>
            <w:tcW w:w="3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512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(3) Intangible assets amortization</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860" w:type="dxa"/>
            <w:vAlign w:val="bottom"/>
          </w:tcPr>
          <w:p>
            <w:pPr>
              <w:ind w:left="260"/>
              <w:spacing w:after="0"/>
              <w:rPr>
                <w:sz w:val="20"/>
                <w:szCs w:val="20"/>
                <w:color w:val="auto"/>
              </w:rPr>
            </w:pPr>
            <w:r>
              <w:rPr>
                <w:rFonts w:ascii="Arial" w:cs="Arial" w:eastAsia="Arial" w:hAnsi="Arial"/>
                <w:sz w:val="14"/>
                <w:szCs w:val="14"/>
                <w:color w:val="auto"/>
              </w:rPr>
              <w:t>Cost of product revenues</w:t>
            </w:r>
          </w:p>
        </w:tc>
        <w:tc>
          <w:tcPr>
            <w:tcW w:w="3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263</w:t>
            </w:r>
          </w:p>
        </w:tc>
        <w:tc>
          <w:tcPr>
            <w:tcW w:w="200" w:type="dxa"/>
            <w:vAlign w:val="bottom"/>
          </w:tcPr>
          <w:p>
            <w:pPr>
              <w:spacing w:after="0"/>
              <w:rPr>
                <w:sz w:val="15"/>
                <w:szCs w:val="15"/>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666</w:t>
            </w:r>
          </w:p>
        </w:tc>
        <w:tc>
          <w:tcPr>
            <w:tcW w:w="22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526</w:t>
            </w:r>
          </w:p>
        </w:tc>
        <w:tc>
          <w:tcPr>
            <w:tcW w:w="200" w:type="dxa"/>
            <w:vAlign w:val="bottom"/>
          </w:tcPr>
          <w:p>
            <w:pPr>
              <w:spacing w:after="0"/>
              <w:rPr>
                <w:sz w:val="15"/>
                <w:szCs w:val="15"/>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839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8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Cost of service revenues</w:t>
            </w:r>
          </w:p>
        </w:tc>
        <w:tc>
          <w:tcPr>
            <w:tcW w:w="34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w:t>
            </w: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86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Sales and marketing</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w:t>
            </w:r>
          </w:p>
        </w:tc>
        <w:tc>
          <w:tcPr>
            <w:tcW w:w="2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333</w:t>
            </w: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340</w:t>
            </w:r>
          </w:p>
        </w:tc>
        <w:tc>
          <w:tcPr>
            <w:tcW w:w="2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419</w:t>
            </w: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8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1,186</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860" w:type="dxa"/>
            <w:vAlign w:val="bottom"/>
            <w:shd w:val="clear" w:color="auto" w:fill="CCEEFF"/>
          </w:tcPr>
          <w:p>
            <w:pPr>
              <w:spacing w:after="0"/>
              <w:rPr>
                <w:sz w:val="20"/>
                <w:szCs w:val="20"/>
                <w:color w:val="auto"/>
              </w:rPr>
            </w:pPr>
            <w:r>
              <w:rPr>
                <w:rFonts w:ascii="Arial" w:cs="Arial" w:eastAsia="Arial" w:hAnsi="Arial"/>
                <w:sz w:val="14"/>
                <w:szCs w:val="14"/>
                <w:color w:val="auto"/>
              </w:rPr>
              <w:t>(4) Restructuring expenses</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860" w:type="dxa"/>
            <w:vAlign w:val="bottom"/>
          </w:tcPr>
          <w:p>
            <w:pPr>
              <w:ind w:left="260"/>
              <w:spacing w:after="0"/>
              <w:rPr>
                <w:sz w:val="20"/>
                <w:szCs w:val="20"/>
                <w:color w:val="auto"/>
              </w:rPr>
            </w:pPr>
            <w:r>
              <w:rPr>
                <w:rFonts w:ascii="Arial" w:cs="Arial" w:eastAsia="Arial" w:hAnsi="Arial"/>
                <w:sz w:val="14"/>
                <w:szCs w:val="14"/>
                <w:color w:val="auto"/>
              </w:rPr>
              <w:t>Cost of product revenues</w:t>
            </w:r>
          </w:p>
        </w:tc>
        <w:tc>
          <w:tcPr>
            <w:tcW w:w="3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89</w:t>
            </w:r>
          </w:p>
        </w:tc>
        <w:tc>
          <w:tcPr>
            <w:tcW w:w="200" w:type="dxa"/>
            <w:vAlign w:val="bottom"/>
          </w:tcPr>
          <w:p>
            <w:pPr>
              <w:spacing w:after="0"/>
              <w:rPr>
                <w:sz w:val="15"/>
                <w:szCs w:val="15"/>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8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Research and development</w:t>
            </w:r>
          </w:p>
        </w:tc>
        <w:tc>
          <w:tcPr>
            <w:tcW w:w="34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86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Sales and marketing</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w:t>
            </w:r>
          </w:p>
        </w:tc>
        <w:tc>
          <w:tcPr>
            <w:tcW w:w="2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0" w:gutter="0" w:footer="0" w:header="0"/>
        </w:sectPr>
      </w:pPr>
    </w:p>
    <w:bookmarkStart w:id="9" w:name="page10"/>
    <w:bookmarkEnd w:id="9"/>
    <w:p>
      <w:pPr>
        <w:jc w:val="center"/>
        <w:ind w:right="20"/>
        <w:spacing w:after="0"/>
        <w:rPr>
          <w:sz w:val="20"/>
          <w:szCs w:val="20"/>
          <w:color w:val="auto"/>
        </w:rPr>
      </w:pPr>
      <w:r>
        <w:rPr>
          <w:rFonts w:ascii="Arial" w:cs="Arial" w:eastAsia="Arial" w:hAnsi="Arial"/>
          <w:sz w:val="16"/>
          <w:szCs w:val="16"/>
          <w:b w:val="1"/>
          <w:bCs w:val="1"/>
          <w:color w:val="auto"/>
        </w:rPr>
        <w:t>KORNIT DIGITAL LTD.</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AND ITS SUBSIDIARIES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(U.S. dollars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6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0"/>
              </w:rPr>
              <w:t>Three Months Ended</w:t>
            </w:r>
          </w:p>
        </w:tc>
        <w:tc>
          <w:tcPr>
            <w:tcW w:w="240" w:type="dxa"/>
            <w:vAlign w:val="bottom"/>
          </w:tcPr>
          <w:p>
            <w:pPr>
              <w:spacing w:after="0"/>
              <w:rPr>
                <w:sz w:val="17"/>
                <w:szCs w:val="17"/>
                <w:color w:val="auto"/>
              </w:rPr>
            </w:pPr>
          </w:p>
        </w:tc>
        <w:tc>
          <w:tcPr>
            <w:tcW w:w="236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89"/>
              </w:rPr>
              <w:t>Six Months Ended</w:t>
            </w:r>
          </w:p>
        </w:tc>
      </w:tr>
      <w:tr>
        <w:trPr>
          <w:trHeight w:val="212"/>
        </w:trPr>
        <w:tc>
          <w:tcPr>
            <w:tcW w:w="2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left="460"/>
              <w:spacing w:after="0"/>
              <w:rPr>
                <w:sz w:val="20"/>
                <w:szCs w:val="20"/>
                <w:color w:val="auto"/>
              </w:rPr>
            </w:pPr>
            <w:r>
              <w:rPr>
                <w:rFonts w:ascii="Arial" w:cs="Arial" w:eastAsia="Arial" w:hAnsi="Arial"/>
                <w:sz w:val="16"/>
                <w:szCs w:val="16"/>
                <w:b w:val="1"/>
                <w:bCs w:val="1"/>
                <w:color w:val="auto"/>
                <w:w w:val="87"/>
              </w:rPr>
              <w:t>June 30,</w:t>
            </w: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left="460"/>
              <w:spacing w:after="0"/>
              <w:rPr>
                <w:sz w:val="20"/>
                <w:szCs w:val="20"/>
                <w:color w:val="auto"/>
              </w:rPr>
            </w:pPr>
            <w:r>
              <w:rPr>
                <w:rFonts w:ascii="Arial" w:cs="Arial" w:eastAsia="Arial" w:hAnsi="Arial"/>
                <w:sz w:val="16"/>
                <w:szCs w:val="16"/>
                <w:b w:val="1"/>
                <w:bCs w:val="1"/>
                <w:color w:val="auto"/>
                <w:w w:val="87"/>
              </w:rPr>
              <w:t>June 30,</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7"/>
        </w:trPr>
        <w:tc>
          <w:tcPr>
            <w:tcW w:w="2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r>
      <w:tr>
        <w:trPr>
          <w:trHeight w:val="195"/>
        </w:trPr>
        <w:tc>
          <w:tcPr>
            <w:tcW w:w="2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460"/>
              <w:spacing w:after="0"/>
              <w:rPr>
                <w:sz w:val="20"/>
                <w:szCs w:val="20"/>
                <w:color w:val="auto"/>
              </w:rPr>
            </w:pPr>
            <w:r>
              <w:rPr>
                <w:rFonts w:ascii="Arial" w:cs="Arial" w:eastAsia="Arial" w:hAnsi="Arial"/>
                <w:sz w:val="16"/>
                <w:szCs w:val="16"/>
                <w:b w:val="1"/>
                <w:bCs w:val="1"/>
                <w:color w:val="auto"/>
                <w:w w:val="94"/>
              </w:rPr>
              <w:t>(Unaudited)</w:t>
            </w:r>
          </w:p>
        </w:tc>
        <w:tc>
          <w:tcPr>
            <w:tcW w:w="7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460"/>
              <w:spacing w:after="0"/>
              <w:rPr>
                <w:sz w:val="20"/>
                <w:szCs w:val="20"/>
                <w:color w:val="auto"/>
              </w:rPr>
            </w:pPr>
            <w:r>
              <w:rPr>
                <w:rFonts w:ascii="Arial" w:cs="Arial" w:eastAsia="Arial" w:hAnsi="Arial"/>
                <w:sz w:val="16"/>
                <w:szCs w:val="16"/>
                <w:b w:val="1"/>
                <w:bCs w:val="1"/>
                <w:color w:val="auto"/>
                <w:w w:val="94"/>
              </w:rPr>
              <w:t>(Unaudited)</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55"/>
        </w:trPr>
        <w:tc>
          <w:tcPr>
            <w:tcW w:w="5440" w:type="dxa"/>
            <w:vAlign w:val="bottom"/>
            <w:gridSpan w:val="4"/>
          </w:tcPr>
          <w:p>
            <w:pPr>
              <w:spacing w:after="0" w:line="155" w:lineRule="exact"/>
              <w:rPr>
                <w:sz w:val="20"/>
                <w:szCs w:val="20"/>
                <w:color w:val="auto"/>
              </w:rPr>
            </w:pPr>
            <w:r>
              <w:rPr>
                <w:rFonts w:ascii="Arial" w:cs="Arial" w:eastAsia="Arial" w:hAnsi="Arial"/>
                <w:sz w:val="16"/>
                <w:szCs w:val="16"/>
                <w:color w:val="auto"/>
              </w:rPr>
              <w:t>Cash flows from operating activities:</w:t>
            </w: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40"/>
        </w:trPr>
        <w:tc>
          <w:tcPr>
            <w:tcW w:w="23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2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191"/>
        </w:trPr>
        <w:tc>
          <w:tcPr>
            <w:tcW w:w="54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Net loss</w:t>
            </w:r>
          </w:p>
        </w:tc>
        <w:tc>
          <w:tcPr>
            <w:tcW w:w="760" w:type="dxa"/>
            <w:vAlign w:val="bottom"/>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(14,325)</w:t>
            </w: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(19,476)</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(33,256)</w:t>
            </w: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(24,673)</w:t>
            </w:r>
          </w:p>
        </w:tc>
      </w:tr>
      <w:tr>
        <w:trPr>
          <w:trHeight w:val="191"/>
        </w:trPr>
        <w:tc>
          <w:tcPr>
            <w:tcW w:w="5440" w:type="dxa"/>
            <w:vAlign w:val="bottom"/>
            <w:gridSpan w:val="4"/>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440" w:type="dxa"/>
            <w:vAlign w:val="bottom"/>
            <w:gridSpan w:val="4"/>
            <w:shd w:val="clear" w:color="auto" w:fill="CCEEFF"/>
          </w:tcPr>
          <w:p>
            <w:pPr>
              <w:ind w:left="160"/>
              <w:spacing w:after="0"/>
              <w:rPr>
                <w:sz w:val="20"/>
                <w:szCs w:val="20"/>
                <w:color w:val="auto"/>
              </w:rPr>
            </w:pPr>
            <w:r>
              <w:rPr>
                <w:rFonts w:ascii="Arial" w:cs="Arial" w:eastAsia="Arial" w:hAnsi="Arial"/>
                <w:sz w:val="16"/>
                <w:szCs w:val="16"/>
                <w:color w:val="auto"/>
              </w:rPr>
              <w:t>Depreciation and amortization</w:t>
            </w: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3,654</w:t>
            </w: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3,322</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7,527</w:t>
            </w: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5,902</w:t>
            </w:r>
          </w:p>
        </w:tc>
        <w:tc>
          <w:tcPr>
            <w:tcW w:w="120" w:type="dxa"/>
            <w:vAlign w:val="bottom"/>
            <w:shd w:val="clear" w:color="auto" w:fill="CCEEFF"/>
          </w:tcPr>
          <w:p>
            <w:pPr>
              <w:spacing w:after="0"/>
              <w:rPr>
                <w:sz w:val="16"/>
                <w:szCs w:val="16"/>
                <w:color w:val="auto"/>
              </w:rPr>
            </w:pPr>
          </w:p>
        </w:tc>
      </w:tr>
      <w:tr>
        <w:trPr>
          <w:trHeight w:val="191"/>
        </w:trPr>
        <w:tc>
          <w:tcPr>
            <w:tcW w:w="5440" w:type="dxa"/>
            <w:vAlign w:val="bottom"/>
            <w:gridSpan w:val="4"/>
          </w:tcPr>
          <w:p>
            <w:pPr>
              <w:ind w:left="160"/>
              <w:spacing w:after="0"/>
              <w:rPr>
                <w:sz w:val="20"/>
                <w:szCs w:val="20"/>
                <w:color w:val="auto"/>
              </w:rPr>
            </w:pPr>
            <w:r>
              <w:rPr>
                <w:rFonts w:ascii="Arial" w:cs="Arial" w:eastAsia="Arial" w:hAnsi="Arial"/>
                <w:sz w:val="16"/>
                <w:szCs w:val="16"/>
                <w:color w:val="auto"/>
              </w:rPr>
              <w:t>Fair value of warrants deducted from revenues</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3,332</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4,516</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5,676</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12,521</w:t>
            </w:r>
          </w:p>
        </w:tc>
        <w:tc>
          <w:tcPr>
            <w:tcW w:w="120" w:type="dxa"/>
            <w:vAlign w:val="bottom"/>
          </w:tcPr>
          <w:p>
            <w:pPr>
              <w:spacing w:after="0"/>
              <w:rPr>
                <w:sz w:val="16"/>
                <w:szCs w:val="16"/>
                <w:color w:val="auto"/>
              </w:rPr>
            </w:pPr>
          </w:p>
        </w:tc>
      </w:tr>
      <w:tr>
        <w:trPr>
          <w:trHeight w:val="191"/>
        </w:trPr>
        <w:tc>
          <w:tcPr>
            <w:tcW w:w="5440" w:type="dxa"/>
            <w:vAlign w:val="bottom"/>
            <w:gridSpan w:val="4"/>
            <w:shd w:val="clear" w:color="auto" w:fill="CCEEFF"/>
          </w:tcPr>
          <w:p>
            <w:pPr>
              <w:ind w:left="160"/>
              <w:spacing w:after="0"/>
              <w:rPr>
                <w:sz w:val="20"/>
                <w:szCs w:val="20"/>
                <w:color w:val="auto"/>
              </w:rPr>
            </w:pPr>
            <w:r>
              <w:rPr>
                <w:rFonts w:ascii="Arial" w:cs="Arial" w:eastAsia="Arial" w:hAnsi="Arial"/>
                <w:sz w:val="16"/>
                <w:szCs w:val="16"/>
                <w:color w:val="auto"/>
              </w:rPr>
              <w:t>Share-based compensation</w:t>
            </w: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6,550</w:t>
            </w: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5,481</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11,795</w:t>
            </w: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10,779</w:t>
            </w:r>
          </w:p>
        </w:tc>
        <w:tc>
          <w:tcPr>
            <w:tcW w:w="120" w:type="dxa"/>
            <w:vAlign w:val="bottom"/>
            <w:shd w:val="clear" w:color="auto" w:fill="CCEEFF"/>
          </w:tcPr>
          <w:p>
            <w:pPr>
              <w:spacing w:after="0"/>
              <w:rPr>
                <w:sz w:val="16"/>
                <w:szCs w:val="16"/>
                <w:color w:val="auto"/>
              </w:rPr>
            </w:pPr>
          </w:p>
        </w:tc>
      </w:tr>
      <w:tr>
        <w:trPr>
          <w:trHeight w:val="191"/>
        </w:trPr>
        <w:tc>
          <w:tcPr>
            <w:tcW w:w="5440" w:type="dxa"/>
            <w:vAlign w:val="bottom"/>
            <w:gridSpan w:val="4"/>
          </w:tcPr>
          <w:p>
            <w:pPr>
              <w:ind w:left="160"/>
              <w:spacing w:after="0"/>
              <w:rPr>
                <w:sz w:val="20"/>
                <w:szCs w:val="20"/>
                <w:color w:val="auto"/>
              </w:rPr>
            </w:pPr>
            <w:r>
              <w:rPr>
                <w:rFonts w:ascii="Arial" w:cs="Arial" w:eastAsia="Arial" w:hAnsi="Arial"/>
                <w:sz w:val="16"/>
                <w:szCs w:val="16"/>
                <w:color w:val="auto"/>
                <w:w w:val="93"/>
              </w:rPr>
              <w:t>Amortization of premium and accretion of discount on marketable securities, net</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202</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484</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525</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1,012</w:t>
            </w:r>
          </w:p>
        </w:tc>
        <w:tc>
          <w:tcPr>
            <w:tcW w:w="120" w:type="dxa"/>
            <w:vAlign w:val="bottom"/>
          </w:tcPr>
          <w:p>
            <w:pPr>
              <w:spacing w:after="0"/>
              <w:rPr>
                <w:sz w:val="16"/>
                <w:szCs w:val="16"/>
                <w:color w:val="auto"/>
              </w:rPr>
            </w:pPr>
          </w:p>
        </w:tc>
      </w:tr>
      <w:tr>
        <w:trPr>
          <w:trHeight w:val="191"/>
        </w:trPr>
        <w:tc>
          <w:tcPr>
            <w:tcW w:w="5440" w:type="dxa"/>
            <w:vAlign w:val="bottom"/>
            <w:gridSpan w:val="4"/>
            <w:shd w:val="clear" w:color="auto" w:fill="CCEEFF"/>
          </w:tcPr>
          <w:p>
            <w:pPr>
              <w:ind w:left="160"/>
              <w:spacing w:after="0"/>
              <w:rPr>
                <w:sz w:val="20"/>
                <w:szCs w:val="20"/>
                <w:color w:val="auto"/>
              </w:rPr>
            </w:pPr>
            <w:r>
              <w:rPr>
                <w:rFonts w:ascii="Arial" w:cs="Arial" w:eastAsia="Arial" w:hAnsi="Arial"/>
                <w:sz w:val="16"/>
                <w:szCs w:val="16"/>
                <w:color w:val="auto"/>
              </w:rPr>
              <w:t>Realized gain (loss) on sale and redemption of marketable securities</w:t>
            </w: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(43)</w:t>
            </w: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w:t>
            </w: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6"/>
                <w:szCs w:val="16"/>
                <w:color w:val="auto"/>
              </w:rPr>
            </w:pPr>
          </w:p>
        </w:tc>
      </w:tr>
      <w:tr>
        <w:trPr>
          <w:trHeight w:val="163"/>
        </w:trPr>
        <w:tc>
          <w:tcPr>
            <w:tcW w:w="5440" w:type="dxa"/>
            <w:vAlign w:val="bottom"/>
            <w:gridSpan w:val="4"/>
          </w:tcPr>
          <w:p>
            <w:pPr>
              <w:spacing w:after="0" w:line="155" w:lineRule="exact"/>
              <w:rPr>
                <w:sz w:val="20"/>
                <w:szCs w:val="20"/>
                <w:color w:val="auto"/>
              </w:rPr>
            </w:pPr>
            <w:r>
              <w:rPr>
                <w:rFonts w:ascii="Arial" w:cs="Arial" w:eastAsia="Arial" w:hAnsi="Arial"/>
                <w:sz w:val="16"/>
                <w:szCs w:val="16"/>
                <w:color w:val="auto"/>
              </w:rPr>
              <w:t>Change in operating assets and liabilities:</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9"/>
        </w:trPr>
        <w:tc>
          <w:tcPr>
            <w:tcW w:w="2640" w:type="dxa"/>
            <w:vAlign w:val="bottom"/>
            <w:tcBorders>
              <w:top w:val="single" w:sz="8" w:color="auto"/>
            </w:tcBorders>
            <w:gridSpan w:val="3"/>
            <w:shd w:val="clear" w:color="auto" w:fill="CCEEFF"/>
          </w:tcPr>
          <w:p>
            <w:pPr>
              <w:ind w:left="160"/>
              <w:spacing w:after="0"/>
              <w:rPr>
                <w:sz w:val="20"/>
                <w:szCs w:val="20"/>
                <w:color w:val="auto"/>
              </w:rPr>
            </w:pPr>
            <w:r>
              <w:rPr>
                <w:rFonts w:ascii="Arial" w:cs="Arial" w:eastAsia="Arial" w:hAnsi="Arial"/>
                <w:sz w:val="16"/>
                <w:szCs w:val="16"/>
                <w:color w:val="auto"/>
              </w:rPr>
              <w:t>Trade receivables, net</w:t>
            </w:r>
          </w:p>
        </w:tc>
        <w:tc>
          <w:tcPr>
            <w:tcW w:w="28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(11,248)</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22,189</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(16,856)</w:t>
            </w:r>
          </w:p>
        </w:tc>
        <w:tc>
          <w:tcPr>
            <w:tcW w:w="3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(9,004)</w:t>
            </w:r>
          </w:p>
        </w:tc>
      </w:tr>
      <w:tr>
        <w:trPr>
          <w:trHeight w:val="191"/>
        </w:trPr>
        <w:tc>
          <w:tcPr>
            <w:tcW w:w="5440" w:type="dxa"/>
            <w:vAlign w:val="bottom"/>
            <w:gridSpan w:val="4"/>
          </w:tcPr>
          <w:p>
            <w:pPr>
              <w:ind w:left="160"/>
              <w:spacing w:after="0"/>
              <w:rPr>
                <w:sz w:val="20"/>
                <w:szCs w:val="20"/>
                <w:color w:val="auto"/>
              </w:rPr>
            </w:pPr>
            <w:r>
              <w:rPr>
                <w:rFonts w:ascii="Arial" w:cs="Arial" w:eastAsia="Arial" w:hAnsi="Arial"/>
                <w:sz w:val="16"/>
                <w:szCs w:val="16"/>
                <w:color w:val="auto"/>
              </w:rPr>
              <w:t>Other accounts receivables and prepaid expenses</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(1,682)</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673</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(766)</w:t>
            </w:r>
          </w:p>
        </w:tc>
        <w:tc>
          <w:tcPr>
            <w:tcW w:w="36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(1,791)</w:t>
            </w:r>
          </w:p>
        </w:tc>
      </w:tr>
      <w:tr>
        <w:trPr>
          <w:trHeight w:val="191"/>
        </w:trPr>
        <w:tc>
          <w:tcPr>
            <w:tcW w:w="5440" w:type="dxa"/>
            <w:vAlign w:val="bottom"/>
            <w:gridSpan w:val="4"/>
            <w:shd w:val="clear" w:color="auto" w:fill="CCEEFF"/>
          </w:tcPr>
          <w:p>
            <w:pPr>
              <w:ind w:left="160"/>
              <w:spacing w:after="0"/>
              <w:rPr>
                <w:sz w:val="20"/>
                <w:szCs w:val="20"/>
                <w:color w:val="auto"/>
              </w:rPr>
            </w:pPr>
            <w:r>
              <w:rPr>
                <w:rFonts w:ascii="Arial" w:cs="Arial" w:eastAsia="Arial" w:hAnsi="Arial"/>
                <w:sz w:val="16"/>
                <w:szCs w:val="16"/>
                <w:color w:val="auto"/>
              </w:rPr>
              <w:t>Inventory</w:t>
            </w: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4,963</w:t>
            </w: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(14,816)</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1,940</w:t>
            </w: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(23,852)</w:t>
            </w:r>
          </w:p>
        </w:tc>
      </w:tr>
      <w:tr>
        <w:trPr>
          <w:trHeight w:val="191"/>
        </w:trPr>
        <w:tc>
          <w:tcPr>
            <w:tcW w:w="5440" w:type="dxa"/>
            <w:vAlign w:val="bottom"/>
            <w:gridSpan w:val="4"/>
          </w:tcPr>
          <w:p>
            <w:pPr>
              <w:ind w:left="160"/>
              <w:spacing w:after="0"/>
              <w:rPr>
                <w:sz w:val="20"/>
                <w:szCs w:val="20"/>
                <w:color w:val="auto"/>
              </w:rPr>
            </w:pPr>
            <w:r>
              <w:rPr>
                <w:rFonts w:ascii="Arial" w:cs="Arial" w:eastAsia="Arial" w:hAnsi="Arial"/>
                <w:sz w:val="16"/>
                <w:szCs w:val="16"/>
                <w:color w:val="auto"/>
              </w:rPr>
              <w:t>Operating leases right-of-use assets and liabilities, net</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(555)</w:t>
            </w:r>
          </w:p>
        </w:tc>
        <w:tc>
          <w:tcPr>
            <w:tcW w:w="36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(2,449)</w:t>
            </w:r>
          </w:p>
        </w:tc>
        <w:tc>
          <w:tcPr>
            <w:tcW w:w="24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(1,012)</w:t>
            </w:r>
          </w:p>
        </w:tc>
        <w:tc>
          <w:tcPr>
            <w:tcW w:w="36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(2,857)</w:t>
            </w:r>
          </w:p>
        </w:tc>
      </w:tr>
      <w:tr>
        <w:trPr>
          <w:trHeight w:val="191"/>
        </w:trPr>
        <w:tc>
          <w:tcPr>
            <w:tcW w:w="5440" w:type="dxa"/>
            <w:vAlign w:val="bottom"/>
            <w:gridSpan w:val="4"/>
            <w:shd w:val="clear" w:color="auto" w:fill="CCEEFF"/>
          </w:tcPr>
          <w:p>
            <w:pPr>
              <w:ind w:left="160"/>
              <w:spacing w:after="0"/>
              <w:rPr>
                <w:sz w:val="20"/>
                <w:szCs w:val="20"/>
                <w:color w:val="auto"/>
              </w:rPr>
            </w:pPr>
            <w:r>
              <w:rPr>
                <w:rFonts w:ascii="Arial" w:cs="Arial" w:eastAsia="Arial" w:hAnsi="Arial"/>
                <w:sz w:val="16"/>
                <w:szCs w:val="16"/>
                <w:color w:val="auto"/>
              </w:rPr>
              <w:t>Deferred taxes</w:t>
            </w: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(2,111)</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(2,416)</w:t>
            </w:r>
          </w:p>
        </w:tc>
      </w:tr>
      <w:tr>
        <w:trPr>
          <w:trHeight w:val="191"/>
        </w:trPr>
        <w:tc>
          <w:tcPr>
            <w:tcW w:w="5440" w:type="dxa"/>
            <w:vAlign w:val="bottom"/>
            <w:gridSpan w:val="4"/>
          </w:tcPr>
          <w:p>
            <w:pPr>
              <w:ind w:left="160"/>
              <w:spacing w:after="0"/>
              <w:rPr>
                <w:sz w:val="20"/>
                <w:szCs w:val="20"/>
                <w:color w:val="auto"/>
              </w:rPr>
            </w:pPr>
            <w:r>
              <w:rPr>
                <w:rFonts w:ascii="Arial" w:cs="Arial" w:eastAsia="Arial" w:hAnsi="Arial"/>
                <w:sz w:val="16"/>
                <w:szCs w:val="16"/>
                <w:color w:val="auto"/>
              </w:rPr>
              <w:t>Deposits and other long term assets</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(851)</w:t>
            </w:r>
          </w:p>
        </w:tc>
        <w:tc>
          <w:tcPr>
            <w:tcW w:w="36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(1,327)</w:t>
            </w:r>
          </w:p>
        </w:tc>
        <w:tc>
          <w:tcPr>
            <w:tcW w:w="24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(1,878)</w:t>
            </w:r>
          </w:p>
        </w:tc>
        <w:tc>
          <w:tcPr>
            <w:tcW w:w="36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(1,321)</w:t>
            </w:r>
          </w:p>
        </w:tc>
      </w:tr>
      <w:tr>
        <w:trPr>
          <w:trHeight w:val="191"/>
        </w:trPr>
        <w:tc>
          <w:tcPr>
            <w:tcW w:w="5440" w:type="dxa"/>
            <w:vAlign w:val="bottom"/>
            <w:gridSpan w:val="4"/>
            <w:shd w:val="clear" w:color="auto" w:fill="CCEEFF"/>
          </w:tcPr>
          <w:p>
            <w:pPr>
              <w:ind w:left="160"/>
              <w:spacing w:after="0"/>
              <w:rPr>
                <w:sz w:val="20"/>
                <w:szCs w:val="20"/>
                <w:color w:val="auto"/>
              </w:rPr>
            </w:pPr>
            <w:r>
              <w:rPr>
                <w:rFonts w:ascii="Arial" w:cs="Arial" w:eastAsia="Arial" w:hAnsi="Arial"/>
                <w:sz w:val="16"/>
                <w:szCs w:val="16"/>
                <w:color w:val="auto"/>
              </w:rPr>
              <w:t>Trade payables</w:t>
            </w: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(225)</w:t>
            </w:r>
          </w:p>
        </w:tc>
        <w:tc>
          <w:tcPr>
            <w:tcW w:w="3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(4,476)</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(1,702)</w:t>
            </w:r>
          </w:p>
        </w:tc>
        <w:tc>
          <w:tcPr>
            <w:tcW w:w="3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(11,920)</w:t>
            </w:r>
          </w:p>
        </w:tc>
      </w:tr>
      <w:tr>
        <w:trPr>
          <w:trHeight w:val="191"/>
        </w:trPr>
        <w:tc>
          <w:tcPr>
            <w:tcW w:w="5440" w:type="dxa"/>
            <w:vAlign w:val="bottom"/>
            <w:gridSpan w:val="4"/>
          </w:tcPr>
          <w:p>
            <w:pPr>
              <w:ind w:left="160"/>
              <w:spacing w:after="0"/>
              <w:rPr>
                <w:sz w:val="20"/>
                <w:szCs w:val="20"/>
                <w:color w:val="auto"/>
              </w:rPr>
            </w:pPr>
            <w:r>
              <w:rPr>
                <w:rFonts w:ascii="Arial" w:cs="Arial" w:eastAsia="Arial" w:hAnsi="Arial"/>
                <w:sz w:val="16"/>
                <w:szCs w:val="16"/>
                <w:color w:val="auto"/>
              </w:rPr>
              <w:t>Employees and payroll accruals</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1,752</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(364)</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2,489</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(6,834)</w:t>
            </w:r>
          </w:p>
        </w:tc>
      </w:tr>
      <w:tr>
        <w:trPr>
          <w:trHeight w:val="191"/>
        </w:trPr>
        <w:tc>
          <w:tcPr>
            <w:tcW w:w="5440" w:type="dxa"/>
            <w:vAlign w:val="bottom"/>
            <w:gridSpan w:val="4"/>
            <w:shd w:val="clear" w:color="auto" w:fill="CCEEFF"/>
          </w:tcPr>
          <w:p>
            <w:pPr>
              <w:ind w:left="160"/>
              <w:spacing w:after="0"/>
              <w:rPr>
                <w:sz w:val="20"/>
                <w:szCs w:val="20"/>
                <w:color w:val="auto"/>
              </w:rPr>
            </w:pPr>
            <w:r>
              <w:rPr>
                <w:rFonts w:ascii="Arial" w:cs="Arial" w:eastAsia="Arial" w:hAnsi="Arial"/>
                <w:sz w:val="16"/>
                <w:szCs w:val="16"/>
                <w:color w:val="auto"/>
              </w:rPr>
              <w:t>Deferred revenues and advances from customers</w:t>
            </w: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(2,199)</w:t>
            </w:r>
          </w:p>
        </w:tc>
        <w:tc>
          <w:tcPr>
            <w:tcW w:w="3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(2,643)</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(3,237)</w:t>
            </w:r>
          </w:p>
        </w:tc>
        <w:tc>
          <w:tcPr>
            <w:tcW w:w="3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(4,114)</w:t>
            </w:r>
          </w:p>
        </w:tc>
      </w:tr>
      <w:tr>
        <w:trPr>
          <w:trHeight w:val="191"/>
        </w:trPr>
        <w:tc>
          <w:tcPr>
            <w:tcW w:w="5440" w:type="dxa"/>
            <w:vAlign w:val="bottom"/>
            <w:gridSpan w:val="4"/>
          </w:tcPr>
          <w:p>
            <w:pPr>
              <w:ind w:left="160"/>
              <w:spacing w:after="0"/>
              <w:rPr>
                <w:sz w:val="20"/>
                <w:szCs w:val="20"/>
                <w:color w:val="auto"/>
              </w:rPr>
            </w:pPr>
            <w:r>
              <w:rPr>
                <w:rFonts w:ascii="Arial" w:cs="Arial" w:eastAsia="Arial" w:hAnsi="Arial"/>
                <w:sz w:val="16"/>
                <w:szCs w:val="16"/>
                <w:color w:val="auto"/>
              </w:rPr>
              <w:t>Other payables and accrued expenses</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(4,378)</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3,081</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(38)</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3,440</w:t>
            </w:r>
          </w:p>
        </w:tc>
        <w:tc>
          <w:tcPr>
            <w:tcW w:w="120" w:type="dxa"/>
            <w:vAlign w:val="bottom"/>
          </w:tcPr>
          <w:p>
            <w:pPr>
              <w:spacing w:after="0"/>
              <w:rPr>
                <w:sz w:val="16"/>
                <w:szCs w:val="16"/>
                <w:color w:val="auto"/>
              </w:rPr>
            </w:pPr>
          </w:p>
        </w:tc>
      </w:tr>
      <w:tr>
        <w:trPr>
          <w:trHeight w:val="191"/>
        </w:trPr>
        <w:tc>
          <w:tcPr>
            <w:tcW w:w="5440" w:type="dxa"/>
            <w:vAlign w:val="bottom"/>
            <w:gridSpan w:val="4"/>
            <w:shd w:val="clear" w:color="auto" w:fill="CCEEFF"/>
          </w:tcPr>
          <w:p>
            <w:pPr>
              <w:ind w:left="160"/>
              <w:spacing w:after="0"/>
              <w:rPr>
                <w:sz w:val="20"/>
                <w:szCs w:val="20"/>
                <w:color w:val="auto"/>
              </w:rPr>
            </w:pPr>
            <w:r>
              <w:rPr>
                <w:rFonts w:ascii="Arial" w:cs="Arial" w:eastAsia="Arial" w:hAnsi="Arial"/>
                <w:sz w:val="16"/>
                <w:szCs w:val="16"/>
                <w:color w:val="auto"/>
              </w:rPr>
              <w:t>Accrued severance pay, net</w:t>
            </w: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(161)</w:t>
            </w:r>
          </w:p>
        </w:tc>
        <w:tc>
          <w:tcPr>
            <w:tcW w:w="3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(103)</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(62)</w:t>
            </w:r>
          </w:p>
        </w:tc>
        <w:tc>
          <w:tcPr>
            <w:tcW w:w="3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(292)</w:t>
            </w:r>
          </w:p>
        </w:tc>
      </w:tr>
      <w:tr>
        <w:trPr>
          <w:trHeight w:val="191"/>
        </w:trPr>
        <w:tc>
          <w:tcPr>
            <w:tcW w:w="5440" w:type="dxa"/>
            <w:vAlign w:val="bottom"/>
            <w:gridSpan w:val="4"/>
          </w:tcPr>
          <w:p>
            <w:pPr>
              <w:ind w:left="160"/>
              <w:spacing w:after="0"/>
              <w:rPr>
                <w:sz w:val="20"/>
                <w:szCs w:val="20"/>
                <w:color w:val="auto"/>
              </w:rPr>
            </w:pPr>
            <w:r>
              <w:rPr>
                <w:rFonts w:ascii="Arial" w:cs="Arial" w:eastAsia="Arial" w:hAnsi="Arial"/>
                <w:sz w:val="16"/>
                <w:szCs w:val="16"/>
                <w:color w:val="auto"/>
              </w:rPr>
              <w:t>Other long - term liabilities</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(330)</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413</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(690)</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729</w:t>
            </w:r>
          </w:p>
        </w:tc>
        <w:tc>
          <w:tcPr>
            <w:tcW w:w="120" w:type="dxa"/>
            <w:vAlign w:val="bottom"/>
          </w:tcPr>
          <w:p>
            <w:pPr>
              <w:spacing w:after="0"/>
              <w:rPr>
                <w:sz w:val="16"/>
                <w:szCs w:val="16"/>
                <w:color w:val="auto"/>
              </w:rPr>
            </w:pPr>
          </w:p>
        </w:tc>
      </w:tr>
      <w:tr>
        <w:trPr>
          <w:trHeight w:val="223"/>
        </w:trPr>
        <w:tc>
          <w:tcPr>
            <w:tcW w:w="5440" w:type="dxa"/>
            <w:vAlign w:val="bottom"/>
            <w:tcBorders>
              <w:bottom w:val="single" w:sz="8" w:color="CCEEFF"/>
            </w:tcBorders>
            <w:gridSpan w:val="4"/>
            <w:shd w:val="clear" w:color="auto" w:fill="CCEEFF"/>
          </w:tcPr>
          <w:p>
            <w:pPr>
              <w:ind w:left="160"/>
              <w:spacing w:after="0"/>
              <w:rPr>
                <w:sz w:val="20"/>
                <w:szCs w:val="20"/>
                <w:color w:val="auto"/>
              </w:rPr>
            </w:pPr>
            <w:r>
              <w:rPr>
                <w:rFonts w:ascii="Arial" w:cs="Arial" w:eastAsia="Arial" w:hAnsi="Arial"/>
                <w:sz w:val="16"/>
                <w:szCs w:val="16"/>
                <w:color w:val="auto"/>
              </w:rPr>
              <w:t>Loss from sale and disposal of property, plant and equipment</w:t>
            </w:r>
          </w:p>
        </w:tc>
        <w:tc>
          <w:tcPr>
            <w:tcW w:w="5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179"/>
        </w:trPr>
        <w:tc>
          <w:tcPr>
            <w:tcW w:w="5440" w:type="dxa"/>
            <w:vAlign w:val="bottom"/>
            <w:tcBorders>
              <w:bottom w:val="single" w:sz="8" w:color="CCEEFF"/>
            </w:tcBorders>
            <w:gridSpan w:val="4"/>
          </w:tcPr>
          <w:p>
            <w:pPr>
              <w:spacing w:after="0" w:line="175" w:lineRule="exact"/>
              <w:rPr>
                <w:sz w:val="20"/>
                <w:szCs w:val="20"/>
                <w:color w:val="auto"/>
              </w:rPr>
            </w:pPr>
            <w:r>
              <w:rPr>
                <w:rFonts w:ascii="Arial" w:cs="Arial" w:eastAsia="Arial" w:hAnsi="Arial"/>
                <w:sz w:val="16"/>
                <w:szCs w:val="16"/>
                <w:color w:val="auto"/>
              </w:rPr>
              <w:t>Net cash used in operating activities</w:t>
            </w:r>
          </w:p>
        </w:tc>
        <w:tc>
          <w:tcPr>
            <w:tcW w:w="5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(15,544</w:t>
            </w:r>
          </w:p>
        </w:tc>
        <w:tc>
          <w:tcPr>
            <w:tcW w:w="200" w:type="dxa"/>
            <w:vAlign w:val="bottom"/>
            <w:tcBorders>
              <w:bottom w:val="single" w:sz="8" w:color="CCEEFF"/>
            </w:tcBorders>
          </w:tcPr>
          <w:p>
            <w:pPr>
              <w:jc w:val="right"/>
              <w:ind w:right="120"/>
              <w:spacing w:after="0"/>
              <w:rPr>
                <w:sz w:val="20"/>
                <w:szCs w:val="20"/>
                <w:color w:val="auto"/>
              </w:rPr>
            </w:pPr>
            <w:r>
              <w:rPr>
                <w:rFonts w:ascii="Arial" w:cs="Arial" w:eastAsia="Arial" w:hAnsi="Arial"/>
                <w:sz w:val="8"/>
                <w:szCs w:val="8"/>
                <w:color w:val="auto"/>
                <w:w w:val="73"/>
              </w:rPr>
              <w:t>)</w:t>
            </w:r>
          </w:p>
        </w:tc>
        <w:tc>
          <w:tcPr>
            <w:tcW w:w="360" w:type="dxa"/>
            <w:vAlign w:val="bottom"/>
            <w:tcBorders>
              <w:bottom w:val="single" w:sz="8" w:color="auto"/>
            </w:tcBorders>
          </w:tcPr>
          <w:p>
            <w:pPr>
              <w:jc w:val="right"/>
              <w:ind w:right="180"/>
              <w:spacing w:after="0" w:line="175" w:lineRule="exact"/>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(7,558</w:t>
            </w:r>
          </w:p>
        </w:tc>
        <w:tc>
          <w:tcPr>
            <w:tcW w:w="220" w:type="dxa"/>
            <w:vAlign w:val="bottom"/>
            <w:tcBorders>
              <w:bottom w:val="single" w:sz="8" w:color="CCEEFF"/>
            </w:tcBorders>
          </w:tcPr>
          <w:p>
            <w:pPr>
              <w:jc w:val="right"/>
              <w:ind w:right="80"/>
              <w:spacing w:after="0" w:line="175" w:lineRule="exact"/>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(29,548</w:t>
            </w:r>
          </w:p>
        </w:tc>
        <w:tc>
          <w:tcPr>
            <w:tcW w:w="200" w:type="dxa"/>
            <w:vAlign w:val="bottom"/>
            <w:tcBorders>
              <w:bottom w:val="single" w:sz="8" w:color="CCEEFF"/>
            </w:tcBorders>
          </w:tcPr>
          <w:p>
            <w:pPr>
              <w:jc w:val="right"/>
              <w:ind w:right="120"/>
              <w:spacing w:after="0"/>
              <w:rPr>
                <w:sz w:val="20"/>
                <w:szCs w:val="20"/>
                <w:color w:val="auto"/>
              </w:rPr>
            </w:pPr>
            <w:r>
              <w:rPr>
                <w:rFonts w:ascii="Arial" w:cs="Arial" w:eastAsia="Arial" w:hAnsi="Arial"/>
                <w:sz w:val="8"/>
                <w:szCs w:val="8"/>
                <w:color w:val="auto"/>
                <w:w w:val="73"/>
              </w:rPr>
              <w:t>)</w:t>
            </w:r>
          </w:p>
        </w:tc>
        <w:tc>
          <w:tcPr>
            <w:tcW w:w="360" w:type="dxa"/>
            <w:vAlign w:val="bottom"/>
            <w:tcBorders>
              <w:bottom w:val="single" w:sz="8" w:color="auto"/>
            </w:tcBorders>
          </w:tcPr>
          <w:p>
            <w:pPr>
              <w:jc w:val="right"/>
              <w:ind w:right="180"/>
              <w:spacing w:after="0" w:line="175" w:lineRule="exact"/>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(54,640</w:t>
            </w:r>
          </w:p>
        </w:tc>
        <w:tc>
          <w:tcPr>
            <w:tcW w:w="120" w:type="dxa"/>
            <w:vAlign w:val="bottom"/>
            <w:tcBorders>
              <w:bottom w:val="single" w:sz="8" w:color="CCEEFF"/>
            </w:tcBorders>
          </w:tcPr>
          <w:p>
            <w:pPr>
              <w:jc w:val="right"/>
              <w:spacing w:after="0" w:line="175" w:lineRule="exact"/>
              <w:rPr>
                <w:sz w:val="20"/>
                <w:szCs w:val="20"/>
                <w:color w:val="auto"/>
              </w:rPr>
            </w:pPr>
            <w:r>
              <w:rPr>
                <w:rFonts w:ascii="Arial" w:cs="Arial" w:eastAsia="Arial" w:hAnsi="Arial"/>
                <w:sz w:val="16"/>
                <w:szCs w:val="16"/>
                <w:color w:val="auto"/>
                <w:w w:val="74"/>
              </w:rPr>
              <w:t>)</w:t>
            </w:r>
          </w:p>
        </w:tc>
      </w:tr>
      <w:tr>
        <w:trPr>
          <w:trHeight w:val="191"/>
        </w:trPr>
        <w:tc>
          <w:tcPr>
            <w:tcW w:w="2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55"/>
        </w:trPr>
        <w:tc>
          <w:tcPr>
            <w:tcW w:w="5440" w:type="dxa"/>
            <w:vAlign w:val="bottom"/>
            <w:gridSpan w:val="4"/>
          </w:tcPr>
          <w:p>
            <w:pPr>
              <w:spacing w:after="0" w:line="155" w:lineRule="exact"/>
              <w:rPr>
                <w:sz w:val="20"/>
                <w:szCs w:val="20"/>
                <w:color w:val="auto"/>
              </w:rPr>
            </w:pPr>
            <w:r>
              <w:rPr>
                <w:rFonts w:ascii="Arial" w:cs="Arial" w:eastAsia="Arial" w:hAnsi="Arial"/>
                <w:sz w:val="16"/>
                <w:szCs w:val="16"/>
                <w:color w:val="auto"/>
              </w:rPr>
              <w:t>Cash flows from investing activities:</w:t>
            </w: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
        </w:trPr>
        <w:tc>
          <w:tcPr>
            <w:tcW w:w="2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99"/>
        </w:trPr>
        <w:tc>
          <w:tcPr>
            <w:tcW w:w="54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Purchase of property, plant and equipment</w:t>
            </w:r>
          </w:p>
        </w:tc>
        <w:tc>
          <w:tcPr>
            <w:tcW w:w="760" w:type="dxa"/>
            <w:vAlign w:val="bottom"/>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(1,791)</w:t>
            </w: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(1,985)</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(5,069)</w:t>
            </w: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(9,447)</w:t>
            </w:r>
          </w:p>
        </w:tc>
      </w:tr>
      <w:tr>
        <w:trPr>
          <w:trHeight w:val="191"/>
        </w:trPr>
        <w:tc>
          <w:tcPr>
            <w:tcW w:w="5440" w:type="dxa"/>
            <w:vAlign w:val="bottom"/>
            <w:gridSpan w:val="4"/>
          </w:tcPr>
          <w:p>
            <w:pPr>
              <w:spacing w:after="0"/>
              <w:rPr>
                <w:sz w:val="20"/>
                <w:szCs w:val="20"/>
                <w:color w:val="auto"/>
              </w:rPr>
            </w:pPr>
            <w:r>
              <w:rPr>
                <w:rFonts w:ascii="Arial" w:cs="Arial" w:eastAsia="Arial" w:hAnsi="Arial"/>
                <w:sz w:val="16"/>
                <w:szCs w:val="16"/>
                <w:color w:val="auto"/>
              </w:rPr>
              <w:t>Investment in equity securities</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(354)</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(354)</w:t>
            </w:r>
          </w:p>
        </w:tc>
      </w:tr>
      <w:tr>
        <w:trPr>
          <w:trHeight w:val="191"/>
        </w:trPr>
        <w:tc>
          <w:tcPr>
            <w:tcW w:w="54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Acquisition of intangible assets</w:t>
            </w: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(133)</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(133)</w:t>
            </w:r>
          </w:p>
        </w:tc>
      </w:tr>
      <w:tr>
        <w:trPr>
          <w:trHeight w:val="191"/>
        </w:trPr>
        <w:tc>
          <w:tcPr>
            <w:tcW w:w="5440" w:type="dxa"/>
            <w:vAlign w:val="bottom"/>
            <w:gridSpan w:val="4"/>
          </w:tcPr>
          <w:p>
            <w:pPr>
              <w:spacing w:after="0"/>
              <w:rPr>
                <w:sz w:val="20"/>
                <w:szCs w:val="20"/>
                <w:color w:val="auto"/>
              </w:rPr>
            </w:pPr>
            <w:r>
              <w:rPr>
                <w:rFonts w:ascii="Arial" w:cs="Arial" w:eastAsia="Arial" w:hAnsi="Arial"/>
                <w:sz w:val="16"/>
                <w:szCs w:val="16"/>
                <w:color w:val="auto"/>
              </w:rPr>
              <w:t>Proceeds from sale of property, plant and equipment</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55</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6"/>
                <w:szCs w:val="16"/>
                <w:color w:val="auto"/>
              </w:rPr>
            </w:pPr>
          </w:p>
        </w:tc>
      </w:tr>
      <w:tr>
        <w:trPr>
          <w:trHeight w:val="191"/>
        </w:trPr>
        <w:tc>
          <w:tcPr>
            <w:tcW w:w="54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Cash paid in connection with acquisition, net of cash acquired</w:t>
            </w: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(14,654)</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(14,654)</w:t>
            </w:r>
          </w:p>
        </w:tc>
      </w:tr>
      <w:tr>
        <w:trPr>
          <w:trHeight w:val="191"/>
        </w:trPr>
        <w:tc>
          <w:tcPr>
            <w:tcW w:w="5440" w:type="dxa"/>
            <w:vAlign w:val="bottom"/>
            <w:gridSpan w:val="4"/>
          </w:tcPr>
          <w:p>
            <w:pPr>
              <w:spacing w:after="0"/>
              <w:rPr>
                <w:sz w:val="20"/>
                <w:szCs w:val="20"/>
                <w:color w:val="auto"/>
              </w:rPr>
            </w:pPr>
            <w:r>
              <w:rPr>
                <w:rFonts w:ascii="Arial" w:cs="Arial" w:eastAsia="Arial" w:hAnsi="Arial"/>
                <w:sz w:val="16"/>
                <w:szCs w:val="16"/>
                <w:color w:val="auto"/>
              </w:rPr>
              <w:t>Proceeds from (investment in) short-term bank deposits, net</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(219,997)</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160,090</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54,935</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(250,895)</w:t>
            </w:r>
          </w:p>
        </w:tc>
      </w:tr>
      <w:tr>
        <w:trPr>
          <w:trHeight w:val="191"/>
        </w:trPr>
        <w:tc>
          <w:tcPr>
            <w:tcW w:w="54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Proceeds from sales and redemption of marketable securities</w:t>
            </w: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w:t>
            </w: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5,250</w:t>
            </w: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1,945</w:t>
            </w:r>
          </w:p>
        </w:tc>
        <w:tc>
          <w:tcPr>
            <w:tcW w:w="120" w:type="dxa"/>
            <w:vAlign w:val="bottom"/>
            <w:shd w:val="clear" w:color="auto" w:fill="CCEEFF"/>
          </w:tcPr>
          <w:p>
            <w:pPr>
              <w:spacing w:after="0"/>
              <w:rPr>
                <w:sz w:val="16"/>
                <w:szCs w:val="16"/>
                <w:color w:val="auto"/>
              </w:rPr>
            </w:pPr>
          </w:p>
        </w:tc>
      </w:tr>
      <w:tr>
        <w:trPr>
          <w:trHeight w:val="191"/>
        </w:trPr>
        <w:tc>
          <w:tcPr>
            <w:tcW w:w="5440" w:type="dxa"/>
            <w:vAlign w:val="bottom"/>
            <w:gridSpan w:val="4"/>
          </w:tcPr>
          <w:p>
            <w:pPr>
              <w:spacing w:after="0"/>
              <w:rPr>
                <w:sz w:val="20"/>
                <w:szCs w:val="20"/>
                <w:color w:val="auto"/>
              </w:rPr>
            </w:pPr>
            <w:r>
              <w:rPr>
                <w:rFonts w:ascii="Arial" w:cs="Arial" w:eastAsia="Arial" w:hAnsi="Arial"/>
                <w:sz w:val="16"/>
                <w:szCs w:val="16"/>
                <w:color w:val="auto"/>
              </w:rPr>
              <w:t>Proceeds from maturities of marketable securities</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7,680</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5,500</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11,252</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17,422</w:t>
            </w:r>
          </w:p>
        </w:tc>
        <w:tc>
          <w:tcPr>
            <w:tcW w:w="120" w:type="dxa"/>
            <w:vAlign w:val="bottom"/>
          </w:tcPr>
          <w:p>
            <w:pPr>
              <w:spacing w:after="0"/>
              <w:rPr>
                <w:sz w:val="16"/>
                <w:szCs w:val="16"/>
                <w:color w:val="auto"/>
              </w:rPr>
            </w:pPr>
          </w:p>
        </w:tc>
      </w:tr>
      <w:tr>
        <w:trPr>
          <w:trHeight w:val="223"/>
        </w:trPr>
        <w:tc>
          <w:tcPr>
            <w:tcW w:w="54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Investment in marketable securities</w:t>
            </w:r>
          </w:p>
        </w:tc>
        <w:tc>
          <w:tcPr>
            <w:tcW w:w="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(8,911)</w:t>
            </w: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(23,003)</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(18,935)</w:t>
            </w:r>
          </w:p>
        </w:tc>
        <w:tc>
          <w:tcPr>
            <w:tcW w:w="3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(103,897)</w:t>
            </w:r>
          </w:p>
        </w:tc>
      </w:tr>
      <w:tr>
        <w:trPr>
          <w:trHeight w:val="179"/>
        </w:trPr>
        <w:tc>
          <w:tcPr>
            <w:tcW w:w="5440" w:type="dxa"/>
            <w:vAlign w:val="bottom"/>
            <w:tcBorders>
              <w:top w:val="single" w:sz="8" w:color="CCEEFF"/>
              <w:bottom w:val="single" w:sz="8" w:color="CCEEFF"/>
            </w:tcBorders>
            <w:gridSpan w:val="4"/>
          </w:tcPr>
          <w:p>
            <w:pPr>
              <w:spacing w:after="0" w:line="175" w:lineRule="exact"/>
              <w:rPr>
                <w:sz w:val="20"/>
                <w:szCs w:val="20"/>
                <w:color w:val="auto"/>
              </w:rPr>
            </w:pPr>
            <w:r>
              <w:rPr>
                <w:rFonts w:ascii="Arial" w:cs="Arial" w:eastAsia="Arial" w:hAnsi="Arial"/>
                <w:sz w:val="16"/>
                <w:szCs w:val="16"/>
                <w:color w:val="auto"/>
              </w:rPr>
              <w:t>Net cash provided by (used in) investing activities</w:t>
            </w:r>
          </w:p>
        </w:tc>
        <w:tc>
          <w:tcPr>
            <w:tcW w:w="52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(221,769</w:t>
            </w:r>
          </w:p>
        </w:tc>
        <w:tc>
          <w:tcPr>
            <w:tcW w:w="200" w:type="dxa"/>
            <w:vAlign w:val="bottom"/>
            <w:tcBorders>
              <w:top w:val="single" w:sz="8" w:color="CCEEFF"/>
              <w:bottom w:val="single" w:sz="8" w:color="CCEEFF"/>
            </w:tcBorders>
          </w:tcPr>
          <w:p>
            <w:pPr>
              <w:jc w:val="right"/>
              <w:ind w:right="120"/>
              <w:spacing w:after="0"/>
              <w:rPr>
                <w:sz w:val="20"/>
                <w:szCs w:val="20"/>
                <w:color w:val="auto"/>
              </w:rPr>
            </w:pPr>
            <w:r>
              <w:rPr>
                <w:rFonts w:ascii="Arial" w:cs="Arial" w:eastAsia="Arial" w:hAnsi="Arial"/>
                <w:sz w:val="8"/>
                <w:szCs w:val="8"/>
                <w:color w:val="auto"/>
                <w:w w:val="73"/>
              </w:rPr>
              <w:t>)</w:t>
            </w:r>
          </w:p>
        </w:tc>
        <w:tc>
          <w:tcPr>
            <w:tcW w:w="360" w:type="dxa"/>
            <w:vAlign w:val="bottom"/>
            <w:tcBorders>
              <w:top w:val="single" w:sz="8" w:color="auto"/>
              <w:bottom w:val="single" w:sz="8" w:color="auto"/>
            </w:tcBorders>
          </w:tcPr>
          <w:p>
            <w:pPr>
              <w:jc w:val="right"/>
              <w:ind w:right="180"/>
              <w:spacing w:after="0" w:line="175" w:lineRule="exact"/>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127,016</w:t>
            </w:r>
          </w:p>
        </w:tc>
        <w:tc>
          <w:tcPr>
            <w:tcW w:w="22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47,433</w:t>
            </w:r>
          </w:p>
        </w:tc>
        <w:tc>
          <w:tcPr>
            <w:tcW w:w="200" w:type="dxa"/>
            <w:vAlign w:val="bottom"/>
            <w:tcBorders>
              <w:top w:val="single" w:sz="8" w:color="CCEEFF"/>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jc w:val="right"/>
              <w:ind w:right="180"/>
              <w:spacing w:after="0" w:line="175" w:lineRule="exact"/>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(359,958</w:t>
            </w:r>
          </w:p>
        </w:tc>
        <w:tc>
          <w:tcPr>
            <w:tcW w:w="120" w:type="dxa"/>
            <w:vAlign w:val="bottom"/>
            <w:tcBorders>
              <w:top w:val="single" w:sz="8" w:color="CCEEFF"/>
              <w:bottom w:val="single" w:sz="8" w:color="CCEEFF"/>
            </w:tcBorders>
          </w:tcPr>
          <w:p>
            <w:pPr>
              <w:jc w:val="right"/>
              <w:spacing w:after="0" w:line="175" w:lineRule="exact"/>
              <w:rPr>
                <w:sz w:val="20"/>
                <w:szCs w:val="20"/>
                <w:color w:val="auto"/>
              </w:rPr>
            </w:pPr>
            <w:r>
              <w:rPr>
                <w:rFonts w:ascii="Arial" w:cs="Arial" w:eastAsia="Arial" w:hAnsi="Arial"/>
                <w:sz w:val="16"/>
                <w:szCs w:val="16"/>
                <w:color w:val="auto"/>
                <w:w w:val="74"/>
              </w:rPr>
              <w:t>)</w:t>
            </w:r>
          </w:p>
        </w:tc>
      </w:tr>
      <w:tr>
        <w:trPr>
          <w:trHeight w:val="191"/>
        </w:trPr>
        <w:tc>
          <w:tcPr>
            <w:tcW w:w="2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63"/>
        </w:trPr>
        <w:tc>
          <w:tcPr>
            <w:tcW w:w="236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6"/>
                <w:szCs w:val="16"/>
                <w:color w:val="auto"/>
                <w:w w:val="92"/>
              </w:rPr>
              <w:t>Cash flows from financing activities:</w:t>
            </w:r>
          </w:p>
        </w:tc>
        <w:tc>
          <w:tcPr>
            <w:tcW w:w="3080" w:type="dxa"/>
            <w:vAlign w:val="bottom"/>
            <w:gridSpan w:val="2"/>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9"/>
        </w:trPr>
        <w:tc>
          <w:tcPr>
            <w:tcW w:w="54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Exercise of employee stock options</w:t>
            </w:r>
          </w:p>
        </w:tc>
        <w:tc>
          <w:tcPr>
            <w:tcW w:w="760" w:type="dxa"/>
            <w:vAlign w:val="bottom"/>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120" w:type="dxa"/>
            <w:vAlign w:val="bottom"/>
            <w:shd w:val="clear" w:color="auto" w:fill="CCEEFF"/>
          </w:tcPr>
          <w:p>
            <w:pPr>
              <w:spacing w:after="0"/>
              <w:rPr>
                <w:sz w:val="17"/>
                <w:szCs w:val="17"/>
                <w:color w:val="auto"/>
              </w:rPr>
            </w:pPr>
          </w:p>
        </w:tc>
      </w:tr>
      <w:tr>
        <w:trPr>
          <w:trHeight w:val="191"/>
        </w:trPr>
        <w:tc>
          <w:tcPr>
            <w:tcW w:w="5440" w:type="dxa"/>
            <w:vAlign w:val="bottom"/>
            <w:gridSpan w:val="4"/>
          </w:tcPr>
          <w:p>
            <w:pPr>
              <w:spacing w:after="0"/>
              <w:rPr>
                <w:sz w:val="20"/>
                <w:szCs w:val="20"/>
                <w:color w:val="auto"/>
              </w:rPr>
            </w:pPr>
            <w:r>
              <w:rPr>
                <w:rFonts w:ascii="Arial" w:cs="Arial" w:eastAsia="Arial" w:hAnsi="Arial"/>
                <w:sz w:val="16"/>
                <w:szCs w:val="16"/>
                <w:color w:val="auto"/>
              </w:rPr>
              <w:t>Payments related to shares withheld for taxes</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(302)</w:t>
            </w:r>
          </w:p>
        </w:tc>
        <w:tc>
          <w:tcPr>
            <w:tcW w:w="36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(172)</w:t>
            </w:r>
          </w:p>
        </w:tc>
        <w:tc>
          <w:tcPr>
            <w:tcW w:w="24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(437)</w:t>
            </w:r>
          </w:p>
        </w:tc>
        <w:tc>
          <w:tcPr>
            <w:tcW w:w="36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(682)</w:t>
            </w:r>
          </w:p>
        </w:tc>
      </w:tr>
      <w:tr>
        <w:trPr>
          <w:trHeight w:val="223"/>
        </w:trPr>
        <w:tc>
          <w:tcPr>
            <w:tcW w:w="54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Repurchase of ordinary shares</w:t>
            </w:r>
          </w:p>
        </w:tc>
        <w:tc>
          <w:tcPr>
            <w:tcW w:w="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(14,066)</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(20,818)</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r>
      <w:tr>
        <w:trPr>
          <w:trHeight w:val="179"/>
        </w:trPr>
        <w:tc>
          <w:tcPr>
            <w:tcW w:w="5440" w:type="dxa"/>
            <w:vAlign w:val="bottom"/>
            <w:tcBorders>
              <w:top w:val="single" w:sz="8" w:color="CCEEFF"/>
              <w:bottom w:val="single" w:sz="8" w:color="CCEEFF"/>
            </w:tcBorders>
            <w:gridSpan w:val="4"/>
          </w:tcPr>
          <w:p>
            <w:pPr>
              <w:spacing w:after="0" w:line="175" w:lineRule="exact"/>
              <w:rPr>
                <w:sz w:val="20"/>
                <w:szCs w:val="20"/>
                <w:color w:val="auto"/>
              </w:rPr>
            </w:pPr>
            <w:r>
              <w:rPr>
                <w:rFonts w:ascii="Arial" w:cs="Arial" w:eastAsia="Arial" w:hAnsi="Arial"/>
                <w:sz w:val="16"/>
                <w:szCs w:val="16"/>
                <w:color w:val="auto"/>
              </w:rPr>
              <w:t>Net cash used in financing activities</w:t>
            </w:r>
          </w:p>
        </w:tc>
        <w:tc>
          <w:tcPr>
            <w:tcW w:w="52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(14,315</w:t>
            </w:r>
          </w:p>
        </w:tc>
        <w:tc>
          <w:tcPr>
            <w:tcW w:w="200" w:type="dxa"/>
            <w:vAlign w:val="bottom"/>
            <w:tcBorders>
              <w:top w:val="single" w:sz="8" w:color="CCEEFF"/>
              <w:bottom w:val="single" w:sz="8" w:color="CCEEFF"/>
            </w:tcBorders>
          </w:tcPr>
          <w:p>
            <w:pPr>
              <w:jc w:val="right"/>
              <w:ind w:right="120"/>
              <w:spacing w:after="0"/>
              <w:rPr>
                <w:sz w:val="20"/>
                <w:szCs w:val="20"/>
                <w:color w:val="auto"/>
              </w:rPr>
            </w:pPr>
            <w:r>
              <w:rPr>
                <w:rFonts w:ascii="Arial" w:cs="Arial" w:eastAsia="Arial" w:hAnsi="Arial"/>
                <w:sz w:val="8"/>
                <w:szCs w:val="8"/>
                <w:color w:val="auto"/>
                <w:w w:val="73"/>
              </w:rPr>
              <w:t>)</w:t>
            </w:r>
          </w:p>
        </w:tc>
        <w:tc>
          <w:tcPr>
            <w:tcW w:w="360" w:type="dxa"/>
            <w:vAlign w:val="bottom"/>
            <w:tcBorders>
              <w:top w:val="single" w:sz="8" w:color="auto"/>
              <w:bottom w:val="single" w:sz="8" w:color="auto"/>
            </w:tcBorders>
          </w:tcPr>
          <w:p>
            <w:pPr>
              <w:jc w:val="right"/>
              <w:ind w:right="180"/>
              <w:spacing w:after="0" w:line="175" w:lineRule="exact"/>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(131</w:t>
            </w:r>
          </w:p>
        </w:tc>
        <w:tc>
          <w:tcPr>
            <w:tcW w:w="220" w:type="dxa"/>
            <w:vAlign w:val="bottom"/>
            <w:tcBorders>
              <w:top w:val="single" w:sz="8" w:color="CCEEFF"/>
              <w:bottom w:val="single" w:sz="8" w:color="CCEEFF"/>
            </w:tcBorders>
          </w:tcPr>
          <w:p>
            <w:pPr>
              <w:jc w:val="right"/>
              <w:ind w:right="80"/>
              <w:spacing w:after="0" w:line="175" w:lineRule="exact"/>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(21,160</w:t>
            </w:r>
          </w:p>
        </w:tc>
        <w:tc>
          <w:tcPr>
            <w:tcW w:w="200" w:type="dxa"/>
            <w:vAlign w:val="bottom"/>
            <w:tcBorders>
              <w:top w:val="single" w:sz="8" w:color="CCEEFF"/>
              <w:bottom w:val="single" w:sz="8" w:color="CCEEFF"/>
            </w:tcBorders>
          </w:tcPr>
          <w:p>
            <w:pPr>
              <w:jc w:val="right"/>
              <w:ind w:right="120"/>
              <w:spacing w:after="0"/>
              <w:rPr>
                <w:sz w:val="20"/>
                <w:szCs w:val="20"/>
                <w:color w:val="auto"/>
              </w:rPr>
            </w:pPr>
            <w:r>
              <w:rPr>
                <w:rFonts w:ascii="Arial" w:cs="Arial" w:eastAsia="Arial" w:hAnsi="Arial"/>
                <w:sz w:val="8"/>
                <w:szCs w:val="8"/>
                <w:color w:val="auto"/>
                <w:w w:val="73"/>
              </w:rPr>
              <w:t>)</w:t>
            </w:r>
          </w:p>
        </w:tc>
        <w:tc>
          <w:tcPr>
            <w:tcW w:w="360" w:type="dxa"/>
            <w:vAlign w:val="bottom"/>
            <w:tcBorders>
              <w:top w:val="single" w:sz="8" w:color="auto"/>
              <w:bottom w:val="single" w:sz="8" w:color="auto"/>
            </w:tcBorders>
          </w:tcPr>
          <w:p>
            <w:pPr>
              <w:jc w:val="right"/>
              <w:ind w:right="180"/>
              <w:spacing w:after="0" w:line="175" w:lineRule="exact"/>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(342</w:t>
            </w:r>
          </w:p>
        </w:tc>
        <w:tc>
          <w:tcPr>
            <w:tcW w:w="120" w:type="dxa"/>
            <w:vAlign w:val="bottom"/>
            <w:tcBorders>
              <w:top w:val="single" w:sz="8" w:color="CCEEFF"/>
              <w:bottom w:val="single" w:sz="8" w:color="CCEEFF"/>
            </w:tcBorders>
          </w:tcPr>
          <w:p>
            <w:pPr>
              <w:jc w:val="right"/>
              <w:spacing w:after="0" w:line="175" w:lineRule="exact"/>
              <w:rPr>
                <w:sz w:val="20"/>
                <w:szCs w:val="20"/>
                <w:color w:val="auto"/>
              </w:rPr>
            </w:pPr>
            <w:r>
              <w:rPr>
                <w:rFonts w:ascii="Arial" w:cs="Arial" w:eastAsia="Arial" w:hAnsi="Arial"/>
                <w:sz w:val="16"/>
                <w:szCs w:val="16"/>
                <w:color w:val="auto"/>
                <w:w w:val="74"/>
              </w:rPr>
              <w:t>)</w:t>
            </w:r>
          </w:p>
        </w:tc>
      </w:tr>
      <w:tr>
        <w:trPr>
          <w:trHeight w:val="191"/>
        </w:trPr>
        <w:tc>
          <w:tcPr>
            <w:tcW w:w="2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5440" w:type="dxa"/>
            <w:vAlign w:val="bottom"/>
            <w:gridSpan w:val="4"/>
          </w:tcPr>
          <w:p>
            <w:pPr>
              <w:spacing w:after="0"/>
              <w:rPr>
                <w:sz w:val="20"/>
                <w:szCs w:val="20"/>
                <w:color w:val="auto"/>
              </w:rPr>
            </w:pPr>
            <w:r>
              <w:rPr>
                <w:rFonts w:ascii="Arial" w:cs="Arial" w:eastAsia="Arial" w:hAnsi="Arial"/>
                <w:sz w:val="16"/>
                <w:szCs w:val="16"/>
                <w:color w:val="auto"/>
              </w:rPr>
              <w:t>Increase (decrease) in cash and cash equivalents</w:t>
            </w:r>
          </w:p>
        </w:tc>
        <w:tc>
          <w:tcPr>
            <w:tcW w:w="760" w:type="dxa"/>
            <w:vAlign w:val="bottom"/>
            <w:gridSpan w:val="2"/>
          </w:tcPr>
          <w:p>
            <w:pPr>
              <w:jc w:val="right"/>
              <w:ind w:right="86"/>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(251,628)</w:t>
            </w: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119,327</w:t>
            </w:r>
          </w:p>
        </w:tc>
        <w:tc>
          <w:tcPr>
            <w:tcW w:w="220" w:type="dxa"/>
            <w:vAlign w:val="bottom"/>
          </w:tcPr>
          <w:p>
            <w:pPr>
              <w:spacing w:after="0"/>
              <w:rPr>
                <w:sz w:val="16"/>
                <w:szCs w:val="16"/>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(3,275)</w:t>
            </w: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(414,940)</w:t>
            </w:r>
          </w:p>
        </w:tc>
      </w:tr>
      <w:tr>
        <w:trPr>
          <w:trHeight w:val="223"/>
        </w:trPr>
        <w:tc>
          <w:tcPr>
            <w:tcW w:w="54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Cash and cash equivalents at the beginning of the period</w:t>
            </w:r>
          </w:p>
        </w:tc>
        <w:tc>
          <w:tcPr>
            <w:tcW w:w="5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352,950</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77,284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104,597</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611,551</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43"/>
        </w:trPr>
        <w:tc>
          <w:tcPr>
            <w:tcW w:w="5440" w:type="dxa"/>
            <w:vAlign w:val="bottom"/>
            <w:gridSpan w:val="4"/>
          </w:tcPr>
          <w:p>
            <w:pPr>
              <w:spacing w:after="0"/>
              <w:rPr>
                <w:sz w:val="20"/>
                <w:szCs w:val="20"/>
                <w:color w:val="auto"/>
              </w:rPr>
            </w:pPr>
            <w:r>
              <w:rPr>
                <w:rFonts w:ascii="Arial" w:cs="Arial" w:eastAsia="Arial" w:hAnsi="Arial"/>
                <w:sz w:val="16"/>
                <w:szCs w:val="16"/>
                <w:color w:val="auto"/>
              </w:rPr>
              <w:t>Cash and cash equivalents at the end of the period</w:t>
            </w:r>
          </w:p>
        </w:tc>
        <w:tc>
          <w:tcPr>
            <w:tcW w:w="760" w:type="dxa"/>
            <w:vAlign w:val="bottom"/>
            <w:gridSpan w:val="2"/>
          </w:tcPr>
          <w:p>
            <w:pPr>
              <w:jc w:val="right"/>
              <w:ind w:right="86"/>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101,322</w:t>
            </w:r>
          </w:p>
        </w:tc>
        <w:tc>
          <w:tcPr>
            <w:tcW w:w="200" w:type="dxa"/>
            <w:vAlign w:val="bottom"/>
          </w:tcPr>
          <w:p>
            <w:pPr>
              <w:spacing w:after="0"/>
              <w:rPr>
                <w:sz w:val="21"/>
                <w:szCs w:val="21"/>
                <w:color w:val="auto"/>
              </w:rPr>
            </w:pP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196,611</w:t>
            </w:r>
          </w:p>
        </w:tc>
        <w:tc>
          <w:tcPr>
            <w:tcW w:w="220" w:type="dxa"/>
            <w:vAlign w:val="bottom"/>
          </w:tcPr>
          <w:p>
            <w:pPr>
              <w:spacing w:after="0"/>
              <w:rPr>
                <w:sz w:val="21"/>
                <w:szCs w:val="21"/>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101,322</w:t>
            </w:r>
          </w:p>
        </w:tc>
        <w:tc>
          <w:tcPr>
            <w:tcW w:w="200" w:type="dxa"/>
            <w:vAlign w:val="bottom"/>
          </w:tcPr>
          <w:p>
            <w:pPr>
              <w:spacing w:after="0"/>
              <w:rPr>
                <w:sz w:val="21"/>
                <w:szCs w:val="21"/>
                <w:color w:val="auto"/>
              </w:rPr>
            </w:pP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196,611</w:t>
            </w:r>
          </w:p>
        </w:tc>
        <w:tc>
          <w:tcPr>
            <w:tcW w:w="120" w:type="dxa"/>
            <w:vAlign w:val="bottom"/>
          </w:tcPr>
          <w:p>
            <w:pPr>
              <w:spacing w:after="0"/>
              <w:rPr>
                <w:sz w:val="21"/>
                <w:szCs w:val="21"/>
                <w:color w:val="auto"/>
              </w:rPr>
            </w:pPr>
          </w:p>
        </w:tc>
      </w:tr>
      <w:tr>
        <w:trPr>
          <w:trHeight w:val="187"/>
        </w:trPr>
        <w:tc>
          <w:tcPr>
            <w:tcW w:w="23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8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191"/>
        </w:trPr>
        <w:tc>
          <w:tcPr>
            <w:tcW w:w="5440" w:type="dxa"/>
            <w:vAlign w:val="bottom"/>
            <w:gridSpan w:val="4"/>
          </w:tcPr>
          <w:p>
            <w:pPr>
              <w:spacing w:after="0"/>
              <w:rPr>
                <w:sz w:val="20"/>
                <w:szCs w:val="20"/>
                <w:color w:val="auto"/>
              </w:rPr>
            </w:pPr>
            <w:r>
              <w:rPr>
                <w:rFonts w:ascii="Arial" w:cs="Arial" w:eastAsia="Arial" w:hAnsi="Arial"/>
                <w:sz w:val="16"/>
                <w:szCs w:val="16"/>
                <w:color w:val="auto"/>
              </w:rPr>
              <w:t>Non-cash investing and financing activities:</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4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Purchase of property and equipment on credit</w:t>
            </w: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1,823</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1,823</w:t>
            </w:r>
          </w:p>
        </w:tc>
        <w:tc>
          <w:tcPr>
            <w:tcW w:w="120" w:type="dxa"/>
            <w:vAlign w:val="bottom"/>
            <w:shd w:val="clear" w:color="auto" w:fill="CCEEFF"/>
          </w:tcPr>
          <w:p>
            <w:pPr>
              <w:spacing w:after="0"/>
              <w:rPr>
                <w:sz w:val="16"/>
                <w:szCs w:val="16"/>
                <w:color w:val="auto"/>
              </w:rPr>
            </w:pPr>
          </w:p>
        </w:tc>
      </w:tr>
      <w:tr>
        <w:trPr>
          <w:trHeight w:val="191"/>
        </w:trPr>
        <w:tc>
          <w:tcPr>
            <w:tcW w:w="5440" w:type="dxa"/>
            <w:vAlign w:val="bottom"/>
            <w:gridSpan w:val="4"/>
          </w:tcPr>
          <w:p>
            <w:pPr>
              <w:spacing w:after="0"/>
              <w:rPr>
                <w:sz w:val="20"/>
                <w:szCs w:val="20"/>
                <w:color w:val="auto"/>
              </w:rPr>
            </w:pPr>
            <w:r>
              <w:rPr>
                <w:rFonts w:ascii="Arial" w:cs="Arial" w:eastAsia="Arial" w:hAnsi="Arial"/>
                <w:sz w:val="16"/>
                <w:szCs w:val="16"/>
                <w:color w:val="auto"/>
              </w:rPr>
              <w:t>Inventory transferred to be used as property and equipment</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592</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1,289</w:t>
            </w:r>
          </w:p>
        </w:tc>
        <w:tc>
          <w:tcPr>
            <w:tcW w:w="120" w:type="dxa"/>
            <w:vAlign w:val="bottom"/>
          </w:tcPr>
          <w:p>
            <w:pPr>
              <w:spacing w:after="0"/>
              <w:rPr>
                <w:sz w:val="16"/>
                <w:szCs w:val="16"/>
                <w:color w:val="auto"/>
              </w:rPr>
            </w:pPr>
          </w:p>
        </w:tc>
      </w:tr>
      <w:tr>
        <w:trPr>
          <w:trHeight w:val="191"/>
        </w:trPr>
        <w:tc>
          <w:tcPr>
            <w:tcW w:w="54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Property, plant and equipment transferred to be used as inventory</w:t>
            </w: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w:t>
            </w: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6"/>
                <w:szCs w:val="16"/>
                <w:color w:val="auto"/>
              </w:rPr>
            </w:pPr>
          </w:p>
        </w:tc>
      </w:tr>
      <w:tr>
        <w:trPr>
          <w:trHeight w:val="204"/>
        </w:trPr>
        <w:tc>
          <w:tcPr>
            <w:tcW w:w="5440" w:type="dxa"/>
            <w:vAlign w:val="bottom"/>
            <w:gridSpan w:val="4"/>
          </w:tcPr>
          <w:p>
            <w:pPr>
              <w:spacing w:after="0"/>
              <w:rPr>
                <w:sz w:val="20"/>
                <w:szCs w:val="20"/>
                <w:color w:val="auto"/>
              </w:rPr>
            </w:pPr>
            <w:r>
              <w:rPr>
                <w:rFonts w:ascii="Arial" w:cs="Arial" w:eastAsia="Arial" w:hAnsi="Arial"/>
                <w:sz w:val="16"/>
                <w:szCs w:val="16"/>
                <w:color w:val="auto"/>
              </w:rPr>
              <w:t>Lease liabilities arising from obtaining right-of-use assets</w:t>
            </w: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(550)</w:t>
            </w: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641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5,487</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6,387</w:t>
            </w:r>
          </w:p>
        </w:tc>
        <w:tc>
          <w:tcPr>
            <w:tcW w:w="120" w:type="dxa"/>
            <w:vAlign w:val="bottom"/>
          </w:tcPr>
          <w:p>
            <w:pPr>
              <w:spacing w:after="0"/>
              <w:rPr>
                <w:sz w:val="17"/>
                <w:szCs w:val="17"/>
                <w:color w:val="auto"/>
              </w:rPr>
            </w:pPr>
          </w:p>
        </w:tc>
      </w:tr>
      <w:tr>
        <w:trPr>
          <w:trHeight w:val="565"/>
        </w:trPr>
        <w:tc>
          <w:tcPr>
            <w:tcW w:w="2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7</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16" w:right="31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6"/>
          <w:szCs w:val="16"/>
          <w:b w:val="1"/>
          <w:bCs w:val="1"/>
          <w:color w:val="auto"/>
        </w:rPr>
        <w:t>KORNIT DIGITAL LTD.</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AND ITS SUBSIDIARIES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RECONCILIATION OF GAAP NET INCOME TO ADJUSTED EBITDA</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(U.S. dollars in thousands, except share and per share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6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0"/>
              </w:rPr>
              <w:t>Three Months Ended</w:t>
            </w:r>
          </w:p>
        </w:tc>
        <w:tc>
          <w:tcPr>
            <w:tcW w:w="240" w:type="dxa"/>
            <w:vAlign w:val="bottom"/>
          </w:tcPr>
          <w:p>
            <w:pPr>
              <w:spacing w:after="0"/>
              <w:rPr>
                <w:sz w:val="17"/>
                <w:szCs w:val="17"/>
                <w:color w:val="auto"/>
              </w:rPr>
            </w:pPr>
          </w:p>
        </w:tc>
        <w:tc>
          <w:tcPr>
            <w:tcW w:w="236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89"/>
              </w:rPr>
              <w:t>Six Months Ended</w:t>
            </w:r>
          </w:p>
        </w:tc>
        <w:tc>
          <w:tcPr>
            <w:tcW w:w="0" w:type="dxa"/>
            <w:vAlign w:val="bottom"/>
          </w:tcPr>
          <w:p>
            <w:pPr>
              <w:spacing w:after="0"/>
              <w:rPr>
                <w:sz w:val="1"/>
                <w:szCs w:val="1"/>
                <w:color w:val="auto"/>
              </w:rPr>
            </w:pPr>
          </w:p>
        </w:tc>
      </w:tr>
      <w:tr>
        <w:trPr>
          <w:trHeight w:val="212"/>
        </w:trPr>
        <w:tc>
          <w:tcPr>
            <w:tcW w:w="4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left="460"/>
              <w:spacing w:after="0"/>
              <w:rPr>
                <w:sz w:val="20"/>
                <w:szCs w:val="20"/>
                <w:color w:val="auto"/>
              </w:rPr>
            </w:pPr>
            <w:r>
              <w:rPr>
                <w:rFonts w:ascii="Arial" w:cs="Arial" w:eastAsia="Arial" w:hAnsi="Arial"/>
                <w:sz w:val="16"/>
                <w:szCs w:val="16"/>
                <w:b w:val="1"/>
                <w:bCs w:val="1"/>
                <w:color w:val="auto"/>
                <w:w w:val="87"/>
              </w:rPr>
              <w:t>June 30,</w:t>
            </w: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left="460"/>
              <w:spacing w:after="0"/>
              <w:rPr>
                <w:sz w:val="20"/>
                <w:szCs w:val="20"/>
                <w:color w:val="auto"/>
              </w:rPr>
            </w:pPr>
            <w:r>
              <w:rPr>
                <w:rFonts w:ascii="Arial" w:cs="Arial" w:eastAsia="Arial" w:hAnsi="Arial"/>
                <w:sz w:val="16"/>
                <w:szCs w:val="16"/>
                <w:b w:val="1"/>
                <w:bCs w:val="1"/>
                <w:color w:val="auto"/>
                <w:w w:val="87"/>
              </w:rPr>
              <w:t>June 30,</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3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460"/>
              <w:spacing w:after="0"/>
              <w:rPr>
                <w:sz w:val="20"/>
                <w:szCs w:val="20"/>
                <w:color w:val="auto"/>
              </w:rPr>
            </w:pPr>
            <w:r>
              <w:rPr>
                <w:rFonts w:ascii="Arial" w:cs="Arial" w:eastAsia="Arial" w:hAnsi="Arial"/>
                <w:sz w:val="16"/>
                <w:szCs w:val="16"/>
                <w:b w:val="1"/>
                <w:bCs w:val="1"/>
                <w:color w:val="auto"/>
                <w:w w:val="94"/>
              </w:rPr>
              <w:t>(Unaudited)</w:t>
            </w:r>
          </w:p>
        </w:tc>
        <w:tc>
          <w:tcPr>
            <w:tcW w:w="7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460"/>
              <w:spacing w:after="0"/>
              <w:rPr>
                <w:sz w:val="20"/>
                <w:szCs w:val="20"/>
                <w:color w:val="auto"/>
              </w:rPr>
            </w:pPr>
            <w:r>
              <w:rPr>
                <w:rFonts w:ascii="Arial" w:cs="Arial" w:eastAsia="Arial" w:hAnsi="Arial"/>
                <w:sz w:val="16"/>
                <w:szCs w:val="16"/>
                <w:b w:val="1"/>
                <w:bCs w:val="1"/>
                <w:color w:val="auto"/>
                <w:w w:val="94"/>
              </w:rPr>
              <w:t>(Unaudited)</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3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GAAP Revenues</w:t>
            </w:r>
          </w:p>
        </w:tc>
        <w:tc>
          <w:tcPr>
            <w:tcW w:w="1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56,199</w:t>
            </w: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58,136</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103,977</w:t>
            </w: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141,429</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3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GAAP Net Loss</w:t>
            </w:r>
          </w:p>
        </w:tc>
        <w:tc>
          <w:tcPr>
            <w:tcW w:w="1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(14,325)</w:t>
            </w:r>
          </w:p>
        </w:tc>
        <w:tc>
          <w:tcPr>
            <w:tcW w:w="3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(19,476)</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(33,256)</w:t>
            </w:r>
          </w:p>
        </w:tc>
        <w:tc>
          <w:tcPr>
            <w:tcW w:w="3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(24,673)</w:t>
            </w:r>
          </w:p>
        </w:tc>
        <w:tc>
          <w:tcPr>
            <w:tcW w:w="0" w:type="dxa"/>
            <w:vAlign w:val="bottom"/>
          </w:tcPr>
          <w:p>
            <w:pPr>
              <w:spacing w:after="0"/>
              <w:rPr>
                <w:sz w:val="1"/>
                <w:szCs w:val="1"/>
                <w:color w:val="auto"/>
              </w:rPr>
            </w:pPr>
          </w:p>
        </w:tc>
      </w:tr>
      <w:tr>
        <w:trPr>
          <w:trHeight w:val="191"/>
        </w:trPr>
        <w:tc>
          <w:tcPr>
            <w:tcW w:w="4300" w:type="dxa"/>
            <w:vAlign w:val="bottom"/>
          </w:tcPr>
          <w:p>
            <w:pPr>
              <w:ind w:left="160"/>
              <w:spacing w:after="0"/>
              <w:rPr>
                <w:sz w:val="20"/>
                <w:szCs w:val="20"/>
                <w:color w:val="auto"/>
              </w:rPr>
            </w:pPr>
            <w:r>
              <w:rPr>
                <w:rFonts w:ascii="Arial" w:cs="Arial" w:eastAsia="Arial" w:hAnsi="Arial"/>
                <w:sz w:val="16"/>
                <w:szCs w:val="16"/>
                <w:color w:val="auto"/>
              </w:rPr>
              <w:t>Taxes on income</w:t>
            </w:r>
          </w:p>
        </w:tc>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430</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(1,099)</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624</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(1,008)</w:t>
            </w:r>
          </w:p>
        </w:tc>
        <w:tc>
          <w:tcPr>
            <w:tcW w:w="0" w:type="dxa"/>
            <w:vAlign w:val="bottom"/>
          </w:tcPr>
          <w:p>
            <w:pPr>
              <w:spacing w:after="0"/>
              <w:rPr>
                <w:sz w:val="1"/>
                <w:szCs w:val="1"/>
                <w:color w:val="auto"/>
              </w:rPr>
            </w:pPr>
          </w:p>
        </w:tc>
      </w:tr>
      <w:tr>
        <w:trPr>
          <w:trHeight w:val="191"/>
        </w:trPr>
        <w:tc>
          <w:tcPr>
            <w:tcW w:w="4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Financial income</w:t>
            </w:r>
          </w:p>
        </w:tc>
        <w:tc>
          <w:tcPr>
            <w:tcW w:w="1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(7,018)</w:t>
            </w:r>
          </w:p>
        </w:tc>
        <w:tc>
          <w:tcPr>
            <w:tcW w:w="3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(4,324)</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(12,422)</w:t>
            </w:r>
          </w:p>
        </w:tc>
        <w:tc>
          <w:tcPr>
            <w:tcW w:w="3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(6,123)</w:t>
            </w:r>
          </w:p>
        </w:tc>
        <w:tc>
          <w:tcPr>
            <w:tcW w:w="0" w:type="dxa"/>
            <w:vAlign w:val="bottom"/>
          </w:tcPr>
          <w:p>
            <w:pPr>
              <w:spacing w:after="0"/>
              <w:rPr>
                <w:sz w:val="1"/>
                <w:szCs w:val="1"/>
                <w:color w:val="auto"/>
              </w:rPr>
            </w:pPr>
          </w:p>
        </w:tc>
      </w:tr>
      <w:tr>
        <w:trPr>
          <w:trHeight w:val="191"/>
        </w:trPr>
        <w:tc>
          <w:tcPr>
            <w:tcW w:w="4300" w:type="dxa"/>
            <w:vAlign w:val="bottom"/>
          </w:tcPr>
          <w:p>
            <w:pPr>
              <w:ind w:left="160"/>
              <w:spacing w:after="0"/>
              <w:rPr>
                <w:sz w:val="20"/>
                <w:szCs w:val="20"/>
                <w:color w:val="auto"/>
              </w:rPr>
            </w:pPr>
            <w:r>
              <w:rPr>
                <w:rFonts w:ascii="Arial" w:cs="Arial" w:eastAsia="Arial" w:hAnsi="Arial"/>
                <w:sz w:val="16"/>
                <w:szCs w:val="16"/>
                <w:color w:val="auto"/>
              </w:rPr>
              <w:t>Share-based compensation</w:t>
            </w:r>
          </w:p>
        </w:tc>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6,550</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5,481</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11,795</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10,779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Intangible assets amortization</w:t>
            </w:r>
          </w:p>
        </w:tc>
        <w:tc>
          <w:tcPr>
            <w:tcW w:w="1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w:t>
            </w: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300" w:type="dxa"/>
            <w:vAlign w:val="bottom"/>
          </w:tcPr>
          <w:p>
            <w:pPr>
              <w:ind w:left="160"/>
              <w:spacing w:after="0"/>
              <w:rPr>
                <w:sz w:val="20"/>
                <w:szCs w:val="20"/>
                <w:color w:val="auto"/>
              </w:rPr>
            </w:pPr>
            <w:r>
              <w:rPr>
                <w:rFonts w:ascii="Arial" w:cs="Arial" w:eastAsia="Arial" w:hAnsi="Arial"/>
                <w:sz w:val="16"/>
                <w:szCs w:val="16"/>
                <w:color w:val="auto"/>
              </w:rPr>
              <w:t>Acquisition related expenses</w:t>
            </w:r>
          </w:p>
        </w:tc>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512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Excess cost of product on acquired inventory</w:t>
            </w:r>
          </w:p>
        </w:tc>
        <w:tc>
          <w:tcPr>
            <w:tcW w:w="1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30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Restructuring expenses</w:t>
            </w:r>
          </w:p>
        </w:tc>
        <w:tc>
          <w:tcPr>
            <w:tcW w:w="16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Non-GAAP Operating Loss</w:t>
            </w:r>
          </w:p>
        </w:tc>
        <w:tc>
          <w:tcPr>
            <w:tcW w:w="1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(13,788)</w:t>
            </w: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(18,259)</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(31,778)</w:t>
            </w: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(18,935)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30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Depreciation</w:t>
            </w:r>
          </w:p>
        </w:tc>
        <w:tc>
          <w:tcPr>
            <w:tcW w:w="16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3,079</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2,532</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6,341</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4,693</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Adjusted EBITDA</w:t>
            </w:r>
          </w:p>
        </w:tc>
        <w:tc>
          <w:tcPr>
            <w:tcW w:w="1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(10,709</w:t>
            </w:r>
          </w:p>
        </w:tc>
        <w:tc>
          <w:tcPr>
            <w:tcW w:w="200" w:type="dxa"/>
            <w:vAlign w:val="bottom"/>
            <w:shd w:val="clear" w:color="auto" w:fill="CCEEFF"/>
          </w:tcPr>
          <w:p>
            <w:pPr>
              <w:jc w:val="right"/>
              <w:ind w:right="120"/>
              <w:spacing w:after="0"/>
              <w:rPr>
                <w:sz w:val="20"/>
                <w:szCs w:val="20"/>
                <w:color w:val="auto"/>
              </w:rPr>
            </w:pPr>
            <w:r>
              <w:rPr>
                <w:rFonts w:ascii="Arial" w:cs="Arial" w:eastAsia="Arial" w:hAnsi="Arial"/>
                <w:sz w:val="8"/>
                <w:szCs w:val="8"/>
                <w:color w:val="auto"/>
                <w:w w:val="73"/>
              </w:rPr>
              <w:t>)</w:t>
            </w: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(15,727</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(25,437</w:t>
            </w:r>
          </w:p>
        </w:tc>
        <w:tc>
          <w:tcPr>
            <w:tcW w:w="200" w:type="dxa"/>
            <w:vAlign w:val="bottom"/>
            <w:shd w:val="clear" w:color="auto" w:fill="CCEEFF"/>
          </w:tcPr>
          <w:p>
            <w:pPr>
              <w:jc w:val="right"/>
              <w:ind w:right="120"/>
              <w:spacing w:after="0"/>
              <w:rPr>
                <w:sz w:val="20"/>
                <w:szCs w:val="20"/>
                <w:color w:val="auto"/>
              </w:rPr>
            </w:pPr>
            <w:r>
              <w:rPr>
                <w:rFonts w:ascii="Arial" w:cs="Arial" w:eastAsia="Arial" w:hAnsi="Arial"/>
                <w:sz w:val="8"/>
                <w:szCs w:val="8"/>
                <w:color w:val="auto"/>
                <w:w w:val="73"/>
              </w:rPr>
              <w:t>)</w:t>
            </w: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(14,242</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CCEEFF"/>
            </w:tcBorders>
            <w:vMerge w:val="restart"/>
          </w:tcPr>
          <w:p>
            <w:pPr>
              <w:jc w:val="right"/>
              <w:ind w:right="220"/>
              <w:spacing w:after="0"/>
              <w:rPr>
                <w:sz w:val="20"/>
                <w:szCs w:val="20"/>
                <w:color w:val="auto"/>
              </w:rPr>
            </w:pPr>
            <w:r>
              <w:rPr>
                <w:rFonts w:ascii="Arial" w:cs="Arial" w:eastAsia="Arial" w:hAnsi="Arial"/>
                <w:sz w:val="16"/>
                <w:szCs w:val="16"/>
                <w:color w:val="auto"/>
              </w:rPr>
              <w:t>8</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43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16" w:right="319" w:bottom="1440" w:gutter="0" w:footer="0" w:header="0"/>
        </w:sectPr>
      </w:pPr>
    </w:p>
    <w:bookmarkStart w:id="11" w:name="page12"/>
    <w:bookmarkEnd w:id="11"/>
    <w:p>
      <w:pPr>
        <w:ind w:left="9300"/>
        <w:spacing w:after="0"/>
        <w:rPr>
          <w:sz w:val="20"/>
          <w:szCs w:val="20"/>
          <w:color w:val="auto"/>
        </w:rPr>
      </w:pPr>
      <w:r>
        <w:rPr>
          <w:rFonts w:ascii="Arial" w:cs="Arial" w:eastAsia="Arial" w:hAnsi="Arial"/>
          <w:sz w:val="15"/>
          <w:szCs w:val="15"/>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143510</wp:posOffset>
            </wp:positionV>
            <wp:extent cx="7208520" cy="4196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208520" cy="4196080"/>
                    </a:xfrm>
                    <a:prstGeom prst="rect">
                      <a:avLst/>
                    </a:prstGeom>
                    <a:noFill/>
                  </pic:spPr>
                </pic:pic>
              </a:graphicData>
            </a:graphic>
          </wp:anchor>
        </w:drawing>
      </w:r>
    </w:p>
    <w:p>
      <w:pPr>
        <w:sectPr>
          <w:pgSz w:w="11900" w:h="16838" w:orient="portrait"/>
          <w:cols w:equalWidth="0" w:num="1">
            <w:col w:w="10140"/>
          </w:cols>
          <w:pgMar w:left="1440" w:top="123" w:right="319" w:bottom="144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8520" cy="41960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20852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8520" cy="42037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208520" cy="4203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8520" cy="41960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20852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8520" cy="41960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20852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8520" cy="41960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20852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8520" cy="41960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20852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8520" cy="41960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20852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4588510</wp:posOffset>
            </wp:positionV>
            <wp:extent cx="7148195"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8520" cy="41960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20852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8520" cy="41960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20852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8520" cy="41960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20852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8520" cy="41960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20852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8520" cy="41960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20852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8520" cy="41960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20852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8520" cy="41960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20852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8520" cy="41960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20852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8520" cy="41960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20852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8520" cy="41960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20852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8520" cy="41960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20852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8520" cy="41960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208520" cy="41960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jpe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13" Type="http://schemas.openxmlformats.org/officeDocument/2006/relationships/hyperlink" Target="http://www.sec.gov/Archives/edgar/data/1625791/000121390021017777/ea138332-s8_kornitdigital.htm" TargetMode="External"/><Relationship Id="rId14" Type="http://schemas.openxmlformats.org/officeDocument/2006/relationships/hyperlink" Target="http://www.sec.gov/Archives/edgar/data/1625791/000121390022016164/ea157447-s8_kornitdigit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2023-08-09T08:14:17Z</dcterms:created>
  <dcterms:modified xsi:type="dcterms:W3CDTF">2023-08-09T08:14:17Z</dcterms:modified>
</cp:coreProperties>
</file>