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RULE 13a-16 OR 15d-16 OF</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For the month of </w:t>
      </w:r>
      <w:r>
        <w:rPr>
          <w:rFonts w:ascii="Times New Roman" w:cs="Times New Roman" w:eastAsia="Times New Roman" w:hAnsi="Times New Roman"/>
          <w:sz w:val="16"/>
          <w:szCs w:val="16"/>
          <w:b w:val="1"/>
          <w:bCs w:val="1"/>
          <w:color w:val="auto"/>
        </w:rPr>
        <w:t>May 2026</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001-36903</w:t>
      </w:r>
    </w:p>
    <w:p>
      <w:pPr>
        <w:spacing w:after="0" w:line="17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9"/>
          <w:szCs w:val="29"/>
          <w:b w:val="1"/>
          <w:bCs w:val="1"/>
          <w:color w:val="auto"/>
        </w:rPr>
        <w:t>KORNIT DIGITAL LTD.</w:t>
      </w:r>
    </w:p>
    <w:p>
      <w:pPr>
        <w:spacing w:after="0" w:line="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12 Ha’Amal Street</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74" w:lineRule="exact"/>
        <w:rPr>
          <w:sz w:val="24"/>
          <w:szCs w:val="24"/>
          <w:color w:val="auto"/>
        </w:rPr>
      </w:pPr>
    </w:p>
    <w:p>
      <w:pPr>
        <w:ind w:left="4580"/>
        <w:spacing w:after="0" w:line="184" w:lineRule="exact"/>
        <w:tabs>
          <w:tab w:leader="none" w:pos="578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303530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561340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6"/>
          <w:szCs w:val="16"/>
          <w:b w:val="1"/>
          <w:bCs w:val="1"/>
          <w:color w:val="auto"/>
        </w:rPr>
        <w:t>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 and Financial Condition— Quarter Ended March 31, 2026</w:t>
      </w:r>
    </w:p>
    <w:p>
      <w:pPr>
        <w:spacing w:after="0" w:line="200" w:lineRule="exact"/>
        <w:rPr>
          <w:sz w:val="20"/>
          <w:szCs w:val="20"/>
          <w:color w:val="auto"/>
        </w:rPr>
      </w:pPr>
    </w:p>
    <w:p>
      <w:pPr>
        <w:jc w:val="both"/>
        <w:ind w:right="20" w:firstLine="565"/>
        <w:spacing w:after="0" w:line="283" w:lineRule="auto"/>
        <w:rPr>
          <w:sz w:val="20"/>
          <w:szCs w:val="20"/>
          <w:color w:val="auto"/>
        </w:rPr>
      </w:pPr>
      <w:r>
        <w:rPr>
          <w:rFonts w:ascii="Times New Roman" w:cs="Times New Roman" w:eastAsia="Times New Roman" w:hAnsi="Times New Roman"/>
          <w:sz w:val="16"/>
          <w:szCs w:val="16"/>
          <w:color w:val="auto"/>
        </w:rPr>
        <w:t>On May 13, 2026, Kornit Digital Ltd. (“</w:t>
      </w:r>
      <w:r>
        <w:rPr>
          <w:rFonts w:ascii="Times New Roman" w:cs="Times New Roman" w:eastAsia="Times New Roman" w:hAnsi="Times New Roman"/>
          <w:sz w:val="16"/>
          <w:szCs w:val="16"/>
          <w:b w:val="1"/>
          <w:bCs w:val="1"/>
          <w:color w:val="auto"/>
        </w:rPr>
        <w:t>Kornit</w:t>
      </w:r>
      <w:r>
        <w:rPr>
          <w:rFonts w:ascii="Times New Roman" w:cs="Times New Roman" w:eastAsia="Times New Roman" w:hAnsi="Times New Roman"/>
          <w:sz w:val="16"/>
          <w:szCs w:val="16"/>
          <w:color w:val="auto"/>
        </w:rPr>
        <w:t xml:space="preserve">”) issued a press release entitled “Kornit Digital Reports First Quarter 2026 Results,” in which Kornit reported its results of operations for the first quarter ended March 31, 2026. A copy of that press release is furnished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hereto.</w:t>
      </w:r>
    </w:p>
    <w:p>
      <w:pPr>
        <w:spacing w:after="0" w:line="142" w:lineRule="exact"/>
        <w:rPr>
          <w:sz w:val="20"/>
          <w:szCs w:val="20"/>
          <w:color w:val="auto"/>
        </w:rPr>
      </w:pPr>
    </w:p>
    <w:p>
      <w:pPr>
        <w:jc w:val="both"/>
        <w:ind w:firstLine="565"/>
        <w:spacing w:after="0" w:line="265" w:lineRule="auto"/>
        <w:rPr>
          <w:sz w:val="20"/>
          <w:szCs w:val="20"/>
          <w:color w:val="auto"/>
        </w:rPr>
      </w:pPr>
      <w:r>
        <w:rPr>
          <w:rFonts w:ascii="Times New Roman" w:cs="Times New Roman" w:eastAsia="Times New Roman" w:hAnsi="Times New Roman"/>
          <w:sz w:val="16"/>
          <w:szCs w:val="16"/>
          <w:color w:val="auto"/>
        </w:rPr>
        <w:t xml:space="preserve">Kornit is holding a conference call on May 13, 2026, to discuss its results for the quarter ended March 31, 2026, and, in connection with that call, will make available to its investors a slide presentation to provide additional information regarding its business and its financial results. That slide presentation is attached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Report of Foreign Private Issuer on Form 6-K (this “</w:t>
      </w:r>
      <w:r>
        <w:rPr>
          <w:rFonts w:ascii="Times New Roman" w:cs="Times New Roman" w:eastAsia="Times New Roman" w:hAnsi="Times New Roman"/>
          <w:sz w:val="16"/>
          <w:szCs w:val="16"/>
          <w:b w:val="1"/>
          <w:bCs w:val="1"/>
          <w:color w:val="auto"/>
        </w:rPr>
        <w:t>Form 6-K</w:t>
      </w:r>
      <w:r>
        <w:rPr>
          <w:rFonts w:ascii="Times New Roman" w:cs="Times New Roman" w:eastAsia="Times New Roman" w:hAnsi="Times New Roman"/>
          <w:sz w:val="16"/>
          <w:szCs w:val="16"/>
          <w:color w:val="auto"/>
        </w:rPr>
        <w:t>”) and is incorporated herein by reference.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Exhibits</w:t>
            </w:r>
          </w:p>
        </w:tc>
        <w:tc>
          <w:tcPr>
            <w:tcW w:w="1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98"/>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10120" w:type="dxa"/>
            <w:vAlign w:val="bottom"/>
            <w:tcBorders>
              <w:bottom w:val="single" w:sz="8" w:color="auto"/>
            </w:tcBorders>
            <w:gridSpan w:val="3"/>
          </w:tcPr>
          <w:p>
            <w:pPr>
              <w:ind w:left="46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4"/>
                <w:szCs w:val="14"/>
                <w:color w:val="auto"/>
              </w:rPr>
            </w:pPr>
          </w:p>
        </w:tc>
        <w:tc>
          <w:tcPr>
            <w:tcW w:w="101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May 13, 2026, titled “Kornit Digital Reports First Quarter 2026 Results”</w:t>
            </w:r>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900" w:type="dxa"/>
            <w:vAlign w:val="bottom"/>
            <w:tcBorders>
              <w:top w:val="single" w:sz="8" w:color="0000EE"/>
            </w:tcBorders>
          </w:tcPr>
          <w:p>
            <w:pPr>
              <w:spacing w:after="0"/>
              <w:rPr>
                <w:sz w:val="16"/>
                <w:szCs w:val="16"/>
                <w:color w:val="auto"/>
              </w:rPr>
            </w:pPr>
          </w:p>
        </w:tc>
        <w:tc>
          <w:tcPr>
            <w:tcW w:w="276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r>
      <w:tr>
        <w:trPr>
          <w:trHeight w:val="155"/>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0240" w:type="dxa"/>
            <w:vAlign w:val="bottom"/>
            <w:gridSpan w:val="4"/>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0000EE"/>
              </w:rPr>
              <w:t>Slide presentation for conference call of Kornit held on May 13, 2026, discussing financial results for the quarter ended March 31, 2026</w:t>
            </w:r>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900" w:type="dxa"/>
            <w:vAlign w:val="bottom"/>
            <w:shd w:val="clear" w:color="auto" w:fill="0000EE"/>
          </w:tcPr>
          <w:p>
            <w:pPr>
              <w:spacing w:after="0"/>
              <w:rPr>
                <w:sz w:val="3"/>
                <w:szCs w:val="3"/>
                <w:color w:val="auto"/>
              </w:rPr>
            </w:pPr>
          </w:p>
        </w:tc>
        <w:tc>
          <w:tcPr>
            <w:tcW w:w="2760" w:type="dxa"/>
            <w:vAlign w:val="bottom"/>
            <w:shd w:val="clear" w:color="auto" w:fill="0000EE"/>
          </w:tcPr>
          <w:p>
            <w:pPr>
              <w:spacing w:after="0"/>
              <w:rPr>
                <w:sz w:val="3"/>
                <w:szCs w:val="3"/>
                <w:color w:val="auto"/>
              </w:rPr>
            </w:pPr>
          </w:p>
        </w:tc>
        <w:tc>
          <w:tcPr>
            <w:tcW w:w="146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Incorporation by Reference</w:t>
      </w:r>
    </w:p>
    <w:p>
      <w:pPr>
        <w:spacing w:after="0" w:line="202" w:lineRule="exact"/>
        <w:rPr>
          <w:sz w:val="20"/>
          <w:szCs w:val="20"/>
          <w:color w:val="auto"/>
        </w:rPr>
      </w:pPr>
    </w:p>
    <w:p>
      <w:pPr>
        <w:jc w:val="both"/>
        <w:ind w:firstLine="565"/>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GAAP financial information contained in the (i) consolidated balance sheets, (ii) consolidated statements of operations and (iii) consolidated statements of cash flows included in the press release attached as Exhibit 99.1 to this Form 6-K is hereby incorporated by reference into Kornit’s Registration Statements on Form S-8 (File No.’s </w:t>
      </w:r>
      <w:hyperlink r:id="rId13">
        <w:r>
          <w:rPr>
            <w:rFonts w:ascii="Times New Roman" w:cs="Times New Roman" w:eastAsia="Times New Roman" w:hAnsi="Times New Roman"/>
            <w:sz w:val="16"/>
            <w:szCs w:val="16"/>
            <w:u w:val="single" w:color="auto"/>
            <w:color w:val="0000EE"/>
          </w:rPr>
          <w:t>333-203970</w:t>
        </w:r>
      </w:hyperlink>
      <w:r>
        <w:rPr>
          <w:rFonts w:ascii="Times New Roman" w:cs="Times New Roman" w:eastAsia="Times New Roman" w:hAnsi="Times New Roman"/>
          <w:sz w:val="16"/>
          <w:szCs w:val="16"/>
          <w:color w:val="auto"/>
        </w:rPr>
        <w:t xml:space="preserve">, </w:t>
      </w:r>
      <w:hyperlink r:id="rId14">
        <w:r>
          <w:rPr>
            <w:rFonts w:ascii="Times New Roman" w:cs="Times New Roman" w:eastAsia="Times New Roman" w:hAnsi="Times New Roman"/>
            <w:sz w:val="16"/>
            <w:szCs w:val="16"/>
            <w:u w:val="single" w:color="auto"/>
            <w:color w:val="0000EE"/>
          </w:rPr>
          <w:t>333-214015</w:t>
        </w:r>
      </w:hyperlink>
      <w:r>
        <w:rPr>
          <w:rFonts w:ascii="Times New Roman" w:cs="Times New Roman" w:eastAsia="Times New Roman" w:hAnsi="Times New Roman"/>
          <w:sz w:val="16"/>
          <w:szCs w:val="16"/>
          <w:color w:val="auto"/>
        </w:rPr>
        <w:t xml:space="preserve">, </w:t>
      </w:r>
      <w:hyperlink r:id="rId15">
        <w:r>
          <w:rPr>
            <w:rFonts w:ascii="Times New Roman" w:cs="Times New Roman" w:eastAsia="Times New Roman" w:hAnsi="Times New Roman"/>
            <w:sz w:val="16"/>
            <w:szCs w:val="16"/>
            <w:u w:val="single" w:color="auto"/>
            <w:color w:val="0000EE"/>
          </w:rPr>
          <w:t>333-217039</w:t>
        </w:r>
      </w:hyperlink>
      <w:r>
        <w:rPr>
          <w:rFonts w:ascii="Times New Roman" w:cs="Times New Roman" w:eastAsia="Times New Roman" w:hAnsi="Times New Roman"/>
          <w:sz w:val="16"/>
          <w:szCs w:val="16"/>
          <w:color w:val="auto"/>
        </w:rPr>
        <w:t xml:space="preserve">, </w:t>
      </w:r>
      <w:hyperlink r:id="rId16">
        <w:r>
          <w:rPr>
            <w:rFonts w:ascii="Times New Roman" w:cs="Times New Roman" w:eastAsia="Times New Roman" w:hAnsi="Times New Roman"/>
            <w:sz w:val="16"/>
            <w:szCs w:val="16"/>
            <w:u w:val="single" w:color="auto"/>
            <w:color w:val="0000EE"/>
          </w:rPr>
          <w:t>333-223794</w:t>
        </w:r>
      </w:hyperlink>
      <w:r>
        <w:rPr>
          <w:rFonts w:ascii="Times New Roman" w:cs="Times New Roman" w:eastAsia="Times New Roman" w:hAnsi="Times New Roman"/>
          <w:sz w:val="16"/>
          <w:szCs w:val="16"/>
          <w:color w:val="auto"/>
        </w:rPr>
        <w:t xml:space="preserve">, </w:t>
      </w:r>
      <w:hyperlink r:id="rId17">
        <w:r>
          <w:rPr>
            <w:rFonts w:ascii="Times New Roman" w:cs="Times New Roman" w:eastAsia="Times New Roman" w:hAnsi="Times New Roman"/>
            <w:sz w:val="16"/>
            <w:szCs w:val="16"/>
            <w:u w:val="single" w:color="auto"/>
            <w:color w:val="0000EE"/>
          </w:rPr>
          <w:t>333-230567</w:t>
        </w:r>
      </w:hyperlink>
      <w:r>
        <w:rPr>
          <w:rFonts w:ascii="Times New Roman" w:cs="Times New Roman" w:eastAsia="Times New Roman" w:hAnsi="Times New Roman"/>
          <w:sz w:val="16"/>
          <w:szCs w:val="16"/>
          <w:color w:val="auto"/>
        </w:rPr>
        <w:t xml:space="preserve">, </w:t>
      </w:r>
      <w:hyperlink r:id="rId18">
        <w:r>
          <w:rPr>
            <w:rFonts w:ascii="Times New Roman" w:cs="Times New Roman" w:eastAsia="Times New Roman" w:hAnsi="Times New Roman"/>
            <w:sz w:val="16"/>
            <w:szCs w:val="16"/>
            <w:u w:val="single" w:color="auto"/>
            <w:color w:val="0000EE"/>
          </w:rPr>
          <w:t>333-237346</w:t>
        </w:r>
      </w:hyperlink>
      <w:r>
        <w:rPr>
          <w:rFonts w:ascii="Times New Roman" w:cs="Times New Roman" w:eastAsia="Times New Roman" w:hAnsi="Times New Roman"/>
          <w:sz w:val="16"/>
          <w:szCs w:val="16"/>
          <w:color w:val="auto"/>
        </w:rPr>
        <w:t xml:space="preserve">, </w:t>
      </w:r>
      <w:hyperlink r:id="rId19">
        <w:r>
          <w:rPr>
            <w:rFonts w:ascii="Times New Roman" w:cs="Times New Roman" w:eastAsia="Times New Roman" w:hAnsi="Times New Roman"/>
            <w:sz w:val="16"/>
            <w:szCs w:val="16"/>
            <w:u w:val="single" w:color="auto"/>
            <w:color w:val="0000EE"/>
          </w:rPr>
          <w:t>333-254749</w:t>
        </w:r>
      </w:hyperlink>
      <w:r>
        <w:rPr>
          <w:rFonts w:ascii="Times New Roman" w:cs="Times New Roman" w:eastAsia="Times New Roman" w:hAnsi="Times New Roman"/>
          <w:sz w:val="16"/>
          <w:szCs w:val="16"/>
          <w:color w:val="auto"/>
        </w:rPr>
        <w:t xml:space="preserve">, </w:t>
      </w:r>
      <w:hyperlink r:id="rId20">
        <w:r>
          <w:rPr>
            <w:rFonts w:ascii="Times New Roman" w:cs="Times New Roman" w:eastAsia="Times New Roman" w:hAnsi="Times New Roman"/>
            <w:sz w:val="16"/>
            <w:szCs w:val="16"/>
            <w:u w:val="single" w:color="auto"/>
            <w:color w:val="0000EE"/>
          </w:rPr>
          <w:t>333-263975</w:t>
        </w:r>
      </w:hyperlink>
      <w:r>
        <w:rPr>
          <w:rFonts w:ascii="Times New Roman" w:cs="Times New Roman" w:eastAsia="Times New Roman" w:hAnsi="Times New Roman"/>
          <w:sz w:val="16"/>
          <w:szCs w:val="16"/>
          <w:color w:val="auto"/>
        </w:rPr>
        <w:t xml:space="preserve">, </w:t>
      </w:r>
      <w:hyperlink r:id="rId21">
        <w:r>
          <w:rPr>
            <w:rFonts w:ascii="Times New Roman" w:cs="Times New Roman" w:eastAsia="Times New Roman" w:hAnsi="Times New Roman"/>
            <w:sz w:val="16"/>
            <w:szCs w:val="16"/>
            <w:u w:val="single" w:color="auto"/>
            <w:color w:val="0000EE"/>
          </w:rPr>
          <w:t>333-286158</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22">
        <w:r>
          <w:rPr>
            <w:rFonts w:ascii="Times New Roman" w:cs="Times New Roman" w:eastAsia="Times New Roman" w:hAnsi="Times New Roman"/>
            <w:sz w:val="16"/>
            <w:szCs w:val="16"/>
            <w:u w:val="single" w:color="auto"/>
            <w:color w:val="0000EE"/>
          </w:rPr>
          <w:t>333-294642</w:t>
        </w:r>
      </w:hyperlink>
      <w:r>
        <w:rPr>
          <w:rFonts w:ascii="Times New Roman" w:cs="Times New Roman" w:eastAsia="Times New Roman" w:hAnsi="Times New Roman"/>
          <w:sz w:val="16"/>
          <w:szCs w:val="16"/>
          <w:color w:val="auto"/>
        </w:rPr>
        <w:t>).</w:t>
      </w:r>
    </w:p>
    <w:p>
      <w:pPr>
        <w:spacing w:after="0" w:line="347"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20" w:firstLine="565"/>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20" w:type="dxa"/>
            <w:vAlign w:val="bottom"/>
          </w:tcPr>
          <w:p>
            <w:pPr>
              <w:spacing w:after="0"/>
              <w:rPr>
                <w:sz w:val="18"/>
                <w:szCs w:val="18"/>
                <w:color w:val="auto"/>
              </w:rPr>
            </w:pPr>
          </w:p>
        </w:tc>
        <w:tc>
          <w:tcPr>
            <w:tcW w:w="7840" w:type="dxa"/>
            <w:vAlign w:val="bottom"/>
            <w:gridSpan w:val="2"/>
          </w:tcPr>
          <w:p>
            <w:pPr>
              <w:ind w:left="3340"/>
              <w:spacing w:after="0"/>
              <w:rPr>
                <w:sz w:val="20"/>
                <w:szCs w:val="20"/>
                <w:color w:val="auto"/>
              </w:rPr>
            </w:pPr>
            <w:r>
              <w:rPr>
                <w:rFonts w:ascii="Times New Roman" w:cs="Times New Roman" w:eastAsia="Times New Roman" w:hAnsi="Times New Roman"/>
                <w:sz w:val="16"/>
                <w:szCs w:val="16"/>
                <w:color w:val="auto"/>
              </w:rPr>
              <w:t>KORNIT DIGITAL LTD.</w:t>
            </w:r>
          </w:p>
        </w:tc>
      </w:tr>
      <w:tr>
        <w:trPr>
          <w:trHeight w:val="386"/>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Date: May 13, 2026</w:t>
            </w:r>
          </w:p>
        </w:tc>
        <w:tc>
          <w:tcPr>
            <w:tcW w:w="390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Assaf Zipori</w:t>
            </w:r>
          </w:p>
        </w:tc>
      </w:tr>
      <w:tr>
        <w:trPr>
          <w:trHeight w:val="175"/>
        </w:trPr>
        <w:tc>
          <w:tcPr>
            <w:tcW w:w="3420" w:type="dxa"/>
            <w:vAlign w:val="bottom"/>
          </w:tcPr>
          <w:p>
            <w:pPr>
              <w:spacing w:after="0"/>
              <w:rPr>
                <w:sz w:val="15"/>
                <w:szCs w:val="15"/>
                <w:color w:val="auto"/>
              </w:rPr>
            </w:pPr>
          </w:p>
        </w:tc>
        <w:tc>
          <w:tcPr>
            <w:tcW w:w="3900" w:type="dxa"/>
            <w:vAlign w:val="bottom"/>
          </w:tcPr>
          <w:p>
            <w:pPr>
              <w:ind w:left="334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Assaf Zipori</w:t>
            </w:r>
          </w:p>
        </w:tc>
      </w:tr>
      <w:tr>
        <w:trPr>
          <w:trHeight w:val="208"/>
        </w:trPr>
        <w:tc>
          <w:tcPr>
            <w:tcW w:w="3420" w:type="dxa"/>
            <w:vAlign w:val="bottom"/>
          </w:tcPr>
          <w:p>
            <w:pPr>
              <w:spacing w:after="0"/>
              <w:rPr>
                <w:sz w:val="18"/>
                <w:szCs w:val="18"/>
                <w:color w:val="auto"/>
              </w:rPr>
            </w:pPr>
          </w:p>
        </w:tc>
        <w:tc>
          <w:tcPr>
            <w:tcW w:w="390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577"/>
        </w:trPr>
        <w:tc>
          <w:tcPr>
            <w:tcW w:w="34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6"/>
                <w:szCs w:val="16"/>
                <w:color w:val="auto"/>
              </w:rPr>
              <w:t>2</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902970" cy="424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90297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Kornit Digital Reports First Quarter 2026 Results</w:t>
      </w:r>
    </w:p>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Total Revenues of $48.5 million, at Top End of Guidance Range</w:t>
      </w:r>
    </w:p>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Trailing Twelve-Month Impressions Up Approximately 12% Year Over Year, Driven by</w:t>
      </w:r>
    </w:p>
    <w:p>
      <w:pPr>
        <w:spacing w:after="0" w:line="2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Continued Screen-to-Digital Shift</w:t>
      </w:r>
    </w:p>
    <w:p>
      <w:pPr>
        <w:spacing w:after="0" w:line="18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AIC Revenues Increased Approximately 103% Year Over Year</w:t>
      </w:r>
    </w:p>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Delivered Positive Operating Cash Flow for Tenth Consecutive Quarter</w:t>
      </w:r>
    </w:p>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Strong Customer Response and Growing Atlas MATRIX Backlog Reinforce Expansion of Digital Production at Scale</w:t>
      </w:r>
    </w:p>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Enters Second Quarter with Strengthening Momentum, Improved Visibility</w:t>
      </w:r>
    </w:p>
    <w:p>
      <w:pPr>
        <w:spacing w:after="0" w:line="2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and Continued AIC Transition</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Rosh-Ha`Ayin, Israel – May 13, 2026 </w:t>
      </w:r>
      <w:r>
        <w:rPr>
          <w:rFonts w:ascii="Times New Roman" w:cs="Times New Roman" w:eastAsia="Times New Roman" w:hAnsi="Times New Roman"/>
          <w:sz w:val="16"/>
          <w:szCs w:val="16"/>
          <w:color w:val="auto"/>
        </w:rPr>
        <w:t>– Kornit Digital Ltd. (“Kornit” or the “Company”) (Nasdaq: KRNT), a global leader in sustainable, on-demand, digital fashion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textile production, today reported financial results for the first quarter ended March 31, 2026. The results reflect the Company’s continued progress in expanding digital production into scaled manufacturing environments, advancing the transition toward recurring revenues through the Company’s All-Inclusive Click (“AIC”) model, and strengthening its position as a technology and platform leader for the global textile and apparel industry.</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first quarter marked a strong start to the year and clear evidence that our strategy is translating into execution and measurable results,” said Ronen Samuel, Chief Executive Officer of Kornit Digital. “We delivered revenue at the top end of our guidance range and generated positive operating cash flow for the tenth consecutive quarter. Impressions growth remained strong, driven by higher utilization across our installed base and the ongoing shift from screen to digital production. At the same time, we continued expanding customer adoption of our AIC model and strengthening our recurring revenue foundation. We entered 2026 with a clear roadmap around innovation, workflow and platform expansion, and we are executing against it.”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Mr. Samuel continued, “Konnections 2026 was a defining moment for Kornit and for the broader industry. Strong customer response to Atlas MATRIX, including a meaningful backlog of new and upgrade orders, reinforces that on-demand digital production is rapidly expanding beyond short-run customization into scaled production and manufacturing environments. We are seeing similar momentum around Apollo and increasing interest in connected workflow and automation capabilities following the PrintFactory acquisition. Atlas MATRIX, powered by Kornit’s unique Karbon Shield technology, significantly expands digital production into polyester, sportswear and performance applications by overcoming dye migration challenges that historically limited digital production in these categories. At Texprocess in Frankfurt, we further expanded our platform with the unveiling of Presto MAX PLUS. Powered by our new DuraTech architecture, the platform opens new applications and markets that historically were impossible to address with digital production, including footwear, technical apparel, camouflage, performance wear, home décor and additional high-performance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375920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jc w:val="both"/>
        <w:spacing w:after="0" w:line="265" w:lineRule="auto"/>
        <w:rPr>
          <w:sz w:val="20"/>
          <w:szCs w:val="20"/>
          <w:color w:val="auto"/>
        </w:rPr>
      </w:pPr>
      <w:r>
        <w:rPr>
          <w:rFonts w:ascii="Times New Roman" w:cs="Times New Roman" w:eastAsia="Times New Roman" w:hAnsi="Times New Roman"/>
          <w:sz w:val="16"/>
          <w:szCs w:val="16"/>
          <w:color w:val="auto"/>
        </w:rPr>
        <w:t>Mr. Samuel concluded, “We are focused on converting this momentum into profitable growth, and with a solid first quarter carrying into the second, our growing pipeline, backlog and customer activity provide better visibility into the second half of the year and confidence in our trajectory for 2026 and beyond. Most importantly, we are executing consistently and building the foundation to scale.”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First Quarter 2026 Results of Operations</w:t>
      </w:r>
    </w:p>
    <w:p>
      <w:pPr>
        <w:spacing w:after="0" w:line="200" w:lineRule="exact"/>
        <w:rPr>
          <w:sz w:val="20"/>
          <w:szCs w:val="20"/>
          <w:color w:val="auto"/>
        </w:rPr>
      </w:pPr>
    </w:p>
    <w:p>
      <w:pPr>
        <w:ind w:left="560" w:hanging="278"/>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 for the first quarter of 2026 increased to $48.5 million compared with $46.5 million in the prior year period.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AIC revenues increased approximately 103% year over year.</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ARR at the end of the first quarter was approximately $26.8 million compared with $14.5 million at the end of the prior year period.</w:t>
      </w:r>
    </w:p>
    <w:p>
      <w:pPr>
        <w:spacing w:after="0" w:line="198"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gross profit margin for the first quarter of 2026 was 37.9% compared with 42.6% in the prior year period. On a non-GAAP basis, gross profit margin was 41.0% compared with 45.2% in the prior year period.</w:t>
      </w:r>
    </w:p>
    <w:p>
      <w:pPr>
        <w:spacing w:after="0" w:line="144"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operating expenses for the first quarter of 2026 were $31.9 million, in line with $31.9 million in the prior year period. On a non-GAAP basis, operating expenses were $25.5 million compared with $27.4 million in the prior year period.</w:t>
      </w:r>
    </w:p>
    <w:p>
      <w:pPr>
        <w:spacing w:after="0" w:line="144"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loss for the first quarter of 2026 was $8.2 million, or ($0.19) per diluted share, compared with net loss of $5.1 million, or ($0.11) per diluted share, in the prior year period.</w:t>
      </w:r>
    </w:p>
    <w:p>
      <w:pPr>
        <w:spacing w:after="0" w:line="144"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loss for the first quarter of 2026 was $0.4 million, or ($0.01) per diluted share, compared with non-GAAP net income of $0.6 million, or $0.01 per diluted share, in the prior year period.</w:t>
      </w:r>
    </w:p>
    <w:p>
      <w:pPr>
        <w:spacing w:after="0" w:line="144"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loss for the first quarter of 2026 improved to $2.8 million compared with adjusted EBITDA loss of $3.9 million for the first quarter of 2025. Adjusted EBITDA margin for the first quarter of 2026 was negative 5.8% compared with negative 8.4% in the prior year period.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Second Quarter 2026 Guidance</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For the second quarter of 2026, the Company currently expects revenues to be in the range of $51 million to $55 million and an adjusted EBITDA margin to be between negative 5% and breakeven.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Conference Call Information</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Company will host a conference call today, May 13, 2026, at 8:30 a.m. ET, or 3:30 p.m. Israel time, to discuss the results, followed by a question-and-answer session with the investor community.</w:t>
      </w:r>
    </w:p>
    <w:p>
      <w:pPr>
        <w:spacing w:after="0" w:line="14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 live webcast of the call </w:t>
      </w:r>
      <w:r>
        <w:rPr>
          <w:rFonts w:ascii="Times New Roman" w:cs="Times New Roman" w:eastAsia="Times New Roman" w:hAnsi="Times New Roman"/>
          <w:sz w:val="16"/>
          <w:szCs w:val="16"/>
          <w:color w:val="auto"/>
        </w:rPr>
        <w:t>can be accessed at ir.kornit.com. To access the call, participants may dial toll-free at 1-877-407-0792 or 1-201-689-8263. The toll-free Israeli number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1 809 406 247.</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To listen to a replay </w:t>
      </w:r>
      <w:r>
        <w:rPr>
          <w:rFonts w:ascii="Times New Roman" w:cs="Times New Roman" w:eastAsia="Times New Roman" w:hAnsi="Times New Roman"/>
          <w:sz w:val="16"/>
          <w:szCs w:val="16"/>
          <w:color w:val="auto"/>
        </w:rPr>
        <w:t>of the conference call, dial toll-free 1-844-512-2921 or 1-412-317-6671 and enter confirmation code 13759148. The telephone replay will be available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approximately three hours after the completion of the live call until 11:59 pm ET on Wednesday, May 27, 2026. The call will also be available for replay via the webcast link on Kornit’s Investor Relations website.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Kornit Digital</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Kornit Digital (NASDAQ: KRNT) is a worldwide market leader in sustainable, on-demand, digital fashion and textile production technologies. The Company offers end-to-end solutions including digital printing systems, inks, consumables, software, and fulfillment services through its global fulfillment network. Headquartered in Israel with offices in the USA, Europe, and Asia Pacific, Kornit Digital serves customers in more than 100 countries. To learn more, visit www.kornit.com.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“believes,” “intends,” “planned,” or other similar words. These forward-looking statements include, but are not limited to, statements relating to the Company’s objectives, plans and strategies, including with respect to the Company’s AIC program, statements regarding the Company’s results of operations and financial condition, including the Company’s guidance for the second quarter of 2026, and all statements that address developments that the Company expects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Company’s degree of success in developing, introducing and selling new or improved products and product enhancements including, specifically, the Company’s Poly Pro and Presto products, and the Company’s Apollo direct-to-garment platform; the extent of the Company’s ability to increase sales of its systems, ink and consumables; the extent of the Company’s ability to continue to grow customer adoption of the AIC model; the development of the market for digital textile printing generally; the Company’s securities class action litigation expenses; and those additional factors referred to under “Risk Factors” in Item 3.D of the Company’s Annual Report on Form 20-F for the year ended December 31, 2025, filed with the SEC on March 26, 2026. Any forward-looking statements in this press release are made as of the date hereof, and will not be updated by the Company, whether as a result of new information, future events or otherwise, except as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Discussion Disclosure</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restructuring expenses; foreign exchange differences associated with ASC 842; and non-cash deferred tax income.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defines “Adjusted EBITDA” as non-GAAP operating income (loss), which reflects the adjustments described in the preceding paragraph to the Company’s GAAP net income (loss), as further adjusted to exclude depreciation expense.</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reconciliation tables included below present a reconciliation of our non-GAAP financial measures to the most directly comparable GAAP financial measures for our results for the first quarter of 2026. We have not provided, however, in this press release guidance for our expected GAAP net loss margin in the second quarter of 2026, or a reconciliation of our guidance for Adjusted EBITDA margin in the second quarter of 2026 to the most directly comparable GAAP financial measure for that quarter (i.e., GAAP net loss margin), as the information needed to provide that GAAP guidance and that reconciliation is not available to us without unreasonable effort or with reasonable certainty from a quantitative perspective. We expect that the foregoing missing information related to our outlook on a GAAP basis for the second quarter of 2026 is likely to yield significant changes relative to our non-GAAP outlook in respect of the subject financial measure.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Andrew G. Backman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Capital Markets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Andrew.Backman@kornit.com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30,664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35,476</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bank deposit</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358,796</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368,446</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49,084</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53,926</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48,906</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60,796</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53,992</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accounts receivable and prepaid expenses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31,821</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29,661</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573,263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595,516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23,614</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33,332</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Severance pay fund</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Property,plant and equipment, net</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69,045</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69,492</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16,903</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17,174</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10,310</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9,429</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29,164</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29,164</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18,475</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16,018</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assets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167,899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174,994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741,162</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770,510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8,476</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6,059</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12,785</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13,214</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1,527</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1,529</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3,997</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3,886</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20,856</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17,305</w:t>
            </w:r>
          </w:p>
        </w:tc>
        <w:tc>
          <w:tcPr>
            <w:tcW w:w="0" w:type="dxa"/>
            <w:vAlign w:val="bottom"/>
          </w:tcPr>
          <w:p>
            <w:pPr>
              <w:spacing w:after="0"/>
              <w:rPr>
                <w:sz w:val="1"/>
                <w:szCs w:val="1"/>
                <w:color w:val="auto"/>
              </w:rPr>
            </w:pPr>
          </w:p>
        </w:tc>
      </w:tr>
      <w:tr>
        <w:trPr>
          <w:trHeight w:val="179"/>
        </w:trPr>
        <w:tc>
          <w:tcPr>
            <w:tcW w:w="452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current liabilities</w:t>
            </w:r>
          </w:p>
        </w:tc>
        <w:tc>
          <w:tcPr>
            <w:tcW w:w="41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47,641</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41,993</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severance pay</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1,261</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1,155</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14,230</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14,727</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1,565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52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long-term liabilities</w:t>
            </w:r>
          </w:p>
        </w:tc>
        <w:tc>
          <w:tcPr>
            <w:tcW w:w="41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17,056</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15,944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676,465</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712,573</w:t>
            </w:r>
          </w:p>
        </w:tc>
        <w:tc>
          <w:tcPr>
            <w:tcW w:w="0" w:type="dxa"/>
            <w:vAlign w:val="bottom"/>
          </w:tcPr>
          <w:p>
            <w:pPr>
              <w:spacing w:after="0"/>
              <w:rPr>
                <w:sz w:val="1"/>
                <w:szCs w:val="1"/>
                <w:color w:val="auto"/>
              </w:rPr>
            </w:pPr>
          </w:p>
        </w:tc>
      </w:tr>
      <w:tr>
        <w:trPr>
          <w:trHeight w:val="191"/>
        </w:trPr>
        <w:tc>
          <w:tcPr>
            <w:tcW w:w="4520" w:type="dxa"/>
            <w:vAlign w:val="bottom"/>
            <w:tcBorders>
              <w:top w:val="single" w:sz="8" w:color="CCEEFF"/>
            </w:tcBorders>
            <w:shd w:val="clear" w:color="auto" w:fill="CCEEFF"/>
          </w:tcPr>
          <w:p>
            <w:pPr>
              <w:spacing w:after="0"/>
              <w:rPr>
                <w:sz w:val="16"/>
                <w:szCs w:val="16"/>
                <w:color w:val="auto"/>
              </w:rPr>
            </w:pPr>
          </w:p>
        </w:tc>
        <w:tc>
          <w:tcPr>
            <w:tcW w:w="4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741,162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770,510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160" w:type="dxa"/>
            <w:vAlign w:val="bottom"/>
            <w:vMerge w:val="restart"/>
          </w:tcPr>
          <w:p>
            <w:pPr>
              <w:jc w:val="right"/>
              <w:ind w:right="29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8" w:name="page9"/>
    <w:bookmarkEnd w:id="8"/>
    <w:p>
      <w:pPr>
        <w:ind w:left="478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41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4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35,080</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33,865</w:t>
            </w:r>
          </w:p>
        </w:tc>
        <w:tc>
          <w:tcPr>
            <w:tcW w:w="0" w:type="dxa"/>
            <w:vAlign w:val="bottom"/>
          </w:tcPr>
          <w:p>
            <w:pPr>
              <w:spacing w:after="0"/>
              <w:rPr>
                <w:sz w:val="1"/>
                <w:szCs w:val="1"/>
                <w:color w:val="auto"/>
              </w:rPr>
            </w:pPr>
          </w:p>
        </w:tc>
      </w:tr>
      <w:tr>
        <w:trPr>
          <w:trHeight w:val="207"/>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13,460</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12,592</w:t>
            </w:r>
          </w:p>
        </w:tc>
        <w:tc>
          <w:tcPr>
            <w:tcW w:w="0" w:type="dxa"/>
            <w:vAlign w:val="bottom"/>
          </w:tcPr>
          <w:p>
            <w:pPr>
              <w:spacing w:after="0"/>
              <w:rPr>
                <w:sz w:val="1"/>
                <w:szCs w:val="1"/>
                <w:color w:val="auto"/>
              </w:rPr>
            </w:pPr>
          </w:p>
        </w:tc>
      </w:tr>
      <w:tr>
        <w:trPr>
          <w:trHeight w:val="191"/>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4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48,540</w:t>
            </w: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4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16,820</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15,613</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4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13,331</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8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cost of revenues</w:t>
            </w:r>
          </w:p>
        </w:tc>
        <w:tc>
          <w:tcPr>
            <w:tcW w:w="45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30,151</w:t>
            </w: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26,657</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spacing w:after="0"/>
              <w:rPr>
                <w:sz w:val="16"/>
                <w:szCs w:val="16"/>
                <w:color w:val="auto"/>
              </w:rPr>
            </w:pPr>
          </w:p>
        </w:tc>
        <w:tc>
          <w:tcPr>
            <w:tcW w:w="4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18,389</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19,800</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spacing w:after="0"/>
              <w:rPr>
                <w:sz w:val="16"/>
                <w:szCs w:val="16"/>
                <w:color w:val="auto"/>
              </w:rPr>
            </w:pPr>
          </w:p>
        </w:tc>
        <w:tc>
          <w:tcPr>
            <w:tcW w:w="4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4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9,627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9,278</w:t>
            </w:r>
          </w:p>
        </w:tc>
        <w:tc>
          <w:tcPr>
            <w:tcW w:w="0" w:type="dxa"/>
            <w:vAlign w:val="bottom"/>
          </w:tcPr>
          <w:p>
            <w:pPr>
              <w:spacing w:after="0"/>
              <w:rPr>
                <w:sz w:val="1"/>
                <w:szCs w:val="1"/>
                <w:color w:val="auto"/>
              </w:rPr>
            </w:pPr>
          </w:p>
        </w:tc>
      </w:tr>
      <w:tr>
        <w:trPr>
          <w:trHeight w:val="191"/>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13,050</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14,949</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9,214</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7,644</w:t>
            </w:r>
          </w:p>
        </w:tc>
        <w:tc>
          <w:tcPr>
            <w:tcW w:w="0" w:type="dxa"/>
            <w:vAlign w:val="bottom"/>
          </w:tcPr>
          <w:p>
            <w:pPr>
              <w:spacing w:after="0"/>
              <w:rPr>
                <w:sz w:val="1"/>
                <w:szCs w:val="1"/>
                <w:color w:val="auto"/>
              </w:rPr>
            </w:pPr>
          </w:p>
        </w:tc>
      </w:tr>
      <w:tr>
        <w:trPr>
          <w:trHeight w:val="175"/>
        </w:trPr>
        <w:tc>
          <w:tcPr>
            <w:tcW w:w="418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operating expenses</w:t>
            </w:r>
          </w:p>
        </w:tc>
        <w:tc>
          <w:tcPr>
            <w:tcW w:w="45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31,891</w:t>
            </w: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31,871</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spacing w:after="0"/>
              <w:rPr>
                <w:sz w:val="16"/>
                <w:szCs w:val="16"/>
                <w:color w:val="auto"/>
              </w:rPr>
            </w:pPr>
          </w:p>
        </w:tc>
        <w:tc>
          <w:tcPr>
            <w:tcW w:w="4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(13,502)</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(12,071)</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spacing w:after="0"/>
              <w:rPr>
                <w:sz w:val="16"/>
                <w:szCs w:val="16"/>
                <w:color w:val="auto"/>
              </w:rPr>
            </w:pPr>
          </w:p>
        </w:tc>
        <w:tc>
          <w:tcPr>
            <w:tcW w:w="4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net</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5,556</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7,383</w:t>
            </w:r>
          </w:p>
        </w:tc>
        <w:tc>
          <w:tcPr>
            <w:tcW w:w="0" w:type="dxa"/>
            <w:vAlign w:val="bottom"/>
          </w:tcPr>
          <w:p>
            <w:pPr>
              <w:spacing w:after="0"/>
              <w:rPr>
                <w:sz w:val="1"/>
                <w:szCs w:val="1"/>
                <w:color w:val="auto"/>
              </w:rPr>
            </w:pPr>
          </w:p>
        </w:tc>
      </w:tr>
      <w:tr>
        <w:trPr>
          <w:trHeight w:val="191"/>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taxes on income</w:t>
            </w:r>
          </w:p>
        </w:tc>
        <w:tc>
          <w:tcPr>
            <w:tcW w:w="4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w:t>
            </w: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on income</w:t>
            </w:r>
          </w:p>
        </w:tc>
        <w:tc>
          <w:tcPr>
            <w:tcW w:w="4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275</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4180" w:type="dxa"/>
            <w:vAlign w:val="bottom"/>
            <w:vMerge w:val="continue"/>
          </w:tcPr>
          <w:p>
            <w:pPr>
              <w:spacing w:after="0"/>
              <w:rPr>
                <w:sz w:val="21"/>
                <w:szCs w:val="21"/>
                <w:color w:val="auto"/>
              </w:rPr>
            </w:pPr>
          </w:p>
        </w:tc>
        <w:tc>
          <w:tcPr>
            <w:tcW w:w="4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(8,221</w:t>
            </w:r>
          </w:p>
        </w:tc>
        <w:tc>
          <w:tcPr>
            <w:tcW w:w="240" w:type="dxa"/>
            <w:vAlign w:val="bottom"/>
            <w:vMerge w:val="continue"/>
          </w:tcPr>
          <w:p>
            <w:pPr>
              <w:spacing w:after="0"/>
              <w:rPr>
                <w:sz w:val="21"/>
                <w:szCs w:val="21"/>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(5,059</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180" w:type="dxa"/>
            <w:vAlign w:val="bottom"/>
            <w:tcBorders>
              <w:top w:val="single" w:sz="8" w:color="CCEEFF"/>
            </w:tcBorders>
            <w:shd w:val="clear" w:color="auto" w:fill="CCEEFF"/>
          </w:tcPr>
          <w:p>
            <w:pPr>
              <w:spacing w:after="0"/>
              <w:rPr>
                <w:sz w:val="16"/>
                <w:szCs w:val="16"/>
                <w:color w:val="auto"/>
              </w:rPr>
            </w:pPr>
          </w:p>
        </w:tc>
        <w:tc>
          <w:tcPr>
            <w:tcW w:w="4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Basic net loss per share</w:t>
            </w:r>
          </w:p>
        </w:tc>
        <w:tc>
          <w:tcPr>
            <w:tcW w:w="4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(0.19)</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187"/>
        </w:trPr>
        <w:tc>
          <w:tcPr>
            <w:tcW w:w="4180" w:type="dxa"/>
            <w:vAlign w:val="bottom"/>
            <w:tcBorders>
              <w:top w:val="single" w:sz="8" w:color="CCEEFF"/>
            </w:tcBorders>
            <w:shd w:val="clear" w:color="auto" w:fill="CCEEFF"/>
          </w:tcPr>
          <w:p>
            <w:pPr>
              <w:spacing w:after="0"/>
              <w:rPr>
                <w:sz w:val="16"/>
                <w:szCs w:val="16"/>
                <w:color w:val="auto"/>
              </w:rPr>
            </w:pPr>
          </w:p>
        </w:tc>
        <w:tc>
          <w:tcPr>
            <w:tcW w:w="4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4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used in computing basic net loss per share</w:t>
            </w:r>
          </w:p>
        </w:tc>
        <w:tc>
          <w:tcPr>
            <w:tcW w:w="4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44,233,446</w:t>
            </w:r>
          </w:p>
        </w:tc>
        <w:tc>
          <w:tcPr>
            <w:tcW w:w="34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45,801,003</w:t>
            </w:r>
          </w:p>
        </w:tc>
        <w:tc>
          <w:tcPr>
            <w:tcW w:w="0" w:type="dxa"/>
            <w:vAlign w:val="bottom"/>
          </w:tcPr>
          <w:p>
            <w:pPr>
              <w:spacing w:after="0"/>
              <w:rPr>
                <w:sz w:val="1"/>
                <w:szCs w:val="1"/>
                <w:color w:val="auto"/>
              </w:rPr>
            </w:pPr>
          </w:p>
        </w:tc>
      </w:tr>
      <w:tr>
        <w:trPr>
          <w:trHeight w:val="187"/>
        </w:trPr>
        <w:tc>
          <w:tcPr>
            <w:tcW w:w="4180" w:type="dxa"/>
            <w:vAlign w:val="bottom"/>
            <w:tcBorders>
              <w:top w:val="single" w:sz="8" w:color="CCEEFF"/>
            </w:tcBorders>
            <w:shd w:val="clear" w:color="auto" w:fill="CCEEFF"/>
          </w:tcPr>
          <w:p>
            <w:pPr>
              <w:spacing w:after="0"/>
              <w:rPr>
                <w:sz w:val="16"/>
                <w:szCs w:val="16"/>
                <w:color w:val="auto"/>
              </w:rPr>
            </w:pPr>
          </w:p>
        </w:tc>
        <w:tc>
          <w:tcPr>
            <w:tcW w:w="4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loss per share</w:t>
            </w:r>
          </w:p>
        </w:tc>
        <w:tc>
          <w:tcPr>
            <w:tcW w:w="4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(0.19)</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spacing w:after="0"/>
              <w:rPr>
                <w:sz w:val="16"/>
                <w:szCs w:val="16"/>
                <w:color w:val="auto"/>
              </w:rPr>
            </w:pPr>
          </w:p>
        </w:tc>
        <w:tc>
          <w:tcPr>
            <w:tcW w:w="4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used in computing diluted net loss per share</w:t>
            </w:r>
          </w:p>
        </w:tc>
        <w:tc>
          <w:tcPr>
            <w:tcW w:w="4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44,233,446</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45,801,003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bottom w:val="single" w:sz="8" w:color="CCEEFF"/>
            </w:tcBorders>
            <w:vMerge w:val="restart"/>
          </w:tcPr>
          <w:p>
            <w:pPr>
              <w:jc w:val="right"/>
              <w:ind w:right="2940"/>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1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9" w:name="page10"/>
    <w:bookmarkEnd w:id="9"/>
    <w:p>
      <w:pPr>
        <w:spacing w:after="0" w:line="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RECONCILIATION OF GAAP TO NON-GAAP CONSOLIDATED STATEMENTS OF OPERATIONS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March 31,</w:t>
      </w:r>
    </w:p>
    <w:p>
      <w:pPr>
        <w:sectPr>
          <w:pgSz w:w="11900" w:h="16900" w:orient="portrait"/>
          <w:cols w:equalWidth="0" w:num="1">
            <w:col w:w="11260"/>
          </w:cols>
          <w:pgMar w:left="320" w:top="814"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59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93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Cost of product recorded for share-based compensation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Cost of service recorded for share-based compensation (1)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assets amortization on cost of product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Intangible assets amortization on cost of service (2)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Restructuring expenses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Tariff (6)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48195" cy="144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36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Gross profit adjustments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48195" cy="144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Share-based compensation (1)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assets amortization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Restructuring expenses (3)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M&amp;A-related costs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36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Class action - legal fees (5)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48195" cy="144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Financial income,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422"/>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48,540</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46,457</w:t>
            </w:r>
          </w:p>
        </w:tc>
        <w:tc>
          <w:tcPr>
            <w:tcW w:w="60" w:type="dxa"/>
            <w:vAlign w:val="bottom"/>
          </w:tcPr>
          <w:p>
            <w:pPr>
              <w:spacing w:after="0"/>
              <w:rPr>
                <w:sz w:val="24"/>
                <w:szCs w:val="24"/>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2"/>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30,151</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26,657</w:t>
            </w:r>
          </w:p>
        </w:tc>
        <w:tc>
          <w:tcPr>
            <w:tcW w:w="60" w:type="dxa"/>
            <w:vAlign w:val="bottom"/>
          </w:tcPr>
          <w:p>
            <w:pPr>
              <w:spacing w:after="0"/>
              <w:rPr>
                <w:sz w:val="24"/>
                <w:szCs w:val="24"/>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(441)</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(354)</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(148)</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(160)</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(168)</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220"/>
        </w:trPr>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(228)</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r>
      <w:tr>
        <w:trPr>
          <w:trHeight w:val="24"/>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9"/>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28,652</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25,435</w:t>
            </w:r>
          </w:p>
        </w:tc>
        <w:tc>
          <w:tcPr>
            <w:tcW w:w="60" w:type="dxa"/>
            <w:vAlign w:val="bottom"/>
          </w:tcPr>
          <w:p>
            <w:pPr>
              <w:spacing w:after="0"/>
              <w:rPr>
                <w:sz w:val="19"/>
                <w:szCs w:val="19"/>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4"/>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18,389</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24"/>
                <w:szCs w:val="24"/>
                <w:color w:val="auto"/>
              </w:rPr>
            </w:pPr>
          </w:p>
        </w:tc>
      </w:t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1,499</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60" w:type="dxa"/>
            <w:vAlign w:val="bottom"/>
          </w:tcPr>
          <w:p>
            <w:pPr>
              <w:spacing w:after="0"/>
              <w:rPr>
                <w:sz w:val="18"/>
                <w:szCs w:val="18"/>
                <w:color w:val="auto"/>
              </w:rPr>
            </w:pPr>
          </w:p>
        </w:tc>
      </w:tr>
      <w:tr>
        <w:trPr>
          <w:trHeight w:val="24"/>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9"/>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19,888</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21,022</w:t>
            </w:r>
          </w:p>
        </w:tc>
        <w:tc>
          <w:tcPr>
            <w:tcW w:w="60" w:type="dxa"/>
            <w:vAlign w:val="bottom"/>
          </w:tcPr>
          <w:p>
            <w:pPr>
              <w:spacing w:after="0"/>
              <w:rPr>
                <w:sz w:val="19"/>
                <w:szCs w:val="19"/>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2"/>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31,891</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31,871</w:t>
            </w:r>
          </w:p>
        </w:tc>
        <w:tc>
          <w:tcPr>
            <w:tcW w:w="60" w:type="dxa"/>
            <w:vAlign w:val="bottom"/>
          </w:tcPr>
          <w:p>
            <w:pPr>
              <w:spacing w:after="0"/>
              <w:rPr>
                <w:sz w:val="24"/>
                <w:szCs w:val="24"/>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(3,927)</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(4,406)</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(74)</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(143)</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(235)</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220"/>
        </w:trPr>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r>
      <w:tr>
        <w:trPr>
          <w:trHeight w:val="24"/>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9"/>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25,483</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27,391</w:t>
            </w:r>
          </w:p>
        </w:tc>
        <w:tc>
          <w:tcPr>
            <w:tcW w:w="60" w:type="dxa"/>
            <w:vAlign w:val="bottom"/>
          </w:tcPr>
          <w:p>
            <w:pPr>
              <w:spacing w:after="0"/>
              <w:rPr>
                <w:sz w:val="19"/>
                <w:szCs w:val="19"/>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6"/>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5,556</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7,383</w:t>
            </w:r>
          </w:p>
        </w:tc>
        <w:tc>
          <w:tcPr>
            <w:tcW w:w="60" w:type="dxa"/>
            <w:vAlign w:val="bottom"/>
          </w:tcPr>
          <w:p>
            <w:pPr>
              <w:spacing w:after="0"/>
              <w:rPr>
                <w:sz w:val="24"/>
                <w:szCs w:val="24"/>
                <w:color w:val="auto"/>
              </w:rPr>
            </w:pPr>
          </w:p>
        </w:tc>
      </w:tr>
    </w:tbl>
    <w:p>
      <w:pPr>
        <w:spacing w:after="0" w:line="20" w:lineRule="exact"/>
        <w:rPr>
          <w:sz w:val="20"/>
          <w:szCs w:val="20"/>
          <w:color w:val="auto"/>
        </w:rPr>
      </w:pPr>
    </w:p>
    <w:p>
      <w:pPr>
        <w:sectPr>
          <w:pgSz w:w="11900" w:h="16900" w:orient="portrait"/>
          <w:cols w:equalWidth="0" w:num="2">
            <w:col w:w="7960" w:space="720"/>
            <w:col w:w="2580"/>
          </w:cols>
          <w:pgMar w:left="320" w:top="814" w:right="319" w:bottom="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income associated with ASC 842</w:t>
            </w:r>
          </w:p>
        </w:tc>
        <w:tc>
          <w:tcPr>
            <w:tcW w:w="2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Non-GAAP Financial income , net</w:t>
            </w:r>
          </w:p>
        </w:tc>
        <w:tc>
          <w:tcPr>
            <w:tcW w:w="2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00" w:type="dxa"/>
            <w:vAlign w:val="bottom"/>
            <w:vMerge w:val="continue"/>
          </w:tcPr>
          <w:p>
            <w:pPr>
              <w:spacing w:after="0"/>
              <w:rPr>
                <w:sz w:val="21"/>
                <w:szCs w:val="21"/>
                <w:color w:val="auto"/>
              </w:rPr>
            </w:pPr>
          </w:p>
        </w:tc>
        <w:tc>
          <w:tcPr>
            <w:tcW w:w="2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5,423</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7,340</w:t>
            </w:r>
          </w:p>
        </w:tc>
        <w:tc>
          <w:tcPr>
            <w:tcW w:w="0" w:type="dxa"/>
            <w:vAlign w:val="bottom"/>
          </w:tcPr>
          <w:p>
            <w:pPr>
              <w:spacing w:after="0"/>
              <w:rPr>
                <w:sz w:val="1"/>
                <w:szCs w:val="1"/>
                <w:color w:val="auto"/>
              </w:rPr>
            </w:pPr>
          </w:p>
        </w:tc>
      </w:tr>
      <w:tr>
        <w:trPr>
          <w:trHeight w:val="187"/>
        </w:trPr>
        <w:tc>
          <w:tcPr>
            <w:tcW w:w="650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GAAP Taxes on income</w:t>
            </w:r>
          </w:p>
        </w:tc>
        <w:tc>
          <w:tcPr>
            <w:tcW w:w="2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275</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4"/>
        </w:trPr>
        <w:tc>
          <w:tcPr>
            <w:tcW w:w="6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Taxes on income</w:t>
            </w:r>
          </w:p>
        </w:tc>
        <w:tc>
          <w:tcPr>
            <w:tcW w:w="2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500" w:type="dxa"/>
            <w:vAlign w:val="bottom"/>
            <w:vMerge w:val="continue"/>
            <w:shd w:val="clear" w:color="auto" w:fill="CCEEFF"/>
          </w:tcPr>
          <w:p>
            <w:pPr>
              <w:spacing w:after="0"/>
              <w:rPr>
                <w:sz w:val="19"/>
                <w:szCs w:val="19"/>
                <w:color w:val="auto"/>
              </w:rPr>
            </w:pPr>
          </w:p>
        </w:tc>
        <w:tc>
          <w:tcPr>
            <w:tcW w:w="2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275</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Net loss</w:t>
            </w:r>
          </w:p>
        </w:tc>
        <w:tc>
          <w:tcPr>
            <w:tcW w:w="2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(8,221)</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(5,059)</w:t>
            </w:r>
          </w:p>
        </w:tc>
        <w:tc>
          <w:tcPr>
            <w:tcW w:w="0" w:type="dxa"/>
            <w:vAlign w:val="bottom"/>
          </w:tcPr>
          <w:p>
            <w:pPr>
              <w:spacing w:after="0"/>
              <w:rPr>
                <w:sz w:val="1"/>
                <w:szCs w:val="1"/>
                <w:color w:val="auto"/>
              </w:rPr>
            </w:pPr>
          </w:p>
        </w:tc>
      </w:tr>
      <w:tr>
        <w:trPr>
          <w:trHeight w:val="191"/>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4,722</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5,320</w:t>
            </w:r>
          </w:p>
        </w:tc>
        <w:tc>
          <w:tcPr>
            <w:tcW w:w="0" w:type="dxa"/>
            <w:vAlign w:val="bottom"/>
          </w:tcPr>
          <w:p>
            <w:pPr>
              <w:spacing w:after="0"/>
              <w:rPr>
                <w:sz w:val="1"/>
                <w:szCs w:val="1"/>
                <w:color w:val="auto"/>
              </w:rPr>
            </w:pPr>
          </w:p>
        </w:tc>
      </w:tr>
      <w:tr>
        <w:trPr>
          <w:trHeight w:val="19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(2)</w:t>
            </w:r>
          </w:p>
        </w:tc>
        <w:tc>
          <w:tcPr>
            <w:tcW w:w="2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382</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191"/>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 (3)</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311</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income associated with ASC 842</w:t>
            </w:r>
          </w:p>
        </w:tc>
        <w:tc>
          <w:tcPr>
            <w:tcW w:w="2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91"/>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M&amp;A-related costs (4)</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235</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action - legal fees (5)</w:t>
            </w:r>
          </w:p>
        </w:tc>
        <w:tc>
          <w:tcPr>
            <w:tcW w:w="2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Tariff (6)</w:t>
            </w: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228</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(loss)</w:t>
            </w:r>
          </w:p>
        </w:tc>
        <w:tc>
          <w:tcPr>
            <w:tcW w:w="2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500" w:type="dxa"/>
            <w:vAlign w:val="bottom"/>
            <w:vMerge w:val="continue"/>
            <w:shd w:val="clear" w:color="auto" w:fill="CCEEFF"/>
          </w:tcPr>
          <w:p>
            <w:pPr>
              <w:spacing w:after="0"/>
              <w:rPr>
                <w:sz w:val="19"/>
                <w:szCs w:val="19"/>
                <w:color w:val="auto"/>
              </w:rPr>
            </w:pPr>
          </w:p>
        </w:tc>
        <w:tc>
          <w:tcPr>
            <w:tcW w:w="2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2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diluted loss per share</w:t>
            </w:r>
          </w:p>
        </w:tc>
        <w:tc>
          <w:tcPr>
            <w:tcW w:w="2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(0.19)</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income (loss) per share</w:t>
            </w:r>
          </w:p>
        </w:tc>
        <w:tc>
          <w:tcPr>
            <w:tcW w:w="2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2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GAAP diluted net income (loss) per share</w:t>
            </w:r>
          </w:p>
        </w:tc>
        <w:tc>
          <w:tcPr>
            <w:tcW w:w="2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44,233,446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45,801,003</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Non-GAAP diluted net income per share</w:t>
            </w:r>
          </w:p>
        </w:tc>
        <w:tc>
          <w:tcPr>
            <w:tcW w:w="2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44,233,446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46,355,596</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 Share-based compensation</w:t>
            </w:r>
          </w:p>
        </w:tc>
        <w:tc>
          <w:tcPr>
            <w:tcW w:w="2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441</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191"/>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354</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191"/>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945</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1,202</w:t>
            </w:r>
          </w:p>
        </w:tc>
        <w:tc>
          <w:tcPr>
            <w:tcW w:w="0" w:type="dxa"/>
            <w:vAlign w:val="bottom"/>
          </w:tcPr>
          <w:p>
            <w:pPr>
              <w:spacing w:after="0"/>
              <w:rPr>
                <w:sz w:val="1"/>
                <w:szCs w:val="1"/>
                <w:color w:val="auto"/>
              </w:rPr>
            </w:pPr>
          </w:p>
        </w:tc>
      </w:tr>
      <w:tr>
        <w:trPr>
          <w:trHeight w:val="191"/>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Sales and marketing</w:t>
            </w:r>
          </w:p>
        </w:tc>
        <w:tc>
          <w:tcPr>
            <w:tcW w:w="2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1,508</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1,537</w:t>
            </w:r>
          </w:p>
        </w:tc>
        <w:tc>
          <w:tcPr>
            <w:tcW w:w="0" w:type="dxa"/>
            <w:vAlign w:val="bottom"/>
          </w:tcPr>
          <w:p>
            <w:pPr>
              <w:spacing w:after="0"/>
              <w:rPr>
                <w:sz w:val="1"/>
                <w:szCs w:val="1"/>
                <w:color w:val="auto"/>
              </w:rPr>
            </w:pP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1,474</w:t>
            </w: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1,667</w:t>
            </w:r>
          </w:p>
        </w:tc>
        <w:tc>
          <w:tcPr>
            <w:tcW w:w="0" w:type="dxa"/>
            <w:vAlign w:val="bottom"/>
          </w:tcPr>
          <w:p>
            <w:pPr>
              <w:spacing w:after="0"/>
              <w:rPr>
                <w:sz w:val="1"/>
                <w:szCs w:val="1"/>
                <w:color w:val="auto"/>
              </w:rPr>
            </w:pPr>
          </w:p>
        </w:tc>
      </w:tr>
      <w:tr>
        <w:trPr>
          <w:trHeight w:val="24"/>
        </w:trPr>
        <w:tc>
          <w:tcPr>
            <w:tcW w:w="65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5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4,722</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5,320</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(2) Intangible assets amortization</w:t>
            </w:r>
          </w:p>
        </w:tc>
        <w:tc>
          <w:tcPr>
            <w:tcW w:w="2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00" w:type="dxa"/>
            <w:vAlign w:val="bottom"/>
            <w:vMerge w:val="continue"/>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148</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191"/>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160</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7"/>
        </w:trPr>
        <w:tc>
          <w:tcPr>
            <w:tcW w:w="6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Sales and marketing</w:t>
            </w:r>
          </w:p>
        </w:tc>
        <w:tc>
          <w:tcPr>
            <w:tcW w:w="2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500" w:type="dxa"/>
            <w:vAlign w:val="bottom"/>
          </w:tcPr>
          <w:p>
            <w:pPr>
              <w:spacing w:after="0"/>
              <w:rPr>
                <w:sz w:val="22"/>
                <w:szCs w:val="22"/>
                <w:color w:val="auto"/>
              </w:rPr>
            </w:pPr>
          </w:p>
        </w:tc>
        <w:tc>
          <w:tcPr>
            <w:tcW w:w="2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382</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187"/>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(3) Restructuring expenses</w:t>
            </w:r>
          </w:p>
        </w:tc>
        <w:tc>
          <w:tcPr>
            <w:tcW w:w="2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168</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20" w:top="814" w:right="31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4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 w:type="dxa"/>
            <w:vAlign w:val="bottom"/>
            <w:tcBorders>
              <w:bottom w:val="single" w:sz="8" w:color="CCEEFF"/>
            </w:tcBorders>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3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311</w:t>
            </w:r>
          </w:p>
        </w:tc>
        <w:tc>
          <w:tcPr>
            <w:tcW w:w="56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CCEEFF"/>
            </w:tcBorders>
            <w:shd w:val="clear" w:color="auto" w:fill="CCEEFF"/>
          </w:tcPr>
          <w:p>
            <w:pPr>
              <w:spacing w:after="0"/>
              <w:rPr>
                <w:sz w:val="16"/>
                <w:szCs w:val="16"/>
                <w:color w:val="auto"/>
              </w:rPr>
            </w:pPr>
          </w:p>
        </w:tc>
        <w:tc>
          <w:tcPr>
            <w:tcW w:w="48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5"/>
              </w:rPr>
              <w:t>(4)</w:t>
            </w:r>
          </w:p>
        </w:tc>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M&amp;A-related costs</w:t>
            </w:r>
          </w:p>
        </w:tc>
        <w:tc>
          <w:tcPr>
            <w:tcW w:w="48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 w:type="dxa"/>
            <w:vAlign w:val="bottom"/>
            <w:shd w:val="clear" w:color="auto" w:fill="CCEEFF"/>
          </w:tcPr>
          <w:p>
            <w:pPr>
              <w:spacing w:after="0"/>
              <w:rPr>
                <w:sz w:val="19"/>
                <w:szCs w:val="19"/>
                <w:color w:val="auto"/>
              </w:rPr>
            </w:pPr>
          </w:p>
        </w:tc>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235</w:t>
            </w:r>
          </w:p>
        </w:tc>
        <w:tc>
          <w:tcPr>
            <w:tcW w:w="56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5"/>
              </w:rPr>
              <w:t>(5)</w:t>
            </w:r>
          </w:p>
        </w:tc>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action - legal fees</w:t>
            </w:r>
          </w:p>
        </w:tc>
        <w:tc>
          <w:tcPr>
            <w:tcW w:w="48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3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2,029</w:t>
            </w:r>
          </w:p>
        </w:tc>
        <w:tc>
          <w:tcPr>
            <w:tcW w:w="56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CCEEFF"/>
            </w:tcBorders>
            <w:shd w:val="clear" w:color="auto" w:fill="CCEEFF"/>
          </w:tcPr>
          <w:p>
            <w:pPr>
              <w:spacing w:after="0"/>
              <w:rPr>
                <w:sz w:val="16"/>
                <w:szCs w:val="16"/>
                <w:color w:val="auto"/>
              </w:rPr>
            </w:pPr>
          </w:p>
        </w:tc>
        <w:tc>
          <w:tcPr>
            <w:tcW w:w="48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5"/>
              </w:rPr>
              <w:t>(6)</w:t>
            </w:r>
          </w:p>
        </w:tc>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Tariff</w:t>
            </w:r>
          </w:p>
        </w:tc>
        <w:tc>
          <w:tcPr>
            <w:tcW w:w="48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 w:type="dxa"/>
            <w:vAlign w:val="bottom"/>
            <w:shd w:val="clear" w:color="auto" w:fill="CCEEFF"/>
          </w:tcPr>
          <w:p>
            <w:pPr>
              <w:spacing w:after="0"/>
              <w:rPr>
                <w:sz w:val="19"/>
                <w:szCs w:val="19"/>
                <w:color w:val="auto"/>
              </w:rPr>
            </w:pPr>
          </w:p>
        </w:tc>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Cost of product revenues</w:t>
            </w:r>
          </w:p>
        </w:tc>
        <w:tc>
          <w:tcPr>
            <w:tcW w:w="5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228</w:t>
            </w:r>
          </w:p>
        </w:tc>
        <w:tc>
          <w:tcPr>
            <w:tcW w:w="56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2940"/>
              <w:spacing w:after="0"/>
              <w:rPr>
                <w:sz w:val="20"/>
                <w:szCs w:val="20"/>
                <w:color w:val="auto"/>
              </w:rPr>
            </w:pPr>
            <w:r>
              <w:rPr>
                <w:rFonts w:ascii="Times New Roman" w:cs="Times New Roman" w:eastAsia="Times New Roman" w:hAnsi="Times New Roman"/>
                <w:sz w:val="16"/>
                <w:szCs w:val="16"/>
                <w:color w:val="auto"/>
              </w:rPr>
              <w:t>7</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3" w:right="319" w:bottom="1440" w:gutter="0" w:footer="0" w:header="0"/>
        </w:sectPr>
      </w:pPr>
    </w:p>
    <w:bookmarkStart w:id="11" w:name="page12"/>
    <w:bookmarkEnd w:id="11"/>
    <w:p>
      <w:pPr>
        <w:jc w:val="center"/>
        <w:ind w:left="338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19"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Cash flows from operating activities: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21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Amortization of premium and accretion of discount on marketable securities, net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Realized loss on sale and redemption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auto"/>
        </w:rPr>
        <w:t>Change in operating assets and liabilities: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Trade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Other accounts receivables and prepaid expenses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Operating leases right-of-use assets and liabilities, net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long 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Trade payables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Accrued severance pay, net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long - term liabilities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36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21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Purchase of property, plant and equipment and capitalized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21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(investment in) short-term bank deposits,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Proceeds from sales and redemption of marketable securities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36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Investment in marketable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4819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212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Exercise of employee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21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Payments related to shares withheld for taxes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Repurchase of ordinary shares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36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21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59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93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21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Purchase of property and equipment on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21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Inventory transferred to be used as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Property, plant and equipment transferred to be used as inventory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p>
      <w:pPr>
        <w:spacing w:after="0" w:line="3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74"/>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(8,221)</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(5,059)</w:t>
            </w:r>
          </w:p>
        </w:tc>
      </w:tr>
      <w:tr>
        <w:trPr>
          <w:trHeight w:val="366"/>
        </w:trPr>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3,172</w:t>
            </w:r>
          </w:p>
        </w:tc>
        <w:tc>
          <w:tcPr>
            <w:tcW w:w="3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2,846</w:t>
            </w:r>
          </w:p>
        </w:tc>
        <w:tc>
          <w:tcPr>
            <w:tcW w:w="40" w:type="dxa"/>
            <w:vAlign w:val="bottom"/>
          </w:tcPr>
          <w:p>
            <w:pPr>
              <w:spacing w:after="0"/>
              <w:rPr>
                <w:sz w:val="24"/>
                <w:szCs w:val="24"/>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4,722</w:t>
            </w:r>
          </w:p>
        </w:tc>
        <w:tc>
          <w:tcPr>
            <w:tcW w:w="3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5,320</w:t>
            </w:r>
          </w:p>
        </w:tc>
        <w:tc>
          <w:tcPr>
            <w:tcW w:w="40" w:type="dxa"/>
            <w:vAlign w:val="bottom"/>
          </w:tcPr>
          <w:p>
            <w:pPr>
              <w:spacing w:after="0"/>
              <w:rPr>
                <w:sz w:val="16"/>
                <w:szCs w:val="16"/>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w:t>
            </w:r>
          </w:p>
        </w:tc>
        <w:tc>
          <w:tcPr>
            <w:tcW w:w="3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66"/>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4,048</w:t>
            </w:r>
          </w:p>
        </w:tc>
        <w:tc>
          <w:tcPr>
            <w:tcW w:w="40" w:type="dxa"/>
            <w:vAlign w:val="bottom"/>
          </w:tcPr>
          <w:p>
            <w:pPr>
              <w:spacing w:after="0"/>
              <w:rPr>
                <w:sz w:val="24"/>
                <w:szCs w:val="24"/>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(2,413)</w:t>
            </w:r>
          </w:p>
        </w:tc>
        <w:tc>
          <w:tcPr>
            <w:tcW w:w="3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(1,365)</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(6,750)</w:t>
            </w:r>
          </w:p>
        </w:tc>
        <w:tc>
          <w:tcPr>
            <w:tcW w:w="3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2,320</w:t>
            </w:r>
          </w:p>
        </w:tc>
        <w:tc>
          <w:tcPr>
            <w:tcW w:w="40" w:type="dxa"/>
            <w:vAlign w:val="bottom"/>
          </w:tcPr>
          <w:p>
            <w:pPr>
              <w:spacing w:after="0"/>
              <w:rPr>
                <w:sz w:val="16"/>
                <w:szCs w:val="16"/>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w:t>
            </w:r>
          </w:p>
        </w:tc>
        <w:tc>
          <w:tcPr>
            <w:tcW w:w="3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(2,457)</w:t>
            </w:r>
          </w:p>
        </w:tc>
        <w:tc>
          <w:tcPr>
            <w:tcW w:w="3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2,820</w:t>
            </w:r>
          </w:p>
        </w:tc>
        <w:tc>
          <w:tcPr>
            <w:tcW w:w="3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(5,310)</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3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2,092</w:t>
            </w:r>
          </w:p>
        </w:tc>
        <w:tc>
          <w:tcPr>
            <w:tcW w:w="40" w:type="dxa"/>
            <w:vAlign w:val="bottom"/>
          </w:tcPr>
          <w:p>
            <w:pPr>
              <w:spacing w:after="0"/>
              <w:rPr>
                <w:sz w:val="16"/>
                <w:szCs w:val="16"/>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1,949</w:t>
            </w:r>
          </w:p>
        </w:tc>
        <w:tc>
          <w:tcPr>
            <w:tcW w:w="3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2,230</w:t>
            </w:r>
          </w:p>
        </w:tc>
        <w:tc>
          <w:tcPr>
            <w:tcW w:w="40" w:type="dxa"/>
            <w:vAlign w:val="bottom"/>
          </w:tcPr>
          <w:p>
            <w:pPr>
              <w:spacing w:after="0"/>
              <w:rPr>
                <w:sz w:val="16"/>
                <w:szCs w:val="16"/>
                <w:color w:val="auto"/>
              </w:rPr>
            </w:pPr>
          </w:p>
        </w:tc>
      </w:tr>
      <w:tr>
        <w:trPr>
          <w:trHeight w:val="203"/>
        </w:trPr>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w:t>
            </w:r>
          </w:p>
        </w:tc>
        <w:tc>
          <w:tcPr>
            <w:tcW w:w="34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2"/>
        </w:trPr>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1,503</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2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5,764</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748"/>
        </w:trPr>
        <w:tc>
          <w:tcPr>
            <w:tcW w:w="2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(4,041)</w:t>
            </w:r>
          </w:p>
        </w:tc>
        <w:tc>
          <w:tcPr>
            <w:tcW w:w="34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(3,771)</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9,650</w:t>
            </w:r>
          </w:p>
        </w:tc>
        <w:tc>
          <w:tcPr>
            <w:tcW w:w="3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(21,000)</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3,250</w:t>
            </w:r>
          </w:p>
        </w:tc>
        <w:tc>
          <w:tcPr>
            <w:tcW w:w="3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2,800</w:t>
            </w:r>
          </w:p>
        </w:tc>
        <w:tc>
          <w:tcPr>
            <w:tcW w:w="40" w:type="dxa"/>
            <w:vAlign w:val="bottom"/>
          </w:tcPr>
          <w:p>
            <w:pPr>
              <w:spacing w:after="0"/>
              <w:rPr>
                <w:sz w:val="16"/>
                <w:szCs w:val="16"/>
                <w:color w:val="auto"/>
              </w:rPr>
            </w:pPr>
          </w:p>
        </w:tc>
      </w:tr>
      <w:tr>
        <w:trPr>
          <w:trHeight w:val="191"/>
        </w:trPr>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11,170</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65,320</w:t>
            </w:r>
          </w:p>
        </w:tc>
        <w:tc>
          <w:tcPr>
            <w:tcW w:w="40" w:type="dxa"/>
            <w:vAlign w:val="bottom"/>
          </w:tcPr>
          <w:p>
            <w:pPr>
              <w:spacing w:after="0"/>
              <w:rPr>
                <w:sz w:val="16"/>
                <w:szCs w:val="16"/>
                <w:color w:val="auto"/>
              </w:rPr>
            </w:pPr>
          </w:p>
        </w:tc>
      </w:tr>
      <w:tr>
        <w:trPr>
          <w:trHeight w:val="224"/>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(25,815)</w:t>
            </w:r>
          </w:p>
        </w:tc>
      </w:tr>
      <w:tr>
        <w:trPr>
          <w:trHeight w:val="195"/>
        </w:trPr>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20,029</w:t>
            </w:r>
          </w:p>
        </w:tc>
        <w:tc>
          <w:tcPr>
            <w:tcW w:w="2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17,534</w:t>
            </w:r>
          </w:p>
        </w:tc>
        <w:tc>
          <w:tcPr>
            <w:tcW w:w="40" w:type="dxa"/>
            <w:vAlign w:val="bottom"/>
          </w:tcPr>
          <w:p>
            <w:pPr>
              <w:spacing w:after="0"/>
              <w:rPr>
                <w:sz w:val="16"/>
                <w:szCs w:val="16"/>
                <w:color w:val="auto"/>
              </w:rPr>
            </w:pPr>
          </w:p>
        </w:tc>
      </w:tr>
      <w:tr>
        <w:trPr>
          <w:trHeight w:val="748"/>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529</w:t>
            </w:r>
          </w:p>
        </w:tc>
        <w:tc>
          <w:tcPr>
            <w:tcW w:w="40" w:type="dxa"/>
            <w:vAlign w:val="bottom"/>
          </w:tcPr>
          <w:p>
            <w:pPr>
              <w:spacing w:after="0"/>
              <w:rPr>
                <w:sz w:val="24"/>
                <w:szCs w:val="24"/>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(663)</w:t>
            </w:r>
          </w:p>
        </w:tc>
        <w:tc>
          <w:tcPr>
            <w:tcW w:w="3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24"/>
        </w:trPr>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(30,509)</w:t>
            </w:r>
          </w:p>
        </w:tc>
        <w:tc>
          <w:tcPr>
            <w:tcW w:w="3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(1,824)</w:t>
            </w:r>
          </w:p>
        </w:tc>
      </w:tr>
      <w:tr>
        <w:trPr>
          <w:trHeight w:val="195"/>
        </w:trPr>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(31,143</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(2,272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378"/>
        </w:trPr>
        <w:tc>
          <w:tcPr>
            <w:tcW w:w="2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(4,812)</w:t>
            </w:r>
          </w:p>
        </w:tc>
        <w:tc>
          <w:tcPr>
            <w:tcW w:w="3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21,026</w:t>
            </w:r>
          </w:p>
        </w:tc>
        <w:tc>
          <w:tcPr>
            <w:tcW w:w="40" w:type="dxa"/>
            <w:vAlign w:val="bottom"/>
          </w:tcPr>
          <w:p>
            <w:pPr>
              <w:spacing w:after="0"/>
              <w:rPr>
                <w:sz w:val="24"/>
                <w:szCs w:val="24"/>
                <w:color w:val="auto"/>
              </w:rPr>
            </w:pPr>
          </w:p>
        </w:tc>
      </w:t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35,476</w:t>
            </w: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35,003</w:t>
            </w:r>
          </w:p>
        </w:tc>
        <w:tc>
          <w:tcPr>
            <w:tcW w:w="40" w:type="dxa"/>
            <w:vAlign w:val="bottom"/>
          </w:tcPr>
          <w:p>
            <w:pPr>
              <w:spacing w:after="0"/>
              <w:rPr>
                <w:sz w:val="18"/>
                <w:szCs w:val="18"/>
                <w:color w:val="auto"/>
              </w:rPr>
            </w:pPr>
          </w:p>
        </w:tc>
      </w:tr>
      <w:tr>
        <w:trPr>
          <w:trHeight w:val="24"/>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9"/>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30,664</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56,029</w:t>
            </w:r>
          </w:p>
        </w:tc>
        <w:tc>
          <w:tcPr>
            <w:tcW w:w="40" w:type="dxa"/>
            <w:vAlign w:val="bottom"/>
          </w:tcPr>
          <w:p>
            <w:pPr>
              <w:spacing w:after="0"/>
              <w:rPr>
                <w:sz w:val="19"/>
                <w:szCs w:val="19"/>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44"/>
        </w:trPr>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403</w:t>
            </w:r>
          </w:p>
        </w:tc>
        <w:tc>
          <w:tcPr>
            <w:tcW w:w="3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2,435</w:t>
            </w:r>
          </w:p>
        </w:tc>
        <w:tc>
          <w:tcPr>
            <w:tcW w:w="40" w:type="dxa"/>
            <w:vAlign w:val="bottom"/>
          </w:tcPr>
          <w:p>
            <w:pPr>
              <w:spacing w:after="0"/>
              <w:rPr>
                <w:sz w:val="24"/>
                <w:szCs w:val="24"/>
                <w:color w:val="auto"/>
              </w:rPr>
            </w:pPr>
          </w:p>
        </w:tc>
      </w:tr>
      <w:tr>
        <w:trPr>
          <w:trHeight w:val="191"/>
        </w:trPr>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405</w:t>
            </w:r>
          </w:p>
        </w:tc>
        <w:tc>
          <w:tcPr>
            <w:tcW w:w="40" w:type="dxa"/>
            <w:vAlign w:val="bottom"/>
          </w:tcPr>
          <w:p>
            <w:pPr>
              <w:spacing w:after="0"/>
              <w:rPr>
                <w:sz w:val="16"/>
                <w:szCs w:val="16"/>
                <w:color w:val="auto"/>
              </w:rPr>
            </w:pPr>
          </w:p>
        </w:tc>
      </w:tr>
      <w:tr>
        <w:trPr>
          <w:trHeight w:val="191"/>
        </w:trPr>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639</w:t>
            </w: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522</w:t>
            </w:r>
          </w:p>
        </w:tc>
        <w:tc>
          <w:tcPr>
            <w:tcW w:w="40" w:type="dxa"/>
            <w:vAlign w:val="bottom"/>
          </w:tcPr>
          <w:p>
            <w:pPr>
              <w:spacing w:after="0"/>
              <w:rPr>
                <w:sz w:val="18"/>
                <w:szCs w:val="18"/>
                <w:color w:val="auto"/>
              </w:rPr>
            </w:pPr>
          </w:p>
        </w:tc>
      </w:tr>
    </w:tbl>
    <w:p>
      <w:pPr>
        <w:sectPr>
          <w:pgSz w:w="11900" w:h="16838" w:orient="portrait"/>
          <w:cols w:equalWidth="0" w:num="2">
            <w:col w:w="7960" w:space="720"/>
            <w:col w:w="2520"/>
          </w:cols>
          <w:pgMar w:left="320" w:top="814" w:right="379" w:bottom="1440" w:gutter="0" w:footer="0" w:header="0"/>
        </w:sectPr>
      </w:pPr>
    </w:p>
    <w:bookmarkStart w:id="12" w:name="page13"/>
    <w:bookmarkEnd w:id="12"/>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RECONCILIATION OF GAAP NET LOSS TO ADJUSTED EBITDA</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38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Revenues</w:t>
            </w:r>
          </w:p>
        </w:tc>
        <w:tc>
          <w:tcPr>
            <w:tcW w:w="5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48,540</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46,457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8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loss</w:t>
            </w:r>
          </w:p>
        </w:tc>
        <w:tc>
          <w:tcPr>
            <w:tcW w:w="4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(8,221)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w:t>
            </w:r>
          </w:p>
        </w:tc>
        <w:tc>
          <w:tcPr>
            <w:tcW w:w="0" w:type="dxa"/>
            <w:vAlign w:val="bottom"/>
          </w:tcPr>
          <w:p>
            <w:pPr>
              <w:spacing w:after="0"/>
              <w:rPr>
                <w:sz w:val="1"/>
                <w:szCs w:val="1"/>
                <w:color w:val="auto"/>
              </w:rPr>
            </w:pPr>
          </w:p>
        </w:tc>
      </w:tr>
      <w:tr>
        <w:trPr>
          <w:trHeight w:val="191"/>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on income</w:t>
            </w:r>
          </w:p>
        </w:tc>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275</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Financial income</w:t>
            </w:r>
          </w:p>
        </w:tc>
        <w:tc>
          <w:tcPr>
            <w:tcW w:w="4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(5,556)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(7,383)</w:t>
            </w:r>
          </w:p>
        </w:tc>
        <w:tc>
          <w:tcPr>
            <w:tcW w:w="0" w:type="dxa"/>
            <w:vAlign w:val="bottom"/>
          </w:tcPr>
          <w:p>
            <w:pPr>
              <w:spacing w:after="0"/>
              <w:rPr>
                <w:sz w:val="1"/>
                <w:szCs w:val="1"/>
                <w:color w:val="auto"/>
              </w:rPr>
            </w:pPr>
          </w:p>
        </w:tc>
      </w:tr>
      <w:tr>
        <w:trPr>
          <w:trHeight w:val="191"/>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4,722</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5,320</w:t>
            </w: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amortization</w:t>
            </w:r>
          </w:p>
        </w:tc>
        <w:tc>
          <w:tcPr>
            <w:tcW w:w="4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191"/>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expenses</w:t>
            </w:r>
          </w:p>
        </w:tc>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311</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M&amp;A-related costs</w:t>
            </w:r>
          </w:p>
        </w:tc>
        <w:tc>
          <w:tcPr>
            <w:tcW w:w="4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235</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action - legal fees</w:t>
            </w:r>
          </w:p>
        </w:tc>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Tariff</w:t>
            </w:r>
          </w:p>
        </w:tc>
        <w:tc>
          <w:tcPr>
            <w:tcW w:w="4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228</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2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Non-GAAP Operating loss</w:t>
            </w:r>
          </w:p>
        </w:tc>
        <w:tc>
          <w:tcPr>
            <w:tcW w:w="48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(5,595)</w:t>
            </w: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(6,369)</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4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2,790</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03"/>
        </w:trPr>
        <w:tc>
          <w:tcPr>
            <w:tcW w:w="3820" w:type="dxa"/>
            <w:vAlign w:val="bottom"/>
            <w:vMerge w:val="continue"/>
          </w:tcPr>
          <w:p>
            <w:pPr>
              <w:spacing w:after="0"/>
              <w:rPr>
                <w:sz w:val="17"/>
                <w:szCs w:val="17"/>
                <w:color w:val="auto"/>
              </w:rPr>
            </w:pPr>
          </w:p>
        </w:tc>
        <w:tc>
          <w:tcPr>
            <w:tcW w:w="5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240" w:type="dxa"/>
            <w:vAlign w:val="bottom"/>
            <w:vMerge w:val="continue"/>
          </w:tcPr>
          <w:p>
            <w:pPr>
              <w:spacing w:after="0"/>
              <w:rPr>
                <w:sz w:val="17"/>
                <w:szCs w:val="17"/>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(3,905</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860" w:type="dxa"/>
            <w:vAlign w:val="bottom"/>
            <w:vMerge w:val="restart"/>
          </w:tcPr>
          <w:p>
            <w:pPr>
              <w:jc w:val="right"/>
              <w:ind w:right="2940"/>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8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13" w:name="page14"/>
    <w:bookmarkEnd w:id="13"/>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332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jpe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13" Type="http://schemas.openxmlformats.org/officeDocument/2006/relationships/hyperlink" Target="http://www.sec.gov/Archives/edgar/data/1625791/000161577415000908/s101052_forms8.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www.sec.gov/Archives/edgar/data/1625791/000121390020007116/ea119827-s8_kornitdigital.htm" TargetMode="External"/><Relationship Id="rId19" Type="http://schemas.openxmlformats.org/officeDocument/2006/relationships/hyperlink" Target="http://www.sec.gov/Archives/edgar/data/1625791/000121390021017777/ea138332-s8_kornitdigital.htm" TargetMode="External"/><Relationship Id="rId20" Type="http://schemas.openxmlformats.org/officeDocument/2006/relationships/hyperlink" Target="https://www.sec.gov/Archives/edgar/data/0001625791/000121390022016164/ea157447-s8_kornitdigital.htm" TargetMode="External"/><Relationship Id="rId21" Type="http://schemas.openxmlformats.org/officeDocument/2006/relationships/hyperlink" Target="http://www.sec.gov/Archives/edgar/data/1625791/000101376225003116/ea0235566-s8_kornit.htm" TargetMode="External"/><Relationship Id="rId22" Type="http://schemas.openxmlformats.org/officeDocument/2006/relationships/hyperlink" Target="https://www.sec.gov/Archives/edgar/data/1625791/000121390026034720/ea0283042-s8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2026-05-13T06:28:54Z</dcterms:created>
  <dcterms:modified xsi:type="dcterms:W3CDTF">2026-05-13T06:28:54Z</dcterms:modified>
</cp:coreProperties>
</file>