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360" w:right="18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w:t>
      </w:r>
      <w:r>
        <w:rPr>
          <w:rFonts w:ascii="Arial" w:cs="Arial" w:eastAsia="Arial" w:hAnsi="Arial"/>
          <w:sz w:val="18"/>
          <w:szCs w:val="18"/>
          <w:color w:val="auto"/>
        </w:rPr>
        <w:t>*</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M6372Q113</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40" w:hanging="472"/>
        <w:spacing w:after="0"/>
        <w:tabs>
          <w:tab w:leader="none" w:pos="5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460" w:hanging="487"/>
        <w:spacing w:after="0"/>
        <w:tabs>
          <w:tab w:leader="none" w:pos="5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440" w:hanging="472"/>
        <w:spacing w:after="0"/>
        <w:tabs>
          <w:tab w:leader="none" w:pos="5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8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M6372Q113</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982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Gilder, Gagnon, Howe &amp; Co. LLC</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982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9820" w:type="dxa"/>
            <w:vAlign w:val="bottom"/>
            <w:tcBorders>
              <w:right w:val="single" w:sz="8" w:color="auto"/>
            </w:tcBorders>
            <w:gridSpan w:val="3"/>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Borders>
              <w:right w:val="single" w:sz="8" w:color="auto"/>
            </w:tcBorders>
          </w:tcPr>
          <w:p>
            <w:pPr>
              <w:ind w:left="8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60" w:type="dxa"/>
            <w:vAlign w:val="bottom"/>
            <w:tcBorders>
              <w:right w:val="single" w:sz="8" w:color="auto"/>
            </w:tcBorders>
          </w:tcPr>
          <w:p>
            <w:pPr>
              <w:ind w:left="84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8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9820" w:type="dxa"/>
            <w:vAlign w:val="bottom"/>
            <w:tcBorders>
              <w:right w:val="single" w:sz="8" w:color="auto"/>
            </w:tcBorders>
            <w:gridSpan w:val="3"/>
            <w:shd w:val="clear" w:color="auto" w:fill="E5E5E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E5E5E5"/>
            </w:tcBorders>
            <w:gridSpan w:val="2"/>
            <w:shd w:val="clear" w:color="auto" w:fill="E5E5E5"/>
          </w:tcPr>
          <w:p>
            <w:pPr>
              <w:spacing w:after="0"/>
              <w:rPr>
                <w:sz w:val="17"/>
                <w:szCs w:val="17"/>
                <w:color w:val="auto"/>
              </w:rPr>
            </w:pPr>
          </w:p>
        </w:tc>
        <w:tc>
          <w:tcPr>
            <w:tcW w:w="8960" w:type="dxa"/>
            <w:vAlign w:val="bottom"/>
            <w:tcBorders>
              <w:bottom w:val="single" w:sz="8" w:color="auto"/>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98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NUMBER OF</w:t>
            </w:r>
          </w:p>
        </w:tc>
        <w:tc>
          <w:tcPr>
            <w:tcW w:w="640" w:type="dxa"/>
            <w:vAlign w:val="bottom"/>
          </w:tcPr>
          <w:p>
            <w:pPr>
              <w:ind w:left="80"/>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9"/>
                <w:szCs w:val="19"/>
                <w:color w:val="auto"/>
              </w:rPr>
            </w:pPr>
          </w:p>
        </w:tc>
        <w:tc>
          <w:tcPr>
            <w:tcW w:w="8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6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vMerge w:val="continue"/>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6"/>
                <w:szCs w:val="6"/>
                <w:color w:val="auto"/>
              </w:rPr>
            </w:pPr>
          </w:p>
        </w:tc>
        <w:tc>
          <w:tcPr>
            <w:tcW w:w="8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EACH</w:t>
            </w:r>
          </w:p>
        </w:tc>
        <w:tc>
          <w:tcPr>
            <w:tcW w:w="64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600" w:type="dxa"/>
            <w:vAlign w:val="bottom"/>
            <w:tcBorders>
              <w:left w:val="single" w:sz="8" w:color="auto"/>
              <w:right w:val="single" w:sz="8" w:color="auto"/>
            </w:tcBorders>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REPORTING</w:t>
            </w:r>
          </w:p>
        </w:tc>
        <w:tc>
          <w:tcPr>
            <w:tcW w:w="6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PERSON WITH</w:t>
            </w: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vMerge w:val="continue"/>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19"/>
                <w:szCs w:val="19"/>
                <w:color w:val="auto"/>
              </w:rPr>
            </w:pPr>
          </w:p>
        </w:tc>
        <w:tc>
          <w:tcPr>
            <w:tcW w:w="8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9"/>
                <w:szCs w:val="19"/>
                <w:color w:val="auto"/>
              </w:rPr>
            </w:pPr>
          </w:p>
        </w:tc>
        <w:tc>
          <w:tcPr>
            <w:tcW w:w="8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1,718,963</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98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1,763,373</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98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98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4"/>
                <w:szCs w:val="24"/>
                <w:color w:val="auto"/>
              </w:rPr>
            </w:pP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98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BD</w:t>
            </w:r>
          </w:p>
        </w:tc>
        <w:tc>
          <w:tcPr>
            <w:tcW w:w="220" w:type="dxa"/>
            <w:vAlign w:val="bottom"/>
          </w:tcPr>
          <w:p>
            <w:pPr>
              <w:spacing w:after="0"/>
              <w:rPr>
                <w:sz w:val="24"/>
                <w:szCs w:val="24"/>
                <w:color w:val="auto"/>
              </w:rPr>
            </w:pP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1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6</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Kornit Digital, LTD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Ha Amal 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Afar Park, Rosh-HA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Ayin 4809246,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M6372Q113</w:t>
      </w:r>
    </w:p>
    <w:p>
      <w:pPr>
        <w:spacing w:after="0" w:line="221"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66" w:lineRule="exact"/>
        <w:rPr>
          <w:sz w:val="20"/>
          <w:szCs w:val="20"/>
          <w:color w:val="auto"/>
        </w:rPr>
      </w:pPr>
    </w:p>
    <w:p>
      <w:pPr>
        <w:ind w:left="1840" w:hanging="914"/>
        <w:spacing w:after="0"/>
        <w:tabs>
          <w:tab w:leader="none" w:pos="1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Broker or dealer registered under Section 15 of the Act (15 U.S.C. 78o).</w:t>
      </w:r>
    </w:p>
    <w:p>
      <w:pPr>
        <w:spacing w:after="0" w:line="192"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300" w:right="560" w:hanging="1374"/>
        <w:spacing w:after="0" w:line="239" w:lineRule="exact"/>
        <w:tabs>
          <w:tab w:leader="none" w:pos="1854"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 1(b)(1)(ii)(J)</w:t>
      </w:r>
    </w:p>
    <w:p>
      <w:pPr>
        <w:spacing w:after="0" w:line="225" w:lineRule="exact"/>
        <w:rPr>
          <w:rFonts w:ascii="Arial" w:cs="Arial" w:eastAsia="Arial" w:hAnsi="Arial"/>
          <w:sz w:val="18"/>
          <w:szCs w:val="18"/>
          <w:color w:val="auto"/>
        </w:rPr>
      </w:pPr>
    </w:p>
    <w:p>
      <w:pPr>
        <w:ind w:left="1840" w:hanging="914"/>
        <w:spacing w:after="0" w:line="207" w:lineRule="exact"/>
        <w:tabs>
          <w:tab w:leader="none" w:pos="18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6</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1,763,373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5.23%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of Common Stock as to which such person has: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44,410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44,410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1,718,963</w:t>
      </w:r>
    </w:p>
    <w:p>
      <w:pPr>
        <w:spacing w:after="0" w:line="225" w:lineRule="exact"/>
        <w:rPr>
          <w:sz w:val="20"/>
          <w:szCs w:val="20"/>
          <w:color w:val="auto"/>
        </w:rPr>
      </w:pPr>
    </w:p>
    <w:p>
      <w:pPr>
        <w:jc w:val="both"/>
        <w:ind w:left="660" w:right="660"/>
        <w:spacing w:after="0" w:line="312" w:lineRule="auto"/>
        <w:rPr>
          <w:sz w:val="20"/>
          <w:szCs w:val="20"/>
          <w:color w:val="auto"/>
        </w:rPr>
      </w:pPr>
      <w:r>
        <w:rPr>
          <w:rFonts w:ascii="Arial" w:cs="Arial" w:eastAsia="Arial" w:hAnsi="Arial"/>
          <w:sz w:val="16"/>
          <w:szCs w:val="16"/>
          <w:color w:val="auto"/>
        </w:rPr>
        <w:t>The shares reported include 1,198,972 shares held in customer accounts over which partners and/or employees of the Reporting Person have discretionary authority to dispose of or direct the disposition of the shares, 44,410 shares held in the account of the profit sharing plan of the Reporting Person, and 519,991 shares held in accounts owned by the partners of the Reporting Person and their families.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6</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Page 6 of 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3"/>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GILDER, GAGNON, HOWE &amp; CO.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Haupt</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Bonnie Haupt</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Compliance Officer &amp; Branch Manager</w:t>
            </w:r>
          </w:p>
        </w:tc>
      </w:tr>
      <w:tr>
        <w:trPr>
          <w:trHeight w:val="918"/>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2019-12-08T12:34:22Z</dcterms:created>
  <dcterms:modified xsi:type="dcterms:W3CDTF">2019-12-08T12:34:22Z</dcterms:modified>
</cp:coreProperties>
</file>